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 Resource 1: Foundations and computational details</w:t>
      </w:r>
    </w:p>
    <w:p>
      <w:pPr>
        <w:pStyle w:val="BodyText"/>
      </w:pPr>
      <w:r>
        <w:rPr>
          <w:bCs/>
          <w:b/>
        </w:rPr>
        <w:t xml:space="preserve">Companion article:</w:t>
      </w:r>
      <w:r>
        <w:t xml:space="preserve"> </w:t>
      </w:r>
      <w:r>
        <w:t xml:space="preserve">Sharp recovery of continuation costs in tree-based sequential decisions</w:t>
      </w:r>
      <w:r>
        <w:br/>
      </w:r>
      <w:r>
        <w:rPr>
          <w:bCs/>
          <w:b/>
        </w:rPr>
        <w:t xml:space="preserve">Target journal:</w:t>
      </w:r>
      <w:r>
        <w:t xml:space="preserve"> </w:t>
      </w:r>
      <w:r>
        <w:t xml:space="preserve">Optimization Letters</w:t>
      </w:r>
      <w:r>
        <w:br/>
      </w:r>
      <w:r>
        <w:rPr>
          <w:bCs/>
          <w:b/>
        </w:rPr>
        <w:t xml:space="preserve">Authors and contact:</w:t>
      </w:r>
      <w:r>
        <w:t xml:space="preserve"> </w:t>
      </w:r>
      <w:r>
        <w:t xml:space="preserve">[Human authors to complete]</w:t>
      </w:r>
    </w:p>
    <w:bookmarkStart w:id="20" w:name="s1.-reading-guide-and-preservation-note"/>
    <w:p>
      <w:pPr>
        <w:pStyle w:val="Heading1"/>
      </w:pPr>
      <w:r>
        <w:t xml:space="preserve">S1. Reading guide and preservation note</w:t>
      </w:r>
    </w:p>
    <w:p>
      <w:pPr>
        <w:pStyle w:val="FirstParagraph"/>
      </w:pPr>
      <w:r>
        <w:t xml:space="preserve">The main article isolates the sharp continuation-recovery theorem and its decision consequences. This resource preserves the earlier mathematical development, including all original displayed equations, complete proofs and numerical table entries. Equations (1)–(21), Theorems 3.1, 4.2 and 5.1, and the original table labels in Section S4 below refer locally to that retained development. They are not cross-references to the revised main article. The central continuation results, Theorems 3.3, 4.3 and 4.4, have their full proofs in the main article.</w:t>
      </w:r>
    </w:p>
    <w:p>
      <w:pPr>
        <w:pStyle w:val="BodyText"/>
      </w:pPr>
      <w:r>
        <w:t xml:space="preserve">The current Python implementation reproduces the original synthetic policy table exactly. The earlier draft’s statement about JavaScript BigInt has been updated to describe the supplied implementation. Typography and malformed table headers have been repaired. The original source and recovered Word are retained in the reproducibility package for comparison.</w:t>
      </w:r>
    </w:p>
    <w:bookmarkEnd w:id="20"/>
    <w:bookmarkStart w:id="24" w:name="s2.-complete-new-experimental-protocol"/>
    <w:p>
      <w:pPr>
        <w:pStyle w:val="Heading1"/>
      </w:pPr>
      <w:r>
        <w:t xml:space="preserve">S2. Complete new experimental protocol</w:t>
      </w:r>
    </w:p>
    <w:p>
      <w:pPr>
        <w:pStyle w:val="FirstParagraph"/>
      </w:pPr>
      <w:r>
        <w:t xml:space="preserve">The standard-library Python command</w:t>
      </w:r>
      <w:r>
        <w:t xml:space="preserve"> </w:t>
      </w:r>
      <w:r>
        <w:rPr>
          <w:rStyle w:val="VerbatimChar"/>
        </w:rPr>
        <w:t xml:space="preserve">python code/run_experiments.py --output results</w:t>
      </w:r>
      <w:r>
        <w:t xml:space="preserve"> </w:t>
      </w:r>
      <w:r>
        <w:t xml:space="preserve">reproduces all CSV files. No downloaded data or reference-author code is needed. Integer costs are arbitrary units; multiplying every cost and its tolerance by the same number and dividing the penalty by that number leaves policy objectives unchanged.</w:t>
      </w:r>
    </w:p>
    <w:bookmarkStart w:id="21" w:name="s2.1.-recovery-benchmark"/>
    <w:p>
      <w:pPr>
        <w:pStyle w:val="Heading2"/>
      </w:pPr>
      <w:r>
        <w:t xml:space="preserve">S2.1. Recovery benchmark</w:t>
      </w:r>
    </w:p>
    <w:p>
      <w:pPr>
        <w:pStyle w:val="FirstParagraph"/>
      </w:pPr>
      <w:r>
        <w:t xml:space="preserve">The design is the Cartesian product of three tree families, three anchor sizes (1, 4, 12), three new-set sizes (1, 2, 4), three tolerances (1, 5, 20) and ten replicates, giving 810 instances. The pseudorandom generator is Python random.Random with seed 20260913. Source labels are randomly permuted before selecting the anchors. Exact loop order and every generated row are in Online Resource 2.</w:t>
      </w:r>
    </w:p>
    <w:p>
      <w:pPr>
        <w:pStyle w:val="BodyText"/>
      </w:pPr>
      <w:r>
        <w:t xml:space="preserve">For a star, the shared trunk is a uniformly sampled integer from 50 to 300, and each pendant is uniform from 10 to 100. For a chain or balanced tree there are n source vertices numbered 1 to n and root 0. Vertex i+1 has parent i for a chain and floor(i/2) for the balanced family, with i starting at zero. Each activation and service cost is an independently sampled integer from 10 to 100. Sources may occupy internal vertices, as permitted by the model. This balanced family is a binary heap shape and need not be a perfect binary tree.</w:t>
      </w:r>
    </w:p>
    <w:p>
      <w:pPr>
        <w:pStyle w:val="BodyText"/>
      </w:pPr>
      <w:r>
        <w:t xml:space="preserve">Every singleton and pair gets independent uniformly selected noise from minus tolerance, zero and plus tolerance. Direct recovery uses the anchored-forest algorithm; subtraction computes H(A union S) minus H(A); repair first applies the full-table maximum-bottleneck closure and then subtracts the two repaired costs. Thus all three methods receive identical calibration information. Full-table repair can use labels outside an individual target set. In this benchmark all labels belong to A union S.</w:t>
      </w:r>
    </w:p>
    <w:p>
      <w:pPr>
        <w:pStyle w:val="BodyText"/>
      </w:pPr>
      <w:r>
        <w:t xml:space="preserve">The CSV records the true cost, each estimate, absolute error, error divided by the direct radius, and whether that radius is exceeded. There is no claim that the direct radius is a universal guarantee for either baseline. No random seed was selected after inspecting performance.</w:t>
      </w:r>
    </w:p>
    <w:bookmarkEnd w:id="21"/>
    <w:bookmarkStart w:id="22" w:name="s2.2.-decision-benchmark"/>
    <w:p>
      <w:pPr>
        <w:pStyle w:val="Heading2"/>
      </w:pPr>
      <w:r>
        <w:t xml:space="preserve">S2.2. Decision benchmark</w:t>
      </w:r>
    </w:p>
    <w:p>
      <w:pPr>
        <w:pStyle w:val="FirstParagraph"/>
      </w:pPr>
      <w:r>
        <w:t xml:space="preserve">The design has three tree families, one or two anchors, three tolerances (1, 5, 20) and penalties 1/2000, 1/500 and 1/200 per cost unit: 54 instances. The seed is 20260914. Each tree has six sources and the first h labels form the anchors. The current binary posterior is uniform and anchors are uninformative. Each future source has accuracy chosen uniformly from 0.65, 0.70, 0.75, 0.80, 0.85 and 0.90, independently conditional on the binary latent state. There are at most three further calls.</w:t>
      </w:r>
    </w:p>
    <w:p>
      <w:pPr>
        <w:pStyle w:val="BodyText"/>
      </w:pPr>
      <w:r>
        <w:t xml:space="preserve">The oracle and three calibration-based policies each solve their finite decision problem exactly. The direct policy uses one fixed anchor set throughout planning. Ties select stopping before querying, then the smallest source index. All selected policies are evaluated under the true cost; independent enumeration over the two latent states and every binary full-observation vector verifies the expected error, true cost, call count and objective. There are 216 evaluated policies in total. Raw rows are supplied, including zero-regret cases.</w:t>
      </w:r>
    </w:p>
    <w:bookmarkEnd w:id="22"/>
    <w:bookmarkStart w:id="23" w:name="s2.3.-algebra-and-sharpness-checks"/>
    <w:p>
      <w:pPr>
        <w:pStyle w:val="Heading2"/>
      </w:pPr>
      <w:r>
        <w:t xml:space="preserve">S2.3. Algebra and sharpness checks</w:t>
      </w:r>
    </w:p>
    <w:p>
      <w:pPr>
        <w:pStyle w:val="FirstParagraph"/>
      </w:pPr>
      <w:r>
        <w:t xml:space="preserve">The algebra checks use 100 six-source trees and integer multiples of the historical cost unit 1/20. The 32-bit generator has seed 20260911, multiplier 1664525 and increment 1013904223. Each parent precedes its child. Enumerating all ternary memberships (unused, anchor, new), excluding empty anchor or new sets, gives 602 combinations per tree. A separate graph traversal checks that every lifted forest is acyclic, has k edges and has exactly one anchor in every component.</w:t>
      </w:r>
    </w:p>
    <w:p>
      <w:pPr>
        <w:pStyle w:val="BodyText"/>
      </w:pPr>
      <w:r>
        <w:t xml:space="preserve">The heterogeneous certificate checks use independently selected singleton and pair tolerances of 1, 2 or 3 units, with measurement errors of at most one unit. The sharp continuation recovery construction is checked for anchor sizes 1, 5 and 20, new-set sizes 1, 2 and 4, and tolerance pairs (1/20, 1/20), (0, 1/7), (1/5, 0) and (1/9, 2/7): 36 settings, with both indistinguishable true trees checked in each. Policy sharpness uses 18 settings (two initial/continuation modes, three budgets and three separation ratios). These counts refer to different tests and should not be conflated.</w:t>
      </w:r>
    </w:p>
    <w:p>
      <w:pPr>
        <w:pStyle w:val="BodyText"/>
      </w:pPr>
      <w:r>
        <w:t xml:space="preserve">The verification JSON records interpreter, platform and one complete run’s wall time. Timing is incidental and is not a scaling benchmark. The exact algorithms and finite tests do not constitute formal proof certification.</w:t>
      </w:r>
    </w:p>
    <w:bookmarkEnd w:id="23"/>
    <w:bookmarkEnd w:id="24"/>
    <w:bookmarkStart w:id="25" w:name="Xb9ecef1a9c6d30512052951cc7d2d672ce990b7"/>
    <w:p>
      <w:pPr>
        <w:pStyle w:val="Heading1"/>
      </w:pPr>
      <w:r>
        <w:t xml:space="preserve">S3. Extended background retained from the earlier manuscript</w:t>
      </w:r>
    </w:p>
    <w:p>
      <w:pPr>
        <w:pStyle w:val="FirstParagraph"/>
      </w:pPr>
      <w:r>
        <w:rPr>
          <w:bCs/>
          <w:b/>
        </w:rPr>
        <w:t xml:space="preserve">Tree identification and hierarchical representation.</w:t>
      </w:r>
      <w:r>
        <w:t xml:space="preserve"> </w:t>
      </w:r>
      <w:r>
        <w:t xml:space="preserve">Buneman [4] gives a metric characterization of trees, while Aho et al. [1] construct trees subject to common-ancestor constraints. Pachter and Speyer [22] study recovery from weighted subtrees. These works establish a broader setting for reconstructing a tree from partial descriptions. Here the measurements are acquisition costs for one or two labeled sources, and the target is the cost of a specified source set. Proposition 2.1 expresses the relevant hierarchy through common-prefix depths; it does not identify a unique physical subdivision of the network. The spanning-tree relation between single linkage and hierarchical clustering studied by Gower and Ross [10], together with the stability framework of Carlsson and Mémoli [5], also provides context for the overlap repair in Section 3.2.</w:t>
      </w:r>
    </w:p>
    <w:p>
      <w:pPr>
        <w:pStyle w:val="BodyText"/>
      </w:pPr>
      <w:r>
        <w:rPr>
          <w:bCs/>
          <w:b/>
        </w:rPr>
        <w:t xml:space="preserve">Recovery from inaccurate measurements.</w:t>
      </w:r>
      <w:r>
        <w:t xml:space="preserve"> </w:t>
      </w:r>
      <w:r>
        <w:t xml:space="preserve">Optimal recovery asks what can be determined about a target quantity from limited information and a specified model class. Donoho [7] connects this viewpoint to minimax statistical estimation of linear functionals under Gaussian noise. The present formulation instead uses deterministic, coordinatewise bounded errors and the class of nonnegative rooted-tree costs. Theorem 3.1 concerns the exact error radius of a set-cost functional under this information model. Its lower bound is obtained from two admissible trees consistent with the same measurements. Thus the result addresses unavoidable uncertainty in acquisition cost without requiring recovery of a particular tree topology.</w:t>
      </w:r>
    </w:p>
    <w:p>
      <w:pPr>
        <w:pStyle w:val="BodyText"/>
      </w:pPr>
      <w:r>
        <w:rPr>
          <w:bCs/>
          <w:b/>
        </w:rPr>
        <w:t xml:space="preserve">Sequential testing and partially observed control.</w:t>
      </w:r>
      <w:r>
        <w:t xml:space="preserve"> </w:t>
      </w:r>
      <w:r>
        <w:t xml:space="preserve">Wald [26] develops sequential hypothesis testing, and Chernoff [6] studies the sequential choice of experiments. Naghshvar and Javidi [19] analyze active sequential hypothesis testing through information acquisition, decision penalties, and asymptotically optimal policies. The finite-horizon belief-state formulation used here belongs to the framework of Smallwood and Sondik [24] and the planning treatment of Kaelbling, Littman, and Cassandra [14]. Our model restricts each source to one query and records the queried set because shared activation makes the next acquisition cost depend on earlier choices. The Bellman recursion is a specialization of this established framework.</w:t>
      </w:r>
    </w:p>
    <w:p>
      <w:pPr>
        <w:pStyle w:val="BodyText"/>
      </w:pPr>
      <w:r>
        <w:rPr>
          <w:bCs/>
          <w:b/>
        </w:rPr>
        <w:t xml:space="preserve">Submodularity and active feature acquisition.</w:t>
      </w:r>
      <w:r>
        <w:t xml:space="preserve"> </w:t>
      </w:r>
      <w:r>
        <w:t xml:space="preserve">Nemhauser, Wolsey, and Fisher [20] establish approximation guarantees for monotone submodular maximization under a cardinality constraint. Golovin and Krause [9] identify adaptive diminishing-returns conditions supporting greedy acquisition, while Krause et al. [15] study observation selection against multiple possible objectives, including extensions with communication and path costs. These results motivate scalable acquisition methods, but their assumptions concern the information objective as well as its constraints. Submodularity of the shared acquisition cost alone does not establish the required diminishing returns in diagnostic value; the parity example in Section 4.2 makes that distinction explicit.</w:t>
      </w:r>
    </w:p>
    <w:p>
      <w:pPr>
        <w:pStyle w:val="BodyText"/>
      </w:pPr>
      <w:r>
        <w:t xml:space="preserve">Active feature acquisition also studies how to choose additional observations for a partially observed instance. Ma et al. [17] combine a partial variational autoencoder with an expected-information-gain acquisition rule, and Li and Oliva [16] use a generative surrogate model to support acquisition-policy learning. These approaches address representation and policy computation. The present analysis isolates a complementary question: how calibration error in a structured acquisition-cost model propagates to decision values when the observation model is held fixed. The synthetic example therefore illustrates the mathematical guarantees, rather than providing a benchmark against learned acquisition methods.</w:t>
      </w:r>
    </w:p>
    <w:p>
      <w:pPr>
        <w:pStyle w:val="BodyText"/>
      </w:pPr>
      <w:r>
        <w:t xml:space="preserve">The fixed observation law in the decision-stability theorem differs from transition uncertainty in robust dynamic programming [13, 21]. Equality of acquisition costs across all experiments is also distinct from Blackwell’s comparison of information experiments [2], because here the likelihoods are held fixed while cost systems are compared.</w:t>
      </w:r>
    </w:p>
    <w:p>
      <w:pPr>
        <w:pStyle w:val="BodyText"/>
      </w:pPr>
      <w:r>
        <w:t xml:space="preserve">The additional tree literature in the revised main article is retained in the bibliography: diversity representation [3], interval-distance tree fitting [8], standard-tree allocations [11], irrigation-game axioms [18], and expected marginal phylogenetic diversity [25]. These works supply context; the direct theorem comparison is in the main article’s Table 1.</w:t>
      </w:r>
    </w:p>
    <w:p>
      <w:pPr>
        <w:pStyle w:val="BodyText"/>
      </w:pPr>
      <w:r>
        <w:t xml:space="preserve">The original manufacturing motivation is connected to graph-based multi-agent scheduling [23]. Its retained numerical example is synthetic and makes no claim to validate that scheduling method.</w:t>
      </w:r>
    </w:p>
    <w:bookmarkEnd w:id="25"/>
    <w:bookmarkStart w:id="26" w:name="X8cf34e33dae393a0a36779b11c682ebc462b8ca"/>
    <w:p>
      <w:pPr>
        <w:pStyle w:val="Heading1"/>
      </w:pPr>
      <w:r>
        <w:t xml:space="preserve">S4. Retained foundational development and original numerical tables</w:t>
      </w:r>
    </w:p>
    <w:bookmarkEnd w:id="26"/>
    <w:bookmarkStart w:id="30" w:name="shared-costs-on-a-rooted-tree"/>
    <w:p>
      <w:pPr>
        <w:pStyle w:val="Heading1"/>
      </w:pPr>
      <w:r>
        <w:t xml:space="preserve">2. Shared costs on a rooted tree</w:t>
      </w:r>
    </w:p>
    <w:bookmarkStart w:id="27" w:name="model-and-notation"/>
    <w:p>
      <w:pPr>
        <w:pStyle w:val="Heading2"/>
      </w:pPr>
      <w:r>
        <w:t xml:space="preserve">2.1. Model and notation</w:t>
      </w:r>
    </w:p>
    <w:p>
      <w:pPr>
        <w:pStyle w:val="FirstParagraph"/>
      </w:pPr>
      <w:r>
        <w:t xml:space="preserve">Let</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label evidence sources, and let</w:t>
      </w:r>
      <w:r>
        <w:t xml:space="preserve"> </w:t>
      </w:r>
      <m:oMath>
        <m:r>
          <m:t>T</m:t>
        </m:r>
      </m:oMath>
      <w:r>
        <w:t xml:space="preserve"> </w:t>
      </w:r>
      <w:r>
        <w:t xml:space="preserve">be a finite tree rooted at a coordinator</w:t>
      </w:r>
      <w:r>
        <w:t xml:space="preserve"> </w:t>
      </w:r>
      <m:oMath>
        <m:r>
          <m:t>r</m:t>
        </m:r>
      </m:oMath>
      <w:r>
        <w:t xml:space="preserve">. Source</w:t>
      </w:r>
      <w:r>
        <w:t xml:space="preserve"> </w:t>
      </w:r>
      <m:oMath>
        <m:r>
          <m:t>i</m:t>
        </m:r>
      </m:oMath>
      <w:r>
        <w:t xml:space="preserve"> </w:t>
      </w:r>
      <w:r>
        <w:t xml:space="preserve">is associated with a vertex and the unique root-to-source path</w:t>
      </w:r>
      <w:r>
        <w:t xml:space="preserve"> </w:t>
      </w:r>
      <m:oMath>
        <m:sSub>
          <m:e>
            <m:r>
              <m:t>P</m:t>
            </m:r>
          </m:e>
          <m:sub>
            <m:r>
              <m:t>i</m:t>
            </m:r>
          </m:sub>
        </m:sSub>
      </m:oMath>
      <w:r>
        <w:t xml:space="preserve">. Each edge</w:t>
      </w:r>
      <w:r>
        <w:t xml:space="preserve"> </w:t>
      </w:r>
      <m:oMath>
        <m:r>
          <m:t>e</m:t>
        </m:r>
      </m:oMath>
      <w:r>
        <w:t xml:space="preserve"> </w:t>
      </w:r>
      <w:r>
        <w:t xml:space="preserve">has activation cost</w:t>
      </w:r>
      <w:r>
        <w:t xml:space="preserve"> </w:t>
      </w:r>
      <m:oMath>
        <m:sSub>
          <m:e>
            <m:r>
              <m:t>a</m:t>
            </m:r>
          </m:e>
          <m:sub>
            <m:r>
              <m:t>e</m:t>
            </m:r>
          </m:sub>
        </m:sSub>
        <m:r>
          <m:rPr>
            <m:sty m:val="p"/>
          </m:rPr>
          <m:t>≥</m:t>
        </m:r>
        <m:r>
          <m:t>0</m:t>
        </m:r>
      </m:oMath>
      <w:r>
        <w:t xml:space="preserve">, and source</w:t>
      </w:r>
      <w:r>
        <w:t xml:space="preserve"> </w:t>
      </w:r>
      <m:oMath>
        <m:r>
          <m:t>i</m:t>
        </m:r>
      </m:oMath>
      <w:r>
        <w:t xml:space="preserve"> </w:t>
      </w:r>
      <w:r>
        <w:t xml:space="preserve">has service cost</w:t>
      </w:r>
      <w:r>
        <w:t xml:space="preserve"> </w:t>
      </w:r>
      <m:oMath>
        <m:sSub>
          <m:e>
            <m:r>
              <m:t>s</m:t>
            </m:r>
          </m:e>
          <m:sub>
            <m:r>
              <m:t>i</m:t>
            </m:r>
          </m:sub>
        </m:sSub>
        <m:r>
          <m:rPr>
            <m:sty m:val="p"/>
          </m:rPr>
          <m:t>≥</m:t>
        </m:r>
        <m:r>
          <m:t>0</m:t>
        </m:r>
      </m:oMath>
      <w:r>
        <w:t xml:space="preserve">.</w:t>
      </w:r>
    </w:p>
    <w:p>
      <w:pPr>
        <w:pStyle w:val="BodyText"/>
      </w:pPr>
      <w:r>
        <w:t xml:space="preserve">Each source is queried at most once during an investigation. An edge is charged when first activated and remains available until the investigation ends.</w:t>
      </w:r>
    </w:p>
    <w:p>
      <w:pPr>
        <w:pStyle w:val="BodyText"/>
      </w:pPr>
      <w:r>
        <w:t xml:space="preserve">For</w:t>
      </w:r>
      <w:r>
        <w:t xml:space="preserve"> </w:t>
      </w:r>
      <m:oMath>
        <m:r>
          <m:t>S</m:t>
        </m:r>
        <m:r>
          <m:rPr>
            <m:sty m:val="p"/>
          </m:rPr>
          <m:t>⊆</m:t>
        </m:r>
        <m:r>
          <m:t>N</m:t>
        </m:r>
      </m:oMath>
      <w:r>
        <w:t xml:space="preserve">, define</w:t>
      </w:r>
    </w:p>
    <w:p>
      <w:pPr>
        <w:pStyle w:val="BodyText"/>
        <w:keepLines/>
        <w:spacing w:before="60" w:after="120"/>
        <w:tabs>
          <w:tab w:val="center" w:pos="4939"/>
          <w:tab w:val="right" w:pos="9878"/>
        </w:tabs>
        <w:jc w:val="left"/>
      </w:pPr>
      <w:r>
        <w:tab/>
      </w:r>
      <m:oMath>
        <m:r>
          <m:t>F</m:t>
        </m:r>
        <m:d>
          <m:dPr>
            <m:begChr m:val="("/>
            <m:endChr m:val=")"/>
            <m:sepChr m:val=""/>
            <m:grow/>
          </m:dPr>
          <m:e>
            <m:r>
              <m:t>S</m:t>
            </m:r>
          </m:e>
        </m:d>
        <m:r>
          <m:rPr>
            <m:sty m:val="p"/>
          </m:rPr>
          <m:t>=</m:t>
        </m:r>
        <m:nary>
          <m:naryPr>
            <m:chr m:val="∑"/>
            <m:limLoc m:val="undOvr"/>
            <m:subHide m:val="off"/>
            <m:supHide m:val="on"/>
          </m:naryPr>
          <m:sub>
            <m:r>
              <m:t>e</m:t>
            </m:r>
            <m:r>
              <m:rPr>
                <m:sty m:val="p"/>
              </m:rPr>
              <m:t>∈</m:t>
            </m:r>
            <m:limLow>
              <m:e>
                <m:r>
                  <m:rPr>
                    <m:sty m:val="p"/>
                  </m:rPr>
                  <m:t>⋃</m:t>
                </m:r>
              </m:e>
              <m:lim>
                <m:r>
                  <m:t>i</m:t>
                </m:r>
                <m:r>
                  <m:rPr>
                    <m:sty m:val="p"/>
                  </m:rPr>
                  <m:t>∈</m:t>
                </m:r>
                <m:r>
                  <m:t>S</m:t>
                </m:r>
              </m:lim>
            </m:limLow>
            <m:sSub>
              <m:e>
                <m:r>
                  <m:t>P</m:t>
                </m:r>
              </m:e>
              <m:sub>
                <m:r>
                  <m:t>i</m:t>
                </m:r>
              </m:sub>
            </m:sSub>
          </m:sub>
          <m:sup>
            <m:r>
              <m:t>​</m:t>
            </m:r>
          </m:sup>
          <m:e>
            <m:sSub>
              <m:e>
                <m:r>
                  <m:t>a</m:t>
                </m:r>
              </m:e>
              <m:sub>
                <m:r>
                  <m:t>e</m:t>
                </m:r>
              </m:sub>
            </m:sSub>
          </m:e>
        </m:nary>
        <m:r>
          <m:rPr>
            <m:sty m:val="p"/>
          </m:rPr>
          <m:t>+</m:t>
        </m:r>
        <m:nary>
          <m:naryPr>
            <m:chr m:val="∑"/>
            <m:limLoc m:val="undOvr"/>
            <m:subHide m:val="off"/>
            <m:supHide m:val="on"/>
          </m:naryPr>
          <m:sub>
            <m:r>
              <m:t>i</m:t>
            </m:r>
            <m:r>
              <m:rPr>
                <m:sty m:val="p"/>
              </m:rPr>
              <m:t>∈</m:t>
            </m:r>
            <m:r>
              <m:t>S</m:t>
            </m:r>
          </m:sub>
          <m:sup>
            <m:r>
              <m:t>​</m:t>
            </m:r>
          </m:sup>
          <m:e>
            <m:sSub>
              <m:e>
                <m:r>
                  <m:t>s</m:t>
                </m:r>
              </m:e>
              <m:sub>
                <m:r>
                  <m:t>i</m:t>
                </m:r>
              </m:sub>
            </m:sSub>
          </m:e>
        </m:nary>
        <m:r>
          <m:rPr>
            <m:sty m:val="p"/>
          </m:rPr>
          <m:t>,</m:t>
        </m:r>
        <m:r>
          <m:t>  </m:t>
        </m:r>
        <m:r>
          <m:t>F</m:t>
        </m:r>
        <m:d>
          <m:dPr>
            <m:begChr m:val="("/>
            <m:endChr m:val=")"/>
            <m:sepChr m:val=""/>
            <m:grow/>
          </m:dPr>
          <m:e>
            <m:r>
              <m:rPr>
                <m:sty m:val="p"/>
              </m:rPr>
              <m:t>⌀</m:t>
            </m:r>
          </m:e>
        </m:d>
        <m:r>
          <m:rPr>
            <m:sty m:val="p"/>
          </m:rPr>
          <m:t>=</m:t>
        </m:r>
        <m:r>
          <m:t>0</m:t>
        </m:r>
        <m:r>
          <m:rPr>
            <m:sty m:val="p"/>
          </m:rPr>
          <m:t>.</m:t>
        </m:r>
      </m:oMath>
      <w:r>
        <w:tab/>
      </w:r>
      <w:r>
        <w:t xml:space="preserve">(1)</w:t>
      </w:r>
    </w:p>
    <w:p>
      <w:pPr>
        <w:pStyle w:val="BodyText"/>
      </w:pPr>
      <w:r>
        <w:t xml:space="preserve">This is a nonnegative, monotone weighted-coverage function. Service costs can be absorbed into private pendant edges of lengths</w:t>
      </w:r>
      <w:r>
        <w:t xml:space="preserve"> </w:t>
      </w:r>
      <m:oMath>
        <m:sSub>
          <m:e>
            <m:r>
              <m:t>s</m:t>
            </m:r>
          </m:e>
          <m:sub>
            <m:r>
              <m:t>i</m:t>
            </m:r>
          </m:sub>
        </m:sSub>
      </m:oMath>
      <w:r>
        <w:t xml:space="preserve">, placing each source label at the new endpoint. Thus all costs may be represented by root-path lengths, allowing zero-length edges.</w:t>
      </w:r>
    </w:p>
    <w:p>
      <w:pPr>
        <w:pStyle w:val="BodyText"/>
      </w:pPr>
      <w:r>
        <w:t xml:space="preserve">Write</w:t>
      </w:r>
    </w:p>
    <w:p>
      <w:pPr>
        <w:pStyle w:val="BodyText"/>
        <w:keepLines/>
        <w:spacing w:before="60" w:after="120"/>
        <w:tabs>
          <w:tab w:val="center" w:pos="4939"/>
          <w:tab w:val="right" w:pos="9878"/>
        </w:tabs>
        <w:jc w:val="left"/>
      </w:pPr>
      <w:r>
        <w:tab/>
      </w:r>
      <m:oMath>
        <m:sSub>
          <m:e>
            <m:r>
              <m:t>c</m:t>
            </m:r>
          </m:e>
          <m:sub>
            <m:r>
              <m:t>i</m:t>
            </m:r>
          </m:sub>
        </m:sSub>
        <m:r>
          <m:rPr>
            <m:sty m:val="p"/>
          </m:rPr>
          <m:t>=</m:t>
        </m:r>
        <m:r>
          <m:t>F</m:t>
        </m:r>
        <m:d>
          <m:dPr>
            <m:begChr m:val="("/>
            <m:endChr m:val=")"/>
            <m:sepChr m:val=""/>
            <m:grow/>
          </m:dPr>
          <m:e>
            <m:r>
              <m:rPr>
                <m:sty m:val="p"/>
              </m:rPr>
              <m:t>{</m:t>
            </m:r>
            <m:r>
              <m:t>i</m:t>
            </m:r>
            <m:r>
              <m:rPr>
                <m:sty m:val="p"/>
              </m:rPr>
              <m:t>}</m:t>
            </m:r>
          </m:e>
        </m:d>
        <m:r>
          <m:rPr>
            <m:sty m:val="p"/>
          </m:rPr>
          <m:t>,</m:t>
        </m:r>
        <m:r>
          <m:t>  </m:t>
        </m:r>
        <m:sSub>
          <m:e>
            <m:r>
              <m:t>c</m:t>
            </m:r>
          </m:e>
          <m:sub>
            <m:r>
              <m:t>i</m:t>
            </m:r>
            <m:r>
              <m:t>j</m:t>
            </m:r>
          </m:sub>
        </m:sSub>
        <m:r>
          <m:rPr>
            <m:sty m:val="p"/>
          </m:rPr>
          <m:t>=</m:t>
        </m:r>
        <m:r>
          <m:t>F</m:t>
        </m:r>
        <m:d>
          <m:dPr>
            <m:begChr m:val="("/>
            <m:endChr m:val=")"/>
            <m:sepChr m:val=""/>
            <m:grow/>
          </m:dPr>
          <m:e>
            <m:r>
              <m:rPr>
                <m:sty m:val="p"/>
              </m:rPr>
              <m:t>{</m:t>
            </m:r>
            <m:r>
              <m:t>i</m:t>
            </m:r>
            <m:r>
              <m:rPr>
                <m:sty m:val="p"/>
              </m:rPr>
              <m:t>,</m:t>
            </m:r>
            <m:r>
              <m:t>j</m:t>
            </m:r>
            <m:r>
              <m:rPr>
                <m:sty m:val="p"/>
              </m:rPr>
              <m:t>}</m:t>
            </m:r>
          </m:e>
        </m:d>
        <m:r>
          <m:rPr>
            <m:sty m:val="p"/>
          </m:rPr>
          <m:t>,</m:t>
        </m:r>
        <m:r>
          <m:t>  </m:t>
        </m:r>
        <m:sSub>
          <m:e>
            <m:r>
              <m:t>o</m:t>
            </m:r>
          </m:e>
          <m:sub>
            <m:r>
              <m:t>i</m:t>
            </m:r>
            <m:r>
              <m:t>j</m:t>
            </m:r>
          </m:sub>
        </m:sSub>
        <m:r>
          <m:rPr>
            <m:sty m:val="p"/>
          </m:rPr>
          <m:t>=</m:t>
        </m:r>
        <m:sSub>
          <m:e>
            <m:r>
              <m:t>c</m:t>
            </m:r>
          </m:e>
          <m:sub>
            <m:r>
              <m:t>i</m:t>
            </m:r>
          </m:sub>
        </m:sSub>
        <m:r>
          <m:rPr>
            <m:sty m:val="p"/>
          </m:rPr>
          <m:t>+</m:t>
        </m:r>
        <m:sSub>
          <m:e>
            <m:r>
              <m:t>c</m:t>
            </m:r>
          </m:e>
          <m:sub>
            <m:r>
              <m:t>j</m:t>
            </m:r>
          </m:sub>
        </m:sSub>
        <m:r>
          <m:rPr>
            <m:sty m:val="p"/>
          </m:rPr>
          <m:t>−</m:t>
        </m:r>
        <m:sSub>
          <m:e>
            <m:r>
              <m:t>c</m:t>
            </m:r>
          </m:e>
          <m:sub>
            <m:r>
              <m:t>i</m:t>
            </m:r>
            <m:r>
              <m:t>j</m:t>
            </m:r>
          </m:sub>
        </m:sSub>
        <m:r>
          <m:rPr>
            <m:sty m:val="p"/>
          </m:rPr>
          <m:t>,</m:t>
        </m:r>
        <m:r>
          <m:t> </m:t>
        </m:r>
        <m:r>
          <m:t>i</m:t>
        </m:r>
        <m:r>
          <m:rPr>
            <m:sty m:val="p"/>
          </m:rPr>
          <m:t>≠</m:t>
        </m:r>
        <m:r>
          <m:t>j</m:t>
        </m:r>
        <m:r>
          <m:rPr>
            <m:sty m:val="p"/>
          </m:rPr>
          <m:t>.</m:t>
        </m:r>
      </m:oMath>
      <w:r>
        <w:tab/>
      </w:r>
      <w:r>
        <w:t xml:space="preserve">(2)</w:t>
      </w:r>
    </w:p>
    <w:p>
      <w:pPr>
        <w:pStyle w:val="BodyText"/>
      </w:pPr>
      <w:r>
        <w:t xml:space="preserve">The quantity</w:t>
      </w:r>
      <w:r>
        <w:t xml:space="preserve"> </w:t>
      </w:r>
      <m:oMath>
        <m:sSub>
          <m:e>
            <m:r>
              <m:t>o</m:t>
            </m:r>
          </m:e>
          <m:sub>
            <m:r>
              <m:t>i</m:t>
            </m:r>
            <m:r>
              <m:t>j</m:t>
            </m:r>
          </m:sub>
        </m:sSub>
      </m:oMath>
      <w:r>
        <w:t xml:space="preserve"> </w:t>
      </w:r>
      <w:r>
        <w:t xml:space="preserve">is the cost of the common prefix of the two root paths. Service costs cancel from this overlap. Let</w:t>
      </w:r>
      <w:r>
        <w:t xml:space="preserve"> </w:t>
      </w:r>
      <m:oMath>
        <m:r>
          <m:rPr>
            <m:sty m:val="p"/>
          </m:rPr>
          <m:t>𝒯</m:t>
        </m:r>
        <m:d>
          <m:dPr>
            <m:begChr m:val="("/>
            <m:endChr m:val=")"/>
            <m:sepChr m:val=""/>
            <m:grow/>
          </m:dPr>
          <m:e>
            <m:r>
              <m:t>S</m:t>
            </m:r>
          </m:e>
        </m:d>
      </m:oMath>
      <w:r>
        <w:t xml:space="preserve"> </w:t>
      </w:r>
      <w:r>
        <w:t xml:space="preserve">denote the spanning trees of the complete graph on</w:t>
      </w:r>
      <w:r>
        <w:t xml:space="preserve"> </w:t>
      </w:r>
      <m:oMath>
        <m:r>
          <m:t>S</m:t>
        </m:r>
      </m:oMath>
      <w:r>
        <w:t xml:space="preserve">, when</w:t>
      </w:r>
      <w:r>
        <w:t xml:space="preserve"> </w:t>
      </w:r>
      <m:oMath>
        <m:box>
          <m:e>
            <m:r>
              <m:t>|</m:t>
            </m:r>
            <m:r>
              <m:t>S</m:t>
            </m:r>
            <m:r>
              <m:t>|</m:t>
            </m:r>
          </m:e>
        </m:box>
        <m:r>
          <m:rPr>
            <m:sty m:val="p"/>
          </m:rPr>
          <m:t>≥</m:t>
        </m:r>
        <m:r>
          <m:t>2</m:t>
        </m:r>
      </m:oMath>
      <w:r>
        <w:t xml:space="preserve">.</w:t>
      </w:r>
    </w:p>
    <w:p>
      <w:pPr>
        <w:pStyle w:val="BodyText"/>
      </w:pPr>
      <w:r>
        <w:t xml:space="preserve">The model describes shared activation or setup expenses. These expenses need not equal packet traffic, inference tokens, or wall-clock latency.</w:t>
      </w:r>
    </w:p>
    <w:bookmarkEnd w:id="27"/>
    <w:bookmarkStart w:id="28" w:name="compatibility-and-marginal-costs"/>
    <w:p>
      <w:pPr>
        <w:pStyle w:val="Heading2"/>
      </w:pPr>
      <w:r>
        <w:t xml:space="preserve">2.2. Compatibility and marginal costs</w:t>
      </w:r>
    </w:p>
    <w:p>
      <w:pPr>
        <w:pStyle w:val="FirstParagraph"/>
        <w:keepNext/>
      </w:pPr>
      <w:r>
        <w:rPr>
          <w:bCs/>
          <w:b/>
        </w:rPr>
        <w:t xml:space="preserve">Proposition 2.1 — Rooted-tree compatibility.</w:t>
      </w:r>
      <w:r>
        <w:t xml:space="preserve"> </w:t>
      </w:r>
      <w:r>
        <w:t xml:space="preserve">A singleton and pair table admits a representation of the form (1) if and only if</w:t>
      </w:r>
      <w:r>
        <w:t xml:space="preserve"> </w:t>
      </w:r>
      <m:oMath>
        <m:sSub>
          <m:e>
            <m:r>
              <m:t>c</m:t>
            </m:r>
          </m:e>
          <m:sub>
            <m:r>
              <m:t>i</m:t>
            </m:r>
          </m:sub>
        </m:sSub>
        <m:r>
          <m:rPr>
            <m:sty m:val="p"/>
          </m:rPr>
          <m:t>≥</m:t>
        </m:r>
        <m:r>
          <m:t>0</m:t>
        </m:r>
      </m:oMath>
      <w:r>
        <w:t xml:space="preserve">, the overlaps are symmetric, and</w:t>
      </w:r>
    </w:p>
    <w:p>
      <w:pPr>
        <w:pStyle w:val="BodyText"/>
        <w:keepLines/>
        <w:spacing w:before="60" w:after="120"/>
        <w:tabs>
          <w:tab w:val="center" w:pos="4939"/>
          <w:tab w:val="right" w:pos="9878"/>
        </w:tabs>
        <w:jc w:val="left"/>
      </w:pPr>
      <w:r>
        <w:tab/>
      </w:r>
      <m:oMath>
        <m:r>
          <m:t>0</m:t>
        </m:r>
        <m:r>
          <m:rPr>
            <m:sty m:val="p"/>
          </m:rPr>
          <m:t>≤</m:t>
        </m:r>
        <m:sSub>
          <m:e>
            <m:r>
              <m:t>o</m:t>
            </m:r>
          </m:e>
          <m:sub>
            <m:r>
              <m:t>i</m:t>
            </m:r>
            <m:r>
              <m:t>j</m:t>
            </m:r>
          </m:sub>
        </m:sSub>
        <m:r>
          <m:rPr>
            <m:sty m:val="p"/>
          </m:rPr>
          <m:t>≤</m:t>
        </m:r>
        <m:r>
          <m:rPr>
            <m:sty m:val="p"/>
            <m:nor/>
          </m:rPr>
          <m:t>min</m:t>
        </m:r>
        <m:d>
          <m:dPr>
            <m:begChr m:val="("/>
            <m:endChr m:val=")"/>
            <m:sepChr m:val=""/>
            <m:grow/>
          </m:dPr>
          <m:e>
            <m:sSub>
              <m:e>
                <m:r>
                  <m:t>c</m:t>
                </m:r>
              </m:e>
              <m:sub>
                <m:r>
                  <m:t>i</m:t>
                </m:r>
              </m:sub>
            </m:sSub>
            <m:r>
              <m:rPr>
                <m:sty m:val="p"/>
              </m:rPr>
              <m:t>,</m:t>
            </m:r>
            <m:sSub>
              <m:e>
                <m:r>
                  <m:t>c</m:t>
                </m:r>
              </m:e>
              <m:sub>
                <m:r>
                  <m:t>j</m:t>
                </m:r>
              </m:sub>
            </m:sSub>
          </m:e>
        </m:d>
        <m:r>
          <m:rPr>
            <m:sty m:val="p"/>
          </m:rPr>
          <m:t>,</m:t>
        </m:r>
        <m:r>
          <m:t>  </m:t>
        </m:r>
        <m:sSub>
          <m:e>
            <m:r>
              <m:t>o</m:t>
            </m:r>
          </m:e>
          <m:sub>
            <m:r>
              <m:t>i</m:t>
            </m:r>
            <m:r>
              <m:t>j</m:t>
            </m:r>
          </m:sub>
        </m:sSub>
        <m:r>
          <m:rPr>
            <m:sty m:val="p"/>
          </m:rPr>
          <m:t>≥</m:t>
        </m:r>
        <m:r>
          <m:rPr>
            <m:sty m:val="p"/>
            <m:nor/>
          </m:rPr>
          <m:t>min</m:t>
        </m:r>
        <m:d>
          <m:dPr>
            <m:begChr m:val="("/>
            <m:endChr m:val=")"/>
            <m:sepChr m:val=""/>
            <m:grow/>
          </m:dPr>
          <m:e>
            <m:sSub>
              <m:e>
                <m:r>
                  <m:t>o</m:t>
                </m:r>
              </m:e>
              <m:sub>
                <m:r>
                  <m:t>i</m:t>
                </m:r>
                <m:r>
                  <m:t>k</m:t>
                </m:r>
              </m:sub>
            </m:sSub>
            <m:r>
              <m:rPr>
                <m:sty m:val="p"/>
              </m:rPr>
              <m:t>,</m:t>
            </m:r>
            <m:sSub>
              <m:e>
                <m:r>
                  <m:t>o</m:t>
                </m:r>
              </m:e>
              <m:sub>
                <m:r>
                  <m:t>j</m:t>
                </m:r>
                <m:r>
                  <m:t>k</m:t>
                </m:r>
              </m:sub>
            </m:sSub>
          </m:e>
        </m:d>
      </m:oMath>
      <w:r>
        <w:tab/>
      </w:r>
      <w:r>
        <w:t xml:space="preserve">(3)</w:t>
      </w:r>
    </w:p>
    <w:p>
      <w:pPr>
        <w:pStyle w:val="BodyText"/>
      </w:pPr>
      <w:r>
        <w:t xml:space="preserve">for distinct relevant indices. Under these conditions,</w:t>
      </w:r>
    </w:p>
    <w:p>
      <w:pPr>
        <w:pStyle w:val="BodyText"/>
        <w:keepLines/>
        <w:spacing w:before="60" w:after="120"/>
        <w:tabs>
          <w:tab w:val="center" w:pos="4939"/>
          <w:tab w:val="right" w:pos="9878"/>
        </w:tabs>
        <w:jc w:val="left"/>
      </w:pPr>
      <w:r>
        <w:tab/>
      </w:r>
      <m:oMath>
        <m:r>
          <m:t>F</m:t>
        </m:r>
        <m:d>
          <m:dPr>
            <m:begChr m:val="("/>
            <m:endChr m:val=")"/>
            <m:sepChr m:val=""/>
            <m:grow/>
          </m:dPr>
          <m:e>
            <m:r>
              <m:t>A</m:t>
            </m:r>
            <m:r>
              <m:rPr>
                <m:sty m:val="p"/>
              </m:rPr>
              <m:t>∪</m:t>
            </m:r>
            <m:r>
              <m:rPr>
                <m:sty m:val="p"/>
              </m:rPr>
              <m:t>{</m:t>
            </m:r>
            <m:r>
              <m:t>j</m:t>
            </m:r>
            <m:r>
              <m:rPr>
                <m:sty m:val="p"/>
              </m:rPr>
              <m:t>}</m:t>
            </m:r>
          </m:e>
        </m:d>
        <m:r>
          <m:rPr>
            <m:sty m:val="p"/>
          </m:rPr>
          <m:t>−</m:t>
        </m:r>
        <m:r>
          <m:t>F</m:t>
        </m:r>
        <m:d>
          <m:dPr>
            <m:begChr m:val="("/>
            <m:endChr m:val=")"/>
            <m:sepChr m:val=""/>
            <m:grow/>
          </m:dPr>
          <m:e>
            <m:r>
              <m:t>A</m:t>
            </m:r>
          </m:e>
        </m:d>
        <m:r>
          <m:rPr>
            <m:sty m:val="p"/>
          </m:rPr>
          <m:t>=</m:t>
        </m:r>
        <m:sSub>
          <m:e>
            <m:r>
              <m:t>c</m:t>
            </m:r>
          </m:e>
          <m:sub>
            <m:r>
              <m:t>j</m:t>
            </m:r>
          </m:sub>
        </m:sSub>
        <m:r>
          <m:rPr>
            <m:sty m:val="p"/>
          </m:rPr>
          <m:t>−</m:t>
        </m:r>
        <m:limLow>
          <m:e>
            <m:r>
              <m:rPr>
                <m:sty m:val="p"/>
                <m:nor/>
              </m:rPr>
              <m:t>max</m:t>
            </m:r>
          </m:e>
          <m:lim>
            <m:r>
              <m:t>i</m:t>
            </m:r>
            <m:r>
              <m:rPr>
                <m:sty m:val="p"/>
              </m:rPr>
              <m:t>∈</m:t>
            </m:r>
            <m:r>
              <m:t>A</m:t>
            </m:r>
          </m:lim>
        </m:limLow>
        <m:sSub>
          <m:e>
            <m:r>
              <m:t>o</m:t>
            </m:r>
          </m:e>
          <m:sub>
            <m:r>
              <m:t>i</m:t>
            </m:r>
            <m:r>
              <m:t>j</m:t>
            </m:r>
          </m:sub>
        </m:sSub>
        <m:r>
          <m:rPr>
            <m:sty m:val="p"/>
          </m:rPr>
          <m:t>,</m:t>
        </m:r>
        <m:r>
          <m:t>  </m:t>
        </m:r>
        <m:r>
          <m:t>j</m:t>
        </m:r>
        <m:r>
          <m:rPr>
            <m:sty m:val="p"/>
          </m:rPr>
          <m:t>∉</m:t>
        </m:r>
        <m:r>
          <m:t>A</m:t>
        </m:r>
        <m:r>
          <m:rPr>
            <m:sty m:val="p"/>
          </m:rPr>
          <m:t>,</m:t>
        </m:r>
      </m:oMath>
      <w:r>
        <w:tab/>
      </w:r>
      <w:r>
        <w:t xml:space="preserve">(4)</w:t>
      </w:r>
    </w:p>
    <w:p>
      <w:pPr>
        <w:pStyle w:val="BodyText"/>
      </w:pPr>
      <w:r>
        <w:t xml:space="preserve">where the maximum over the empty set is zero.</w:t>
      </w:r>
    </w:p>
    <w:p>
      <w:pPr>
        <w:pStyle w:val="BodyText"/>
      </w:pPr>
      <w:r>
        <w:rPr>
          <w:iCs/>
          <w:i/>
        </w:rPr>
        <w:t xml:space="preserve">Proof.</w:t>
      </w:r>
      <w:r>
        <w:t xml:space="preserve"> </w:t>
      </w:r>
      <w:r>
        <w:t xml:space="preserve">In a rooted tree, intersections of root paths are common prefixes. Their lengths give the bounds in (3). If the paths to</w:t>
      </w:r>
      <w:r>
        <w:t xml:space="preserve"> </w:t>
      </w:r>
      <m:oMath>
        <m:r>
          <m:t>i</m:t>
        </m:r>
      </m:oMath>
      <w:r>
        <w:t xml:space="preserve"> </w:t>
      </w:r>
      <w:r>
        <w:t xml:space="preserve">and</w:t>
      </w:r>
      <w:r>
        <w:t xml:space="preserve"> </w:t>
      </w:r>
      <m:oMath>
        <m:r>
          <m:t>k</m:t>
        </m:r>
      </m:oMath>
      <w:r>
        <w:t xml:space="preserve"> </w:t>
      </w:r>
      <w:r>
        <w:t xml:space="preserve">agree to depth</w:t>
      </w:r>
      <w:r>
        <w:t xml:space="preserve"> </w:t>
      </w:r>
      <m:oMath>
        <m:r>
          <m:t>u</m:t>
        </m:r>
      </m:oMath>
      <w:r>
        <w:t xml:space="preserve">, and those to</w:t>
      </w:r>
      <w:r>
        <w:t xml:space="preserve"> </w:t>
      </w:r>
      <m:oMath>
        <m:r>
          <m:t>j</m:t>
        </m:r>
      </m:oMath>
      <w:r>
        <w:t xml:space="preserve"> </w:t>
      </w:r>
      <w:r>
        <w:t xml:space="preserve">and</w:t>
      </w:r>
      <w:r>
        <w:t xml:space="preserve"> </w:t>
      </w:r>
      <m:oMath>
        <m:r>
          <m:t>k</m:t>
        </m:r>
      </m:oMath>
      <w:r>
        <w:t xml:space="preserve"> </w:t>
      </w:r>
      <w:r>
        <w:t xml:space="preserve">agree to depth</w:t>
      </w:r>
      <w:r>
        <w:t xml:space="preserve"> </w:t>
      </w:r>
      <m:oMath>
        <m:r>
          <m:t>v</m:t>
        </m:r>
      </m:oMath>
      <w:r>
        <w:t xml:space="preserve">, the paths to</w:t>
      </w:r>
      <w:r>
        <w:t xml:space="preserve"> </w:t>
      </w:r>
      <m:oMath>
        <m:r>
          <m:t>i</m:t>
        </m:r>
      </m:oMath>
      <w:r>
        <w:t xml:space="preserve"> </w:t>
      </w:r>
      <w:r>
        <w:t xml:space="preserve">and</w:t>
      </w:r>
      <w:r>
        <w:t xml:space="preserve"> </w:t>
      </w:r>
      <m:oMath>
        <m:r>
          <m:t>j</m:t>
        </m:r>
      </m:oMath>
      <w:r>
        <w:t xml:space="preserve"> </w:t>
      </w:r>
      <w:r>
        <w:t xml:space="preserve">agree to depth at least</w:t>
      </w:r>
      <w:r>
        <w:t xml:space="preserve"> </w:t>
      </w:r>
      <m:oMath>
        <m:r>
          <m:rPr>
            <m:sty m:val="p"/>
            <m:nor/>
          </m:rPr>
          <m:t>min</m:t>
        </m:r>
        <m:d>
          <m:dPr>
            <m:begChr m:val="("/>
            <m:endChr m:val=")"/>
            <m:sepChr m:val=""/>
            <m:grow/>
          </m:dPr>
          <m:e>
            <m:r>
              <m:t>u</m:t>
            </m:r>
            <m:r>
              <m:rPr>
                <m:sty m:val="p"/>
              </m:rPr>
              <m:t>,</m:t>
            </m:r>
            <m:r>
              <m:t>v</m:t>
            </m:r>
          </m:e>
        </m:d>
      </m:oMath>
      <w:r>
        <w:t xml:space="preserve">. This proves the last inequality.</w:t>
      </w:r>
    </w:p>
    <w:p>
      <w:pPr>
        <w:pStyle w:val="BodyText"/>
      </w:pPr>
      <w:r>
        <w:t xml:space="preserve">Conversely, at height</w:t>
      </w:r>
      <w:r>
        <w:t xml:space="preserve"> </w:t>
      </w:r>
      <m:oMath>
        <m:r>
          <m:t>t</m:t>
        </m:r>
        <m:r>
          <m:rPr>
            <m:sty m:val="p"/>
          </m:rPr>
          <m:t>≥</m:t>
        </m:r>
        <m:r>
          <m:t>0</m:t>
        </m:r>
      </m:oMath>
      <w:r>
        <w:t xml:space="preserve">, group distinct labels satisfying</w:t>
      </w:r>
      <w:r>
        <w:t xml:space="preserve"> </w:t>
      </w:r>
      <m:oMath>
        <m:sSub>
          <m:e>
            <m:r>
              <m:t>o</m:t>
            </m:r>
          </m:e>
          <m:sub>
            <m:r>
              <m:t>i</m:t>
            </m:r>
            <m:r>
              <m:t>j</m:t>
            </m:r>
          </m:sub>
        </m:sSub>
        <m:r>
          <m:rPr>
            <m:sty m:val="p"/>
          </m:rPr>
          <m:t>≥</m:t>
        </m:r>
        <m:r>
          <m:t>t</m:t>
        </m:r>
      </m:oMath>
      <w:r>
        <w:t xml:space="preserve">, retaining each label as equivalent to itself. The last inequality in (3) makes these groups equivalence classes. As</w:t>
      </w:r>
      <w:r>
        <w:t xml:space="preserve"> </w:t>
      </w:r>
      <m:oMath>
        <m:r>
          <m:t>t</m:t>
        </m:r>
      </m:oMath>
      <w:r>
        <w:t xml:space="preserve"> </w:t>
      </w:r>
      <w:r>
        <w:t xml:space="preserve">increases, the classes refine and form a hierarchy.</w:t>
      </w:r>
    </w:p>
    <w:p>
      <w:pPr>
        <w:pStyle w:val="BodyText"/>
      </w:pPr>
      <w:r>
        <w:t xml:space="preserve">Realize this hierarchy as a rooted tree whose branching depths are the distinct overlap values, with root depth zero. Place label</w:t>
      </w:r>
      <w:r>
        <w:t xml:space="preserve"> </w:t>
      </w:r>
      <m:oMath>
        <m:r>
          <m:t>i</m:t>
        </m:r>
      </m:oMath>
      <w:r>
        <w:t xml:space="preserve"> </w:t>
      </w:r>
      <w:r>
        <w:t xml:space="preserve">at depth</w:t>
      </w:r>
      <w:r>
        <w:t xml:space="preserve"> </w:t>
      </w:r>
      <m:oMath>
        <m:sSub>
          <m:e>
            <m:r>
              <m:t>c</m:t>
            </m:r>
          </m:e>
          <m:sub>
            <m:r>
              <m:t>i</m:t>
            </m:r>
          </m:sub>
        </m:sSub>
      </m:oMath>
      <w:r>
        <w:t xml:space="preserve">. Every nontrivial class containing</w:t>
      </w:r>
      <w:r>
        <w:t xml:space="preserve"> </w:t>
      </w:r>
      <m:oMath>
        <m:r>
          <m:t>i</m:t>
        </m:r>
      </m:oMath>
      <w:r>
        <w:t xml:space="preserve"> </w:t>
      </w:r>
      <w:r>
        <w:t xml:space="preserve">occurs at depth at most</w:t>
      </w:r>
      <w:r>
        <w:t xml:space="preserve"> </w:t>
      </w:r>
      <m:oMath>
        <m:sSub>
          <m:e>
            <m:r>
              <m:t>c</m:t>
            </m:r>
          </m:e>
          <m:sub>
            <m:r>
              <m:t>i</m:t>
            </m:r>
          </m:sub>
        </m:sSub>
      </m:oMath>
      <w:r>
        <w:t xml:space="preserve">, so all edge lengths are nonnegative. Zero-length edges accommodate tied depths. The resulting common-prefix depths are exactly</w:t>
      </w:r>
      <w:r>
        <w:t xml:space="preserve"> </w:t>
      </w:r>
      <m:oMath>
        <m:sSub>
          <m:e>
            <m:r>
              <m:t>o</m:t>
            </m:r>
          </m:e>
          <m:sub>
            <m:r>
              <m:t>i</m:t>
            </m:r>
            <m:r>
              <m:t>j</m:t>
            </m:r>
          </m:sub>
        </m:sSub>
      </m:oMath>
      <w:r>
        <w:t xml:space="preserve">, giving the prescribed individual and pair costs.</w:t>
      </w:r>
    </w:p>
    <w:p>
      <w:pPr>
        <w:pStyle w:val="BodyText"/>
      </w:pPr>
      <w:r>
        <w:t xml:space="preserve">Finally, the intersection of</w:t>
      </w:r>
      <w:r>
        <w:t xml:space="preserve"> </w:t>
      </w:r>
      <m:oMath>
        <m:sSub>
          <m:e>
            <m:r>
              <m:t>P</m:t>
            </m:r>
          </m:e>
          <m:sub>
            <m:r>
              <m:t>j</m:t>
            </m:r>
          </m:sub>
        </m:sSub>
      </m:oMath>
      <w:r>
        <w:t xml:space="preserve"> </w:t>
      </w:r>
      <w:r>
        <w:t xml:space="preserve">with the union of previously activated paths is its longest common prefix with those paths. Subtracting this already-paid length from</w:t>
      </w:r>
      <w:r>
        <w:t xml:space="preserve"> </w:t>
      </w:r>
      <m:oMath>
        <m:sSub>
          <m:e>
            <m:r>
              <m:t>c</m:t>
            </m:r>
          </m:e>
          <m:sub>
            <m:r>
              <m:t>j</m:t>
            </m:r>
          </m:sub>
        </m:sSub>
      </m:oMath>
      <w:r>
        <w:t xml:space="preserve"> </w:t>
      </w:r>
      <w:r>
        <w:t xml:space="preserve">proves (4).</w:t>
      </w:r>
      <w:r>
        <w:t xml:space="preserve"> </w:t>
      </w:r>
      <m:oMath>
        <m:r>
          <m:rPr>
            <m:sty m:val="p"/>
          </m:rPr>
          <m:t>▫</m:t>
        </m:r>
      </m:oMath>
    </w:p>
    <w:p>
      <w:pPr>
        <w:pStyle w:val="BodyText"/>
      </w:pPr>
      <w:r>
        <w:t xml:space="preserve">This construction uses the established correspondence between hierarchical similarities and rooted trees [1,5]. It identifies the set-cost function. A physical subdivision of edges, or a separate decomposition into service and communication expenses, need not be identifiable.</w:t>
      </w:r>
    </w:p>
    <w:bookmarkEnd w:id="28"/>
    <w:bookmarkStart w:id="29" w:name="reconstruction-from-pairs"/>
    <w:p>
      <w:pPr>
        <w:pStyle w:val="Heading2"/>
      </w:pPr>
      <w:r>
        <w:t xml:space="preserve">2.3. Reconstruction from pairs</w:t>
      </w:r>
    </w:p>
    <w:p>
      <w:pPr>
        <w:pStyle w:val="FirstParagraph"/>
        <w:keepNext/>
      </w:pPr>
      <w:r>
        <w:rPr>
          <w:bCs/>
          <w:b/>
        </w:rPr>
        <w:t xml:space="preserve">Proposition 2.2 — Spanning-tree reconstruction.</w:t>
      </w:r>
      <w:r>
        <w:t xml:space="preserve"> </w:t>
      </w:r>
      <w:r>
        <w:t xml:space="preserve">For every</w:t>
      </w:r>
      <w:r>
        <w:t xml:space="preserve"> </w:t>
      </w:r>
      <m:oMath>
        <m:r>
          <m:t>S</m:t>
        </m:r>
        <m:r>
          <m:rPr>
            <m:sty m:val="p"/>
          </m:rPr>
          <m:t>⊆</m:t>
        </m:r>
        <m:r>
          <m:t>N</m:t>
        </m:r>
      </m:oMath>
      <w:r>
        <w:t xml:space="preserve"> </w:t>
      </w:r>
      <w:r>
        <w:t xml:space="preserve">with</w:t>
      </w:r>
      <w:r>
        <w:t xml:space="preserve"> </w:t>
      </w:r>
      <m:oMath>
        <m:r>
          <m:t>m</m:t>
        </m:r>
        <m:r>
          <m:rPr>
            <m:sty m:val="p"/>
          </m:rPr>
          <m:t>=</m:t>
        </m:r>
        <m:box>
          <m:e>
            <m:r>
              <m:t>|</m:t>
            </m:r>
            <m:r>
              <m:t>S</m:t>
            </m:r>
            <m:r>
              <m:t>|</m:t>
            </m:r>
          </m:e>
        </m:box>
        <m:r>
          <m:rPr>
            <m:sty m:val="p"/>
          </m:rPr>
          <m:t>≥</m:t>
        </m:r>
        <m:r>
          <m:t>2</m:t>
        </m:r>
      </m:oMath>
      <w:r>
        <w:t xml:space="preserve">,</w:t>
      </w:r>
    </w:p>
    <w:p>
      <w:pPr>
        <w:pStyle w:val="BodyText"/>
        <w:keepLines/>
        <w:spacing w:before="60" w:after="120"/>
        <w:tabs>
          <w:tab w:val="center" w:pos="4939"/>
          <w:tab w:val="right" w:pos="9878"/>
        </w:tabs>
        <w:jc w:val="left"/>
      </w:pPr>
      <w:r>
        <w:tab/>
      </w:r>
      <m:oMath>
        <m:r>
          <m:t>F</m:t>
        </m:r>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c</m:t>
                </m:r>
              </m:e>
              <m:sub>
                <m:r>
                  <m:t>i</m:t>
                </m:r>
              </m:sub>
            </m:sSub>
          </m:e>
        </m:nary>
        <m:r>
          <m:rPr>
            <m:sty m:val="p"/>
          </m:rPr>
          <m:t>−</m:t>
        </m:r>
        <m:limLow>
          <m:e>
            <m:r>
              <m:rPr>
                <m:sty m:val="p"/>
                <m:nor/>
              </m:rPr>
              <m:t>max</m:t>
            </m:r>
          </m:e>
          <m:lim>
            <m:r>
              <m:t>M</m:t>
            </m:r>
            <m:r>
              <m:rPr>
                <m:sty m:val="p"/>
              </m:rPr>
              <m:t>∈</m:t>
            </m:r>
            <m:r>
              <m:rPr>
                <m:sty m:val="p"/>
              </m:rPr>
              <m:t>𝒯</m:t>
            </m:r>
            <m:d>
              <m:dPr>
                <m:begChr m:val="("/>
                <m:endChr m:val=")"/>
                <m:sepChr m:val=""/>
                <m:grow/>
              </m:dPr>
              <m:e>
                <m:r>
                  <m:t>S</m:t>
                </m:r>
              </m:e>
            </m:d>
          </m:lim>
        </m:limLow>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o</m:t>
                </m:r>
              </m:e>
              <m:sub>
                <m:r>
                  <m:t>i</m:t>
                </m:r>
                <m:r>
                  <m:t>j</m:t>
                </m:r>
              </m:sub>
            </m:sSub>
          </m:e>
        </m:nary>
        <m:r>
          <m:rPr>
            <m:sty m:val="p"/>
          </m:rPr>
          <m:t>.</m:t>
        </m:r>
      </m:oMath>
      <w:r>
        <w:tab/>
      </w:r>
      <w:r>
        <w:t xml:space="preserve">(5)</w:t>
      </w:r>
    </w:p>
    <w:p>
      <w:pPr>
        <w:pStyle w:val="BodyText"/>
      </w:pPr>
      <w:r>
        <w:t xml:space="preserve">Equivalently,</w:t>
      </w:r>
    </w:p>
    <w:p>
      <w:pPr>
        <w:pStyle w:val="BodyText"/>
        <w:keepLines/>
        <w:spacing w:before="60" w:after="120"/>
        <w:tabs>
          <w:tab w:val="center" w:pos="4939"/>
          <w:tab w:val="right" w:pos="9878"/>
        </w:tabs>
        <w:jc w:val="left"/>
      </w:pPr>
      <w:r>
        <w:tab/>
      </w:r>
      <m:oMath>
        <m:r>
          <m:t>F</m:t>
        </m:r>
        <m:d>
          <m:dPr>
            <m:begChr m:val="("/>
            <m:endChr m:val=")"/>
            <m:sepChr m:val=""/>
            <m:grow/>
          </m:dPr>
          <m:e>
            <m:r>
              <m:t>S</m:t>
            </m:r>
          </m:e>
        </m:d>
        <m:r>
          <m:rPr>
            <m:sty m:val="p"/>
          </m:rPr>
          <m:t>=</m:t>
        </m:r>
        <m:limLow>
          <m:e>
            <m:r>
              <m:rPr>
                <m:sty m:val="p"/>
                <m:nor/>
              </m:rPr>
              <m:t>min</m:t>
            </m:r>
          </m:e>
          <m:lim>
            <m:r>
              <m:t>M</m:t>
            </m:r>
            <m:r>
              <m:rPr>
                <m:sty m:val="p"/>
              </m:rPr>
              <m:t>∈</m:t>
            </m:r>
            <m:r>
              <m:rPr>
                <m:sty m:val="p"/>
              </m:rPr>
              <m:t>𝒯</m:t>
            </m:r>
            <m:d>
              <m:dPr>
                <m:begChr m:val="("/>
                <m:endChr m:val=")"/>
                <m:sepChr m:val=""/>
                <m:grow/>
              </m:dPr>
              <m:e>
                <m:r>
                  <m:t>S</m:t>
                </m:r>
              </m:e>
            </m:d>
          </m:lim>
        </m:limLow>
        <m:box>
          <m:e>
            <m: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c</m:t>
                    </m:r>
                  </m:e>
                  <m:sub>
                    <m:r>
                      <m:t>i</m:t>
                    </m:r>
                    <m:r>
                      <m:t>j</m:t>
                    </m:r>
                  </m:sub>
                </m:sSub>
              </m:e>
            </m:nary>
            <m:r>
              <m:rPr>
                <m:sty m:val="p"/>
              </m:rPr>
              <m:t>−</m:t>
            </m:r>
            <m:nary>
              <m:naryPr>
                <m:chr m:val="∑"/>
                <m:limLoc m:val="undOvr"/>
                <m:subHide m:val="off"/>
                <m:supHide m:val="on"/>
              </m:naryPr>
              <m:sub>
                <m:r>
                  <m:t>i</m:t>
                </m:r>
                <m:r>
                  <m:rPr>
                    <m:sty m:val="p"/>
                  </m:rPr>
                  <m:t>∈</m:t>
                </m:r>
                <m:r>
                  <m:t>S</m:t>
                </m:r>
              </m:sub>
              <m:sup>
                <m:r>
                  <m:t>​</m:t>
                </m:r>
              </m:sup>
              <m:e>
                <m:d>
                  <m:dPr>
                    <m:begChr m:val="("/>
                    <m:endChr m:val=")"/>
                    <m:sepChr m:val=""/>
                    <m:grow/>
                  </m:dPr>
                  <m:e>
                    <m:sSub>
                      <m:e>
                        <m:r>
                          <m:rPr>
                            <m:sty m:val="p"/>
                            <m:nor/>
                          </m:rPr>
                          <m:t>deg</m:t>
                        </m:r>
                      </m:e>
                      <m:sub>
                        <m:r>
                          <m:t>M</m:t>
                        </m:r>
                      </m:sub>
                    </m:sSub>
                    <m:d>
                      <m:dPr>
                        <m:begChr m:val="("/>
                        <m:endChr m:val=")"/>
                        <m:sepChr m:val=""/>
                        <m:grow/>
                      </m:dPr>
                      <m:e>
                        <m:r>
                          <m:t>i</m:t>
                        </m:r>
                      </m:e>
                    </m:d>
                    <m:r>
                      <m:rPr>
                        <m:sty m:val="p"/>
                      </m:rPr>
                      <m:t>−</m:t>
                    </m:r>
                    <m:r>
                      <m:t>1</m:t>
                    </m:r>
                  </m:e>
                </m:d>
              </m:e>
            </m:nary>
            <m:sSub>
              <m:e>
                <m:r>
                  <m:t>c</m:t>
                </m:r>
              </m:e>
              <m:sub>
                <m:r>
                  <m:t>i</m:t>
                </m:r>
              </m:sub>
            </m:sSub>
            <m:r>
              <m:t>]</m:t>
            </m:r>
          </m:e>
        </m:box>
        <m:r>
          <m:rPr>
            <m:sty m:val="p"/>
          </m:rPr>
          <m:t>.</m:t>
        </m:r>
      </m:oMath>
      <w:r>
        <w:tab/>
      </w:r>
      <w:r>
        <w:t xml:space="preserve">(6)</w:t>
      </w:r>
    </w:p>
    <w:p>
      <w:pPr>
        <w:pStyle w:val="BodyText"/>
        <w:keepNext/>
      </w:pPr>
      <w:r>
        <w:rPr>
          <w:iCs/>
          <w:i/>
        </w:rPr>
        <w:t xml:space="preserve">Proof.</w:t>
      </w:r>
      <w:r>
        <w:t xml:space="preserve"> </w:t>
      </w:r>
      <w:r>
        <w:t xml:space="preserve">Let</w:t>
      </w:r>
      <w:r>
        <w:t xml:space="preserve"> </w:t>
      </w:r>
      <m:oMath>
        <m:r>
          <m:t>W</m:t>
        </m:r>
        <m:d>
          <m:dPr>
            <m:begChr m:val="("/>
            <m:endChr m:val=")"/>
            <m:sepChr m:val=""/>
            <m:grow/>
          </m:dPr>
          <m:e>
            <m:r>
              <m:t>S</m:t>
            </m:r>
          </m:e>
        </m:d>
      </m:oMath>
      <w:r>
        <w:t xml:space="preserve"> </w:t>
      </w:r>
      <w:r>
        <w:t xml:space="preserve">be the maximum spanning-tree weight in (5). Choose a pair</w:t>
      </w:r>
      <w:r>
        <w:t xml:space="preserve"> </w:t>
      </w:r>
      <m:oMath>
        <m:r>
          <m:t>i</m:t>
        </m:r>
        <m:r>
          <m:rPr>
            <m:sty m:val="p"/>
          </m:rPr>
          <m:t>,</m:t>
        </m:r>
        <m:r>
          <m:t>j</m:t>
        </m:r>
      </m:oMath>
      <w:r>
        <w:t xml:space="preserve"> </w:t>
      </w:r>
      <w:r>
        <w:t xml:space="preserve">of maximum overlap</w:t>
      </w:r>
      <w:r>
        <w:t xml:space="preserve"> </w:t>
      </w:r>
      <m:oMath>
        <m:r>
          <m:t>h</m:t>
        </m:r>
      </m:oMath>
      <w:r>
        <w:t xml:space="preserve"> </w:t>
      </w:r>
      <w:r>
        <w:t xml:space="preserve">in</w:t>
      </w:r>
      <w:r>
        <w:t xml:space="preserve"> </w:t>
      </w:r>
      <m:oMath>
        <m:r>
          <m:t>S</m:t>
        </m:r>
      </m:oMath>
      <w:r>
        <w:t xml:space="preserve">. Equation (4) gives</w:t>
      </w:r>
    </w:p>
    <w:p>
      <w:pPr>
        <w:pStyle w:val="BodyText"/>
        <w:keepLines/>
        <w:spacing w:before="60" w:after="120"/>
        <w:jc w:val="center"/>
      </w:pPr>
      <m:oMathPara>
        <m:oMathParaPr>
          <m:jc m:val="center"/>
        </m:oMathParaPr>
        <m:oMath>
          <m:r>
            <m:t>F</m:t>
          </m:r>
          <m:d>
            <m:dPr>
              <m:begChr m:val="("/>
              <m:endChr m:val=")"/>
              <m:sepChr m:val=""/>
              <m:grow/>
            </m:dPr>
            <m:e>
              <m:r>
                <m:t>S</m:t>
              </m:r>
            </m:e>
          </m:d>
          <m:r>
            <m:rPr>
              <m:sty m:val="p"/>
            </m:rPr>
            <m:t>=</m:t>
          </m:r>
          <m:r>
            <m:t>F</m:t>
          </m:r>
          <m:d>
            <m:dPr>
              <m:begChr m:val="("/>
              <m:endChr m:val=")"/>
              <m:sepChr m:val=""/>
              <m:grow/>
            </m:dPr>
            <m:e>
              <m:r>
                <m:t>S</m:t>
              </m:r>
              <m:r>
                <m:rPr>
                  <m:sty m:val="p"/>
                </m:rPr>
                <m:t>∖</m:t>
              </m:r>
              <m:r>
                <m:rPr>
                  <m:sty m:val="p"/>
                </m:rPr>
                <m:t>{</m:t>
              </m:r>
              <m:r>
                <m:t>j</m:t>
              </m:r>
              <m:r>
                <m:rPr>
                  <m:sty m:val="p"/>
                </m:rPr>
                <m:t>}</m:t>
              </m:r>
            </m:e>
          </m:d>
          <m:r>
            <m:rPr>
              <m:sty m:val="p"/>
            </m:rPr>
            <m:t>+</m:t>
          </m:r>
          <m:sSub>
            <m:e>
              <m:r>
                <m:t>c</m:t>
              </m:r>
            </m:e>
            <m:sub>
              <m:r>
                <m:t>j</m:t>
              </m:r>
            </m:sub>
          </m:sSub>
          <m:r>
            <m:rPr>
              <m:sty m:val="p"/>
            </m:rPr>
            <m:t>−</m:t>
          </m:r>
          <m:r>
            <m:t>h</m:t>
          </m:r>
          <m:r>
            <m:rPr>
              <m:sty m:val="p"/>
            </m:rPr>
            <m:t>.</m:t>
          </m:r>
        </m:oMath>
      </m:oMathPara>
    </w:p>
    <w:p>
      <w:pPr>
        <w:pStyle w:val="FirstParagraph"/>
      </w:pPr>
      <w:r>
        <w:t xml:space="preserve">There is a maximum-weight spanning tree containing edge</w:t>
      </w:r>
      <w:r>
        <w:t xml:space="preserve"> </w:t>
      </w:r>
      <m:oMath>
        <m:r>
          <m:t>i</m:t>
        </m:r>
        <m:r>
          <m:t>j</m:t>
        </m:r>
      </m:oMath>
      <w:r>
        <w:t xml:space="preserve">: adding this globally maximum-weight edge to a maximum tree and removing an edge from the resulting cycle cannot decrease its weight.</w:t>
      </w:r>
    </w:p>
    <w:p>
      <w:pPr>
        <w:pStyle w:val="BodyText"/>
        <w:keepNext/>
      </w:pPr>
      <w:r>
        <w:t xml:space="preserve">Moreover, (3) implies</w:t>
      </w:r>
      <w:r>
        <w:t xml:space="preserve"> </w:t>
      </w:r>
      <m:oMath>
        <m:sSub>
          <m:e>
            <m:r>
              <m:t>o</m:t>
            </m:r>
          </m:e>
          <m:sub>
            <m:r>
              <m:t>i</m:t>
            </m:r>
            <m:r>
              <m:t>k</m:t>
            </m:r>
          </m:sub>
        </m:sSub>
        <m:r>
          <m:rPr>
            <m:sty m:val="p"/>
          </m:rPr>
          <m:t>≥</m:t>
        </m:r>
        <m:sSub>
          <m:e>
            <m:r>
              <m:t>o</m:t>
            </m:r>
          </m:e>
          <m:sub>
            <m:r>
              <m:t>j</m:t>
            </m:r>
            <m:r>
              <m:t>k</m:t>
            </m:r>
          </m:sub>
        </m:sSub>
      </m:oMath>
      <w:r>
        <w:t xml:space="preserve"> </w:t>
      </w:r>
      <w:r>
        <w:t xml:space="preserve">for every</w:t>
      </w:r>
      <w:r>
        <w:t xml:space="preserve"> </w:t>
      </w:r>
      <m:oMath>
        <m:r>
          <m:t>k</m:t>
        </m:r>
        <m:r>
          <m:rPr>
            <m:sty m:val="p"/>
          </m:rPr>
          <m:t>∉</m:t>
        </m:r>
        <m:r>
          <m:rPr>
            <m:sty m:val="p"/>
          </m:rPr>
          <m:t>{</m:t>
        </m:r>
        <m:r>
          <m:t>i</m:t>
        </m:r>
        <m:r>
          <m:rPr>
            <m:sty m:val="p"/>
          </m:rPr>
          <m:t>,</m:t>
        </m:r>
        <m:r>
          <m:t>j</m:t>
        </m:r>
        <m:r>
          <m:rPr>
            <m:sty m:val="p"/>
          </m:rPr>
          <m:t>}</m:t>
        </m:r>
      </m:oMath>
      <w:r>
        <w:t xml:space="preserve">, since</w:t>
      </w:r>
      <w:r>
        <w:t xml:space="preserve"> </w:t>
      </w:r>
      <m:oMath>
        <m:r>
          <m:t>h</m:t>
        </m:r>
        <m:r>
          <m:rPr>
            <m:sty m:val="p"/>
          </m:rPr>
          <m:t>≥</m:t>
        </m:r>
        <m:sSub>
          <m:e>
            <m:r>
              <m:t>o</m:t>
            </m:r>
          </m:e>
          <m:sub>
            <m:r>
              <m:t>j</m:t>
            </m:r>
            <m:r>
              <m:t>k</m:t>
            </m:r>
          </m:sub>
        </m:sSub>
      </m:oMath>
      <w:r>
        <w:t xml:space="preserve">. In a maximum tree containing</w:t>
      </w:r>
      <w:r>
        <w:t xml:space="preserve"> </w:t>
      </w:r>
      <m:oMath>
        <m:r>
          <m:t>i</m:t>
        </m:r>
        <m:r>
          <m:t>j</m:t>
        </m:r>
      </m:oMath>
      <w:r>
        <w:t xml:space="preserve">, replace every other edge</w:t>
      </w:r>
      <w:r>
        <w:t xml:space="preserve"> </w:t>
      </w:r>
      <m:oMath>
        <m:r>
          <m:t>j</m:t>
        </m:r>
        <m:r>
          <m:t>k</m:t>
        </m:r>
      </m:oMath>
      <w:r>
        <w:t xml:space="preserve"> </w:t>
      </w:r>
      <w:r>
        <w:t xml:space="preserve">by</w:t>
      </w:r>
      <w:r>
        <w:t xml:space="preserve"> </w:t>
      </w:r>
      <m:oMath>
        <m:r>
          <m:t>i</m:t>
        </m:r>
        <m:r>
          <m:t>k</m:t>
        </m:r>
      </m:oMath>
      <w:r>
        <w:t xml:space="preserve">. The result remains a spanning tree, its weight does not decrease, and</w:t>
      </w:r>
      <w:r>
        <w:t xml:space="preserve"> </w:t>
      </w:r>
      <m:oMath>
        <m:r>
          <m:t>j</m:t>
        </m:r>
      </m:oMath>
      <w:r>
        <w:t xml:space="preserve"> </w:t>
      </w:r>
      <w:r>
        <w:t xml:space="preserve">becomes a leaf. Its restriction to</w:t>
      </w:r>
      <w:r>
        <w:t xml:space="preserve"> </w:t>
      </w:r>
      <m:oMath>
        <m:r>
          <m:t>S</m:t>
        </m:r>
        <m:r>
          <m:rPr>
            <m:sty m:val="p"/>
          </m:rPr>
          <m:t>∖</m:t>
        </m:r>
        <m:r>
          <m:rPr>
            <m:sty m:val="p"/>
          </m:rPr>
          <m:t>{</m:t>
        </m:r>
        <m:r>
          <m:t>j</m:t>
        </m:r>
        <m:r>
          <m:rPr>
            <m:sty m:val="p"/>
          </m:rPr>
          <m:t>}</m:t>
        </m:r>
      </m:oMath>
      <w:r>
        <w:t xml:space="preserve"> </w:t>
      </w:r>
      <w:r>
        <w:t xml:space="preserve">must also be maximum. Consequently,</w:t>
      </w:r>
    </w:p>
    <w:p>
      <w:pPr>
        <w:pStyle w:val="BodyText"/>
        <w:keepLines/>
        <w:spacing w:before="60" w:after="120"/>
        <w:jc w:val="center"/>
      </w:pPr>
      <m:oMathPara>
        <m:oMathParaPr>
          <m:jc m:val="center"/>
        </m:oMathParaPr>
        <m:oMath>
          <m:r>
            <m:t>W</m:t>
          </m:r>
          <m:d>
            <m:dPr>
              <m:begChr m:val="("/>
              <m:endChr m:val=")"/>
              <m:sepChr m:val=""/>
              <m:grow/>
            </m:dPr>
            <m:e>
              <m:r>
                <m:t>S</m:t>
              </m:r>
            </m:e>
          </m:d>
          <m:r>
            <m:rPr>
              <m:sty m:val="p"/>
            </m:rPr>
            <m:t>=</m:t>
          </m:r>
          <m:r>
            <m:t>W</m:t>
          </m:r>
          <m:d>
            <m:dPr>
              <m:begChr m:val="("/>
              <m:endChr m:val=")"/>
              <m:sepChr m:val=""/>
              <m:grow/>
            </m:dPr>
            <m:e>
              <m:r>
                <m:t>S</m:t>
              </m:r>
              <m:r>
                <m:rPr>
                  <m:sty m:val="p"/>
                </m:rPr>
                <m:t>∖</m:t>
              </m:r>
              <m:r>
                <m:rPr>
                  <m:sty m:val="p"/>
                </m:rPr>
                <m:t>{</m:t>
              </m:r>
              <m:r>
                <m:t>j</m:t>
              </m:r>
              <m:r>
                <m:rPr>
                  <m:sty m:val="p"/>
                </m:rPr>
                <m:t>}</m:t>
              </m:r>
            </m:e>
          </m:d>
          <m:r>
            <m:rPr>
              <m:sty m:val="p"/>
            </m:rPr>
            <m:t>+</m:t>
          </m:r>
          <m:r>
            <m:t>h</m:t>
          </m:r>
          <m:r>
            <m:rPr>
              <m:sty m:val="p"/>
            </m:rPr>
            <m:t>.</m:t>
          </m:r>
        </m:oMath>
      </m:oMathPara>
    </w:p>
    <w:p>
      <w:pPr>
        <w:pStyle w:val="FirstParagraph"/>
      </w:pPr>
      <w:r>
        <w:t xml:space="preserve">Induction, beginning with a singleton of spanning-tree weight zero, proves (5). Substituting (2) and collecting singleton coefficients proves (6).</w:t>
      </w:r>
      <w:r>
        <w:t xml:space="preserve"> </w:t>
      </w:r>
      <m:oMath>
        <m:r>
          <m:rPr>
            <m:sty m:val="p"/>
          </m:rPr>
          <m:t>▫</m:t>
        </m:r>
      </m:oMath>
    </w:p>
    <w:p>
      <w:pPr>
        <w:pStyle w:val="BodyText"/>
      </w:pPr>
      <w:r>
        <w:t xml:space="preserve">The expression has the same spanning-tree structure as Hunter’s union bound [12]; rooted-path structure makes it exact. A dense maximum-spanning-tree algorithm evaluates a specified</w:t>
      </w:r>
      <w:r>
        <w:t xml:space="preserve"> </w:t>
      </w:r>
      <m:oMath>
        <m:r>
          <m:t>m</m:t>
        </m:r>
      </m:oMath>
      <w:r>
        <w:t xml:space="preserve">-source cost in</w:t>
      </w:r>
      <w:r>
        <w:t xml:space="preserve"> </w:t>
      </w:r>
      <m:oMath>
        <m:r>
          <m:t>O</m:t>
        </m:r>
        <m:d>
          <m:dPr>
            <m:begChr m:val="("/>
            <m:endChr m:val=")"/>
            <m:sepChr m:val=""/>
            <m:grow/>
          </m:dPr>
          <m:e>
            <m:sSup>
              <m:e>
                <m:r>
                  <m:t>m</m:t>
                </m:r>
              </m:e>
              <m:sup>
                <m:r>
                  <m:t>2</m:t>
                </m:r>
              </m:sup>
            </m:sSup>
          </m:e>
        </m:d>
      </m:oMath>
      <w:r>
        <w:t xml:space="preserve"> </w:t>
      </w:r>
      <w:r>
        <w:t xml:space="preserve">arithmetic operations. All subset costs are represented by</w:t>
      </w:r>
      <w:r>
        <w:t xml:space="preserve"> </w:t>
      </w:r>
      <m:oMath>
        <m:r>
          <m:t>O</m:t>
        </m:r>
        <m:d>
          <m:dPr>
            <m:begChr m:val="("/>
            <m:endChr m:val=")"/>
            <m:sepChr m:val=""/>
            <m:grow/>
          </m:dPr>
          <m:e>
            <m:sSup>
              <m:e>
                <m:r>
                  <m:t>n</m:t>
                </m:r>
              </m:e>
              <m:sup>
                <m:r>
                  <m:t>2</m:t>
                </m:r>
              </m:sup>
            </m:sSup>
          </m:e>
        </m:d>
      </m:oMath>
      <w:r>
        <w:t xml:space="preserve"> </w:t>
      </w:r>
      <w:r>
        <w:t xml:space="preserve">measurements, although explicitly listing them requires exponential space.</w:t>
      </w:r>
    </w:p>
    <w:bookmarkEnd w:id="29"/>
    <w:bookmarkEnd w:id="30"/>
    <w:bookmarkStart w:id="33" w:name="minimax-recovery-under-measurement-error"/>
    <w:p>
      <w:pPr>
        <w:pStyle w:val="Heading1"/>
      </w:pPr>
      <w:r>
        <w:t xml:space="preserve">3. Minimax recovery under measurement error</w:t>
      </w:r>
    </w:p>
    <w:p>
      <w:pPr>
        <w:pStyle w:val="FirstParagraph"/>
      </w:pPr>
      <w:r>
        <w:t xml:space="preserve">Suppose measurements satisfy</w:t>
      </w:r>
    </w:p>
    <w:p>
      <w:pPr>
        <w:pStyle w:val="BodyText"/>
        <w:keepLines/>
        <w:spacing w:before="60" w:after="120"/>
        <w:tabs>
          <w:tab w:val="center" w:pos="4939"/>
          <w:tab w:val="right" w:pos="9878"/>
        </w:tabs>
        <w:jc w:val="left"/>
      </w:pPr>
      <w:r>
        <w:tab/>
      </w:r>
      <m:oMath>
        <m:box>
          <m:e>
            <m:r>
              <m:t>|</m:t>
            </m:r>
            <m:sSub>
              <m:e>
                <m:acc>
                  <m:accPr>
                    <m:chr m:val="̃"/>
                  </m:accPr>
                  <m:e>
                    <m:r>
                      <m:t>c</m:t>
                    </m:r>
                  </m:e>
                </m:acc>
              </m:e>
              <m:sub>
                <m:r>
                  <m:t>i</m:t>
                </m:r>
              </m:sub>
            </m:sSub>
            <m:r>
              <m:rPr>
                <m:sty m:val="p"/>
              </m:rPr>
              <m:t>−</m:t>
            </m:r>
            <m:sSub>
              <m:e>
                <m:r>
                  <m:t>c</m:t>
                </m:r>
              </m:e>
              <m:sub>
                <m:r>
                  <m:t>i</m:t>
                </m:r>
              </m:sub>
            </m:sSub>
            <m:r>
              <m:t>|</m:t>
            </m:r>
          </m:e>
        </m:box>
        <m:r>
          <m:rPr>
            <m:sty m:val="p"/>
          </m:rPr>
          <m:t>≤</m:t>
        </m:r>
        <m:r>
          <m:t>ε</m:t>
        </m:r>
        <m:r>
          <m:rPr>
            <m:sty m:val="p"/>
          </m:rPr>
          <m:t>,</m:t>
        </m:r>
        <m:r>
          <m:t>  </m:t>
        </m:r>
        <m:box>
          <m:e>
            <m:r>
              <m:t>|</m:t>
            </m:r>
            <m:sSub>
              <m:e>
                <m:acc>
                  <m:accPr>
                    <m:chr m:val="̃"/>
                  </m:accPr>
                  <m:e>
                    <m:r>
                      <m:t>c</m:t>
                    </m:r>
                  </m:e>
                </m:acc>
              </m:e>
              <m:sub>
                <m:r>
                  <m:t>i</m:t>
                </m:r>
                <m:r>
                  <m:t>j</m:t>
                </m:r>
              </m:sub>
            </m:sSub>
            <m:r>
              <m:rPr>
                <m:sty m:val="p"/>
              </m:rPr>
              <m:t>−</m:t>
            </m:r>
            <m:sSub>
              <m:e>
                <m:r>
                  <m:t>c</m:t>
                </m:r>
              </m:e>
              <m:sub>
                <m:r>
                  <m:t>i</m:t>
                </m:r>
                <m:r>
                  <m:t>j</m:t>
                </m:r>
              </m:sub>
            </m:sSub>
            <m:r>
              <m:t>|</m:t>
            </m:r>
          </m:e>
        </m:box>
        <m:r>
          <m:rPr>
            <m:sty m:val="p"/>
          </m:rPr>
          <m:t>≤</m:t>
        </m:r>
        <m:r>
          <m:t>ε</m:t>
        </m:r>
        <m:r>
          <m:rPr>
            <m:sty m:val="p"/>
          </m:rPr>
          <m:t>.</m:t>
        </m:r>
      </m:oMath>
      <w:r>
        <w:tab/>
      </w:r>
      <w:r>
        <w:t xml:space="preserve">(7)</w:t>
      </w:r>
    </w:p>
    <w:p>
      <w:pPr>
        <w:pStyle w:val="BodyText"/>
      </w:pPr>
      <w:r>
        <w:t xml:space="preserve">The measured table need not satisfy (3). Define</w:t>
      </w:r>
      <w:r>
        <w:t xml:space="preserve"> </w:t>
      </w:r>
      <m:oMath>
        <m:r>
          <m:t>H</m:t>
        </m:r>
        <m:d>
          <m:dPr>
            <m:begChr m:val="("/>
            <m:endChr m:val=")"/>
            <m:sepChr m:val=""/>
            <m:grow/>
          </m:dPr>
          <m:e>
            <m:r>
              <m:rPr>
                <m:sty m:val="p"/>
              </m:rPr>
              <m:t>⌀</m:t>
            </m:r>
          </m:e>
        </m:d>
        <m:r>
          <m:rPr>
            <m:sty m:val="p"/>
          </m:rPr>
          <m:t>=</m:t>
        </m:r>
        <m:r>
          <m:t>0</m:t>
        </m:r>
      </m:oMath>
      <w:r>
        <w:t xml:space="preserve">,</w:t>
      </w:r>
      <w:r>
        <w:t xml:space="preserve"> </w:t>
      </w:r>
      <m:oMath>
        <m:r>
          <m:t>H</m:t>
        </m:r>
        <m:d>
          <m:dPr>
            <m:begChr m:val="("/>
            <m:endChr m:val=")"/>
            <m:sepChr m:val=""/>
            <m:grow/>
          </m:dPr>
          <m:e>
            <m:r>
              <m:rPr>
                <m:sty m:val="p"/>
              </m:rPr>
              <m:t>{</m:t>
            </m:r>
            <m:r>
              <m:t>i</m:t>
            </m:r>
            <m:r>
              <m:rPr>
                <m:sty m:val="p"/>
              </m:rPr>
              <m:t>}</m:t>
            </m:r>
          </m:e>
        </m:d>
        <m:r>
          <m:rPr>
            <m:sty m:val="p"/>
          </m:rPr>
          <m:t>=</m:t>
        </m:r>
        <m:sSub>
          <m:e>
            <m:acc>
              <m:accPr>
                <m:chr m:val="̃"/>
              </m:accPr>
              <m:e>
                <m:r>
                  <m:t>c</m:t>
                </m:r>
              </m:e>
            </m:acc>
          </m:e>
          <m:sub>
            <m:r>
              <m:t>i</m:t>
            </m:r>
          </m:sub>
        </m:sSub>
      </m:oMath>
      <w:r>
        <w:t xml:space="preserve">, and, for</w:t>
      </w:r>
      <w:r>
        <w:t xml:space="preserve"> </w:t>
      </w:r>
      <m:oMath>
        <m:box>
          <m:e>
            <m:r>
              <m:t>|</m:t>
            </m:r>
            <m:r>
              <m:t>S</m:t>
            </m:r>
            <m:r>
              <m:t>|</m:t>
            </m:r>
          </m:e>
        </m:box>
        <m:r>
          <m:rPr>
            <m:sty m:val="p"/>
          </m:rPr>
          <m:t>≥</m:t>
        </m:r>
        <m:r>
          <m:t>2</m:t>
        </m:r>
      </m:oMath>
      <w:r>
        <w:t xml:space="preserve">, define</w:t>
      </w:r>
      <w:r>
        <w:t xml:space="preserve"> </w:t>
      </w:r>
      <m:oMath>
        <m:r>
          <m:t>H</m:t>
        </m:r>
        <m:d>
          <m:dPr>
            <m:begChr m:val="("/>
            <m:endChr m:val=")"/>
            <m:sepChr m:val=""/>
            <m:grow/>
          </m:dPr>
          <m:e>
            <m:r>
              <m:t>S</m:t>
            </m:r>
          </m:e>
        </m:d>
      </m:oMath>
      <w:r>
        <w:t xml:space="preserve"> </w:t>
      </w:r>
      <w:r>
        <w:t xml:space="preserve">by the right side of (6) using measured values.</w:t>
      </w:r>
    </w:p>
    <w:bookmarkStart w:id="31" w:name="exact-recovery-radius"/>
    <w:p>
      <w:pPr>
        <w:pStyle w:val="Heading2"/>
      </w:pPr>
      <w:r>
        <w:t xml:space="preserve">3.1. Exact recovery radius</w:t>
      </w:r>
    </w:p>
    <w:p>
      <w:pPr>
        <w:pStyle w:val="FirstParagraph"/>
        <w:keepNext/>
      </w:pPr>
      <w:r>
        <w:rPr>
          <w:bCs/>
          <w:b/>
        </w:rPr>
        <w:t xml:space="preserve">Theorem 3.1 — Sharp error bound and minimax optimality.</w:t>
      </w:r>
      <w:r>
        <w:t xml:space="preserve"> </w:t>
      </w:r>
      <w:r>
        <w:t xml:space="preserve">Set</w:t>
      </w:r>
    </w:p>
    <w:p>
      <w:pPr>
        <w:pStyle w:val="BodyText"/>
        <w:keepLines/>
        <w:spacing w:before="60" w:after="120"/>
        <w:jc w:val="center"/>
      </w:pPr>
      <m:oMathPara>
        <m:oMathParaPr>
          <m:jc m:val="center"/>
        </m:oMathParaPr>
        <m:oMath>
          <m:sSub>
            <m:e>
              <m:r>
                <m:t>α</m:t>
              </m:r>
            </m:e>
            <m:sub>
              <m:r>
                <m:t>0</m:t>
              </m:r>
            </m:sub>
          </m:sSub>
          <m:r>
            <m:rPr>
              <m:sty m:val="p"/>
            </m:rPr>
            <m:t>=</m:t>
          </m:r>
          <m:r>
            <m:t>0</m:t>
          </m:r>
          <m:r>
            <m:rPr>
              <m:sty m:val="p"/>
            </m:rPr>
            <m:t>,</m:t>
          </m:r>
          <m:r>
            <m:t>  </m:t>
          </m:r>
          <m:sSub>
            <m:e>
              <m:r>
                <m:t>α</m:t>
              </m:r>
            </m:e>
            <m:sub>
              <m:r>
                <m:t>1</m:t>
              </m:r>
            </m:sub>
          </m:sSub>
          <m:r>
            <m:rPr>
              <m:sty m:val="p"/>
            </m:rPr>
            <m:t>=</m:t>
          </m:r>
          <m:r>
            <m:t>1</m:t>
          </m:r>
          <m:r>
            <m:rPr>
              <m:sty m:val="p"/>
            </m:rPr>
            <m:t>,</m:t>
          </m:r>
          <m:r>
            <m:t>  </m:t>
          </m:r>
          <m:sSub>
            <m:e>
              <m:r>
                <m:t>α</m:t>
              </m:r>
            </m:e>
            <m:sub>
              <m:r>
                <m:t>m</m:t>
              </m:r>
            </m:sub>
          </m:sSub>
          <m:r>
            <m:rPr>
              <m:sty m:val="p"/>
            </m:rPr>
            <m:t>=</m:t>
          </m:r>
          <m:r>
            <m:t>2</m:t>
          </m:r>
          <m:r>
            <m:t>m</m:t>
          </m:r>
          <m:r>
            <m:rPr>
              <m:sty m:val="p"/>
            </m:rPr>
            <m:t>−</m:t>
          </m:r>
          <m:r>
            <m:t>3</m:t>
          </m:r>
          <m:r>
            <m:t> </m:t>
          </m:r>
          <m:d>
            <m:dPr>
              <m:begChr m:val="("/>
              <m:endChr m:val=")"/>
              <m:sepChr m:val=""/>
              <m:grow/>
            </m:dPr>
            <m:e>
              <m:r>
                <m:t>m</m:t>
              </m:r>
              <m:r>
                <m:rPr>
                  <m:sty m:val="p"/>
                </m:rPr>
                <m:t>≥</m:t>
              </m:r>
              <m:r>
                <m:t>2</m:t>
              </m:r>
            </m:e>
          </m:d>
          <m:r>
            <m:rPr>
              <m:sty m:val="p"/>
            </m:rPr>
            <m:t>.</m:t>
          </m:r>
        </m:oMath>
      </m:oMathPara>
    </w:p>
    <w:p>
      <w:pPr>
        <w:pStyle w:val="FirstParagraph"/>
      </w:pPr>
      <w:r>
        <w:t xml:space="preserve">Then</w:t>
      </w:r>
    </w:p>
    <w:p>
      <w:pPr>
        <w:pStyle w:val="BodyText"/>
        <w:keepLines/>
        <w:spacing w:before="60" w:after="120"/>
        <w:tabs>
          <w:tab w:val="center" w:pos="4939"/>
          <w:tab w:val="right" w:pos="9878"/>
        </w:tabs>
        <w:jc w:val="left"/>
      </w:pPr>
      <w:r>
        <w:tab/>
      </w:r>
      <m:oMath>
        <m:box>
          <m:e>
            <m:r>
              <m:t>|</m:t>
            </m:r>
            <m:r>
              <m:t>H</m:t>
            </m:r>
            <m:d>
              <m:dPr>
                <m:begChr m:val="("/>
                <m:endChr m:val=")"/>
                <m:sepChr m:val=""/>
                <m:grow/>
              </m:dPr>
              <m:e>
                <m:r>
                  <m:t>S</m:t>
                </m:r>
              </m:e>
            </m:d>
            <m:r>
              <m:rPr>
                <m:sty m:val="p"/>
              </m:rPr>
              <m:t>−</m:t>
            </m:r>
            <m:r>
              <m:t>F</m:t>
            </m:r>
            <m:d>
              <m:dPr>
                <m:begChr m:val="("/>
                <m:endChr m:val=")"/>
                <m:sepChr m:val=""/>
                <m:grow/>
              </m:dPr>
              <m:e>
                <m:r>
                  <m:t>S</m:t>
                </m:r>
              </m:e>
            </m:d>
            <m:r>
              <m:t>|</m:t>
            </m:r>
          </m:e>
        </m:box>
        <m:r>
          <m:rPr>
            <m:sty m:val="p"/>
          </m:rPr>
          <m:t>≤</m:t>
        </m:r>
        <m:sSub>
          <m:e>
            <m:r>
              <m:t>α</m:t>
            </m:r>
          </m:e>
          <m:sub>
            <m:box>
              <m:e>
                <m:r>
                  <m:t>|</m:t>
                </m:r>
                <m:r>
                  <m:t>S</m:t>
                </m:r>
                <m:r>
                  <m:t>|</m:t>
                </m:r>
              </m:e>
            </m:box>
          </m:sub>
        </m:sSub>
        <m:r>
          <m:t>ε</m:t>
        </m:r>
        <m:r>
          <m:rPr>
            <m:sty m:val="p"/>
          </m:rPr>
          <m:t>.</m:t>
        </m:r>
      </m:oMath>
      <w:r>
        <w:tab/>
      </w:r>
      <w:r>
        <w:t xml:space="preserve">(8)</w:t>
      </w:r>
    </w:p>
    <w:p>
      <w:pPr>
        <w:pStyle w:val="BodyText"/>
      </w:pPr>
      <w:r>
        <w:t xml:space="preserve">For each</w:t>
      </w:r>
      <w:r>
        <w:t xml:space="preserve"> </w:t>
      </w:r>
      <m:oMath>
        <m:r>
          <m:t>m</m:t>
        </m:r>
        <m:r>
          <m:rPr>
            <m:sty m:val="p"/>
          </m:rPr>
          <m:t>≥</m:t>
        </m:r>
        <m:r>
          <m:t>2</m:t>
        </m:r>
      </m:oMath>
      <w:r>
        <w:t xml:space="preserve">, the coefficient</w:t>
      </w:r>
      <w:r>
        <w:t xml:space="preserve"> </w:t>
      </w:r>
      <m:oMath>
        <m:r>
          <m:t>2</m:t>
        </m:r>
        <m:r>
          <m:t>m</m:t>
        </m:r>
        <m:r>
          <m:rPr>
            <m:sty m:val="p"/>
          </m:rPr>
          <m:t>−</m:t>
        </m:r>
        <m:r>
          <m:t>3</m:t>
        </m:r>
      </m:oMath>
      <w:r>
        <w:t xml:space="preserve"> </w:t>
      </w:r>
      <w:r>
        <w:t xml:space="preserve">cannot be reduced by replacing</w:t>
      </w:r>
      <w:r>
        <w:t xml:space="preserve"> </w:t>
      </w:r>
      <m:oMath>
        <m:r>
          <m:t>H</m:t>
        </m:r>
      </m:oMath>
      <w:r>
        <w:t xml:space="preserve"> </w:t>
      </w:r>
      <w:r>
        <w:t xml:space="preserve">with any other estimator based only on the individual and pairwise measurements.</w:t>
      </w:r>
    </w:p>
    <w:p>
      <w:pPr>
        <w:pStyle w:val="BodyText"/>
        <w:keepNext/>
      </w:pPr>
      <w:r>
        <w:rPr>
          <w:iCs/>
          <w:i/>
        </w:rPr>
        <w:t xml:space="preserve">Proof.</w:t>
      </w:r>
      <w:r>
        <w:t xml:space="preserve"> </w:t>
      </w:r>
      <w:r>
        <w:t xml:space="preserve">Fix</w:t>
      </w:r>
      <w:r>
        <w:t xml:space="preserve"> </w:t>
      </w:r>
      <m:oMath>
        <m:r>
          <m:t>S</m:t>
        </m:r>
      </m:oMath>
      <w:r>
        <w:t xml:space="preserve"> </w:t>
      </w:r>
      <w:r>
        <w:t xml:space="preserve">of size</w:t>
      </w:r>
      <w:r>
        <w:t xml:space="preserve"> </w:t>
      </w:r>
      <m:oMath>
        <m:r>
          <m:t>m</m:t>
        </m:r>
        <m:r>
          <m:rPr>
            <m:sty m:val="p"/>
          </m:rPr>
          <m:t>≥</m:t>
        </m:r>
        <m:r>
          <m:t>2</m:t>
        </m:r>
      </m:oMath>
      <w:r>
        <w:t xml:space="preserve">. Each spanning-tree expression in (6) contains</w:t>
      </w:r>
      <w:r>
        <w:t xml:space="preserve"> </w:t>
      </w:r>
      <m:oMath>
        <m:r>
          <m:t>m</m:t>
        </m:r>
        <m:r>
          <m:rPr>
            <m:sty m:val="p"/>
          </m:rPr>
          <m:t>−</m:t>
        </m:r>
        <m:r>
          <m:t>1</m:t>
        </m:r>
      </m:oMath>
      <w:r>
        <w:t xml:space="preserve"> </w:t>
      </w:r>
      <w:r>
        <w:t xml:space="preserve">pair terms with coefficient</w:t>
      </w:r>
      <w:r>
        <w:t xml:space="preserve"> </w:t>
      </w:r>
      <m:oMath>
        <m:r>
          <m:rPr>
            <m:sty m:val="p"/>
          </m:rPr>
          <m:t>+</m:t>
        </m:r>
        <m:r>
          <m:t>1</m:t>
        </m:r>
      </m:oMath>
      <w:r>
        <w:t xml:space="preserve">. Since every vertex has degree at least one,</w:t>
      </w:r>
    </w:p>
    <w:p>
      <w:pPr>
        <w:pStyle w:val="BodyText"/>
        <w:keepLines/>
        <w:spacing w:before="60" w:after="120"/>
        <w:jc w:val="center"/>
      </w:pPr>
      <m:oMathPara>
        <m:oMathParaPr>
          <m:jc m:val="center"/>
        </m:oMathParaPr>
        <m:oMath>
          <m:nary>
            <m:naryPr>
              <m:chr m:val="∑"/>
              <m:limLoc m:val="undOvr"/>
              <m:subHide m:val="off"/>
              <m:supHide m:val="on"/>
            </m:naryPr>
            <m:sub>
              <m:r>
                <m:t>i</m:t>
              </m:r>
              <m:r>
                <m:rPr>
                  <m:sty m:val="p"/>
                </m:rPr>
                <m:t>∈</m:t>
              </m:r>
              <m:r>
                <m:t>S</m:t>
              </m:r>
            </m:sub>
            <m:sup>
              <m:r>
                <m:t>​</m:t>
              </m:r>
            </m:sup>
            <m:e>
              <m:box>
                <m:e>
                  <m:r>
                    <m:t>|</m:t>
                  </m:r>
                  <m:sSub>
                    <m:e>
                      <m:r>
                        <m:rPr>
                          <m:sty m:val="p"/>
                          <m:nor/>
                        </m:rPr>
                        <m:t>deg</m:t>
                      </m:r>
                    </m:e>
                    <m:sub>
                      <m:r>
                        <m:t>M</m:t>
                      </m:r>
                    </m:sub>
                  </m:sSub>
                  <m:d>
                    <m:dPr>
                      <m:begChr m:val="("/>
                      <m:endChr m:val=")"/>
                      <m:sepChr m:val=""/>
                      <m:grow/>
                    </m:dPr>
                    <m:e>
                      <m:r>
                        <m:t>i</m:t>
                      </m:r>
                    </m:e>
                  </m:d>
                  <m:r>
                    <m:rPr>
                      <m:sty m:val="p"/>
                    </m:rPr>
                    <m:t>−</m:t>
                  </m:r>
                  <m:r>
                    <m:t>1</m:t>
                  </m:r>
                  <m:r>
                    <m:t>|</m:t>
                  </m:r>
                </m:e>
              </m:box>
            </m:e>
          </m:nary>
          <m:r>
            <m:rPr>
              <m:sty m:val="p"/>
            </m:rPr>
            <m:t>=</m:t>
          </m:r>
          <m:r>
            <m:t>2</m:t>
          </m:r>
          <m:d>
            <m:dPr>
              <m:begChr m:val="("/>
              <m:endChr m:val=")"/>
              <m:sepChr m:val=""/>
              <m:grow/>
            </m:dPr>
            <m:e>
              <m:r>
                <m:t>m</m:t>
              </m:r>
              <m:r>
                <m:rPr>
                  <m:sty m:val="p"/>
                </m:rPr>
                <m:t>−</m:t>
              </m:r>
              <m:r>
                <m:t>1</m:t>
              </m:r>
            </m:e>
          </m:d>
          <m:r>
            <m:rPr>
              <m:sty m:val="p"/>
            </m:rPr>
            <m:t>−</m:t>
          </m:r>
          <m:r>
            <m:t>m</m:t>
          </m:r>
          <m:r>
            <m:rPr>
              <m:sty m:val="p"/>
            </m:rPr>
            <m:t>=</m:t>
          </m:r>
          <m:r>
            <m:t>m</m:t>
          </m:r>
          <m:r>
            <m:rPr>
              <m:sty m:val="p"/>
            </m:rPr>
            <m:t>−</m:t>
          </m:r>
          <m:r>
            <m:t>2</m:t>
          </m:r>
          <m:r>
            <m:rPr>
              <m:sty m:val="p"/>
            </m:rPr>
            <m:t>.</m:t>
          </m:r>
        </m:oMath>
      </m:oMathPara>
    </w:p>
    <w:p>
      <w:pPr>
        <w:pStyle w:val="FirstParagraph"/>
        <w:keepNext/>
      </w:pPr>
      <w:r>
        <w:t xml:space="preserve">Thus each expression changes by at most</w:t>
      </w:r>
    </w:p>
    <w:p>
      <w:pPr>
        <w:pStyle w:val="BodyText"/>
        <w:keepLines/>
        <w:spacing w:before="60" w:after="120"/>
        <w:jc w:val="center"/>
      </w:pPr>
      <m:oMathPara>
        <m:oMathParaPr>
          <m:jc m:val="center"/>
        </m:oMathParaPr>
        <m:oMath>
          <m:d>
            <m:dPr>
              <m:begChr m:val="("/>
              <m:endChr m:val=")"/>
              <m:sepChr m:val=""/>
              <m:grow/>
            </m:dPr>
            <m:e>
              <m:r>
                <m:t>m</m:t>
              </m:r>
              <m:r>
                <m:rPr>
                  <m:sty m:val="p"/>
                </m:rPr>
                <m:t>−</m:t>
              </m:r>
              <m:r>
                <m:t>1</m:t>
              </m:r>
            </m:e>
          </m:d>
          <m:r>
            <m:t>ε</m:t>
          </m:r>
          <m:r>
            <m:rPr>
              <m:sty m:val="p"/>
            </m:rPr>
            <m:t>+</m:t>
          </m:r>
          <m:d>
            <m:dPr>
              <m:begChr m:val="("/>
              <m:endChr m:val=")"/>
              <m:sepChr m:val=""/>
              <m:grow/>
            </m:dPr>
            <m:e>
              <m:r>
                <m:t>m</m:t>
              </m:r>
              <m:r>
                <m:rPr>
                  <m:sty m:val="p"/>
                </m:rPr>
                <m:t>−</m:t>
              </m:r>
              <m:r>
                <m:t>2</m:t>
              </m:r>
            </m:e>
          </m:d>
          <m:r>
            <m:t>ε</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If every member of a finite family of real numbers changes by at most</w:t>
      </w:r>
      <w:r>
        <w:t xml:space="preserve"> </w:t>
      </w:r>
      <m:oMath>
        <m:r>
          <m:t>d</m:t>
        </m:r>
      </m:oMath>
      <w:r>
        <w:t xml:space="preserve">, its minimum changes by at most</w:t>
      </w:r>
      <w:r>
        <w:t xml:space="preserve"> </w:t>
      </w:r>
      <m:oMath>
        <m:r>
          <m:t>d</m:t>
        </m:r>
      </m:oMath>
      <w:r>
        <w:t xml:space="preserve">. Applying this fact to (6) proves (8). The empty and singleton cases are immediate.</w:t>
      </w:r>
    </w:p>
    <w:p>
      <w:pPr>
        <w:pStyle w:val="BodyText"/>
        <w:keepNext/>
      </w:pPr>
      <w:r>
        <w:t xml:space="preserve">For the lower bound, consider</w:t>
      </w:r>
      <w:r>
        <w:t xml:space="preserve"> </w:t>
      </w:r>
      <m:oMath>
        <m:r>
          <m:t>m</m:t>
        </m:r>
      </m:oMath>
      <w:r>
        <w:t xml:space="preserve"> </w:t>
      </w:r>
      <w:r>
        <w:t xml:space="preserve">leaves sharing a trunk of length</w:t>
      </w:r>
      <w:r>
        <w:t xml:space="preserve"> </w:t>
      </w:r>
      <m:oMath>
        <m:r>
          <m:t>a</m:t>
        </m:r>
        <m:r>
          <m:rPr>
            <m:sty m:val="p"/>
          </m:rPr>
          <m:t>&gt;</m:t>
        </m:r>
        <m:r>
          <m:t>3</m:t>
        </m:r>
        <m:r>
          <m:t>ε</m:t>
        </m:r>
      </m:oMath>
      <w:r>
        <w:t xml:space="preserve">, with each pendant edge of length</w:t>
      </w:r>
      <w:r>
        <w:t xml:space="preserve"> </w:t>
      </w:r>
      <m:oMath>
        <m:r>
          <m:t>b</m:t>
        </m:r>
        <m:r>
          <m:rPr>
            <m:sty m:val="p"/>
          </m:rPr>
          <m:t>&gt;</m:t>
        </m:r>
        <m:r>
          <m:t>2</m:t>
        </m:r>
        <m:r>
          <m:t>ε</m:t>
        </m:r>
      </m:oMath>
      <w:r>
        <w:t xml:space="preserve">. Let the measured table be that of this central tree:</w:t>
      </w:r>
    </w:p>
    <w:p>
      <w:pPr>
        <w:pStyle w:val="BodyText"/>
        <w:keepLines/>
        <w:spacing w:before="60" w:after="120"/>
        <w:jc w:val="center"/>
      </w:pPr>
      <m:oMathPara>
        <m:oMathParaPr>
          <m:jc m:val="center"/>
        </m:oMathParaPr>
        <m:oMath>
          <m:sSub>
            <m:e>
              <m:acc>
                <m:accPr>
                  <m:chr m:val="̃"/>
                </m:accPr>
                <m:e>
                  <m:r>
                    <m:t>c</m:t>
                  </m:r>
                </m:e>
              </m:acc>
            </m:e>
            <m:sub>
              <m:r>
                <m:t>i</m:t>
              </m:r>
            </m:sub>
          </m:sSub>
          <m:r>
            <m:rPr>
              <m:sty m:val="p"/>
            </m:rPr>
            <m:t>=</m:t>
          </m:r>
          <m:r>
            <m:t>a</m:t>
          </m:r>
          <m:r>
            <m:rPr>
              <m:sty m:val="p"/>
            </m:rPr>
            <m:t>+</m:t>
          </m:r>
          <m:r>
            <m:t>b</m:t>
          </m:r>
          <m:r>
            <m:rPr>
              <m:sty m:val="p"/>
            </m:rPr>
            <m:t>,</m:t>
          </m:r>
          <m:r>
            <m:t>  </m:t>
          </m:r>
          <m:sSub>
            <m:e>
              <m:acc>
                <m:accPr>
                  <m:chr m:val="̃"/>
                </m:accPr>
                <m:e>
                  <m:r>
                    <m:t>c</m:t>
                  </m:r>
                </m:e>
              </m:acc>
            </m:e>
            <m:sub>
              <m:r>
                <m:t>i</m:t>
              </m:r>
              <m:r>
                <m:t>j</m:t>
              </m:r>
            </m:sub>
          </m:sSub>
          <m:r>
            <m:rPr>
              <m:sty m:val="p"/>
            </m:rPr>
            <m:t>=</m:t>
          </m:r>
          <m:r>
            <m:t>a</m:t>
          </m:r>
          <m:r>
            <m:rPr>
              <m:sty m:val="p"/>
            </m:rPr>
            <m:t>+</m:t>
          </m:r>
          <m:r>
            <m:t>2</m:t>
          </m:r>
          <m:r>
            <m:t>b</m:t>
          </m:r>
          <m:r>
            <m:rPr>
              <m:sty m:val="p"/>
            </m:rPr>
            <m:t>.</m:t>
          </m:r>
        </m:oMath>
      </m:oMathPara>
    </w:p>
    <w:p>
      <w:pPr>
        <w:pStyle w:val="FirstParagraph"/>
        <w:keepNext/>
      </w:pPr>
      <w:r>
        <w:t xml:space="preserve">Two possible true trees have trunk and pendant lengths</w:t>
      </w:r>
    </w:p>
    <w:p>
      <w:pPr>
        <w:pStyle w:val="BodyText"/>
        <w:keepNext/>
        <w:keepLines/>
        <w:spacing w:before="60" w:after="120"/>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keepLines/>
        <w:spacing w:before="60" w:after="120"/>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pPr>
      <w:r>
        <w:t xml:space="preserve">All edge lengths are nonnegative. In the first tree, every singleton is lower than its measurement by</w:t>
      </w:r>
      <w:r>
        <w:t xml:space="preserve"> </w:t>
      </w:r>
      <m:oMath>
        <m:r>
          <m:t>ε</m:t>
        </m:r>
      </m:oMath>
      <w:r>
        <w:t xml:space="preserve">, while every pair is higher by</w:t>
      </w:r>
      <w:r>
        <w:t xml:space="preserve"> </w:t>
      </w:r>
      <m:oMath>
        <m:r>
          <m:t>ε</m:t>
        </m:r>
      </m:oMath>
      <w:r>
        <w:t xml:space="preserve">. The signs are reversed in the second tree. Both trees satisfy (7) for the same observed table.</w:t>
      </w:r>
    </w:p>
    <w:p>
      <w:pPr>
        <w:pStyle w:val="BodyText"/>
        <w:keepNext/>
      </w:pPr>
      <w:r>
        <w:t xml:space="preserve">Their full-set costs are</w:t>
      </w:r>
    </w:p>
    <w:p>
      <w:pPr>
        <w:pStyle w:val="BodyText"/>
        <w:keepNext/>
        <w:keepLines/>
        <w:spacing w:before="60" w:after="120"/>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keepLines/>
        <w:spacing w:before="60" w:after="120"/>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An estimator receives identical input in these two cases. Its largest error must be at least half the distance between the two possible costs, namely</w:t>
      </w:r>
      <w:r>
        <w:t xml:space="preserve"> </w:t>
      </w:r>
      <m:oMath>
        <m:d>
          <m:dPr>
            <m:begChr m:val="("/>
            <m:endChr m:val=")"/>
            <m:sepChr m:val=""/>
            <m:grow/>
          </m:dPr>
          <m:e>
            <m:r>
              <m:t>2</m:t>
            </m:r>
            <m:r>
              <m:t>m</m:t>
            </m:r>
            <m:r>
              <m:rPr>
                <m:sty m:val="p"/>
              </m:rPr>
              <m:t>−</m:t>
            </m:r>
            <m:r>
              <m:t>3</m:t>
            </m:r>
          </m:e>
        </m:d>
        <m:r>
          <m:t>ε</m:t>
        </m:r>
      </m:oMath>
      <w:r>
        <w:t xml:space="preserve">. Together with (8), this proves minimax optimality.</w:t>
      </w:r>
      <w:r>
        <w:t xml:space="preserve"> </w:t>
      </w:r>
      <m:oMath>
        <m:r>
          <m:rPr>
            <m:sty m:val="p"/>
          </m:rPr>
          <m:t>▫</m:t>
        </m:r>
      </m:oMath>
    </w:p>
    <w:p>
      <w:pPr>
        <w:pStyle w:val="BodyText"/>
      </w:pPr>
      <w:r>
        <w:t xml:space="preserve">Formally, let</w:t>
      </w:r>
      <w:r>
        <w:t xml:space="preserve"> </w:t>
      </w:r>
      <m:oMath>
        <m:sSub>
          <m:e>
            <m:r>
              <m:rPr>
                <m:sty m:val="p"/>
              </m:rPr>
              <m:t>𝒞</m:t>
            </m:r>
          </m:e>
          <m:sub>
            <m:r>
              <m:t>m</m:t>
            </m:r>
          </m:sub>
        </m:sSub>
      </m:oMath>
      <w:r>
        <w:t xml:space="preserve"> </w:t>
      </w:r>
      <w:r>
        <w:t xml:space="preserve">be the class of nonnegative rooted-tree cost functions on</w:t>
      </w:r>
      <w:r>
        <w:t xml:space="preserve"> </w:t>
      </w:r>
      <m:oMath>
        <m:r>
          <m:t>m</m:t>
        </m:r>
      </m:oMath>
      <w:r>
        <w:t xml:space="preserve"> </w:t>
      </w:r>
      <w:r>
        <w:t xml:space="preserve">labels, and let</w:t>
      </w:r>
      <w:r>
        <w:t xml:space="preserve"> </w:t>
      </w:r>
      <m:oMath>
        <m:r>
          <m:t>D</m:t>
        </m:r>
        <m:d>
          <m:dPr>
            <m:begChr m:val="("/>
            <m:endChr m:val=")"/>
            <m:sepChr m:val=""/>
            <m:grow/>
          </m:dPr>
          <m:e>
            <m:r>
              <m:t>F</m:t>
            </m:r>
          </m:e>
        </m:d>
      </m:oMath>
      <w:r>
        <w:t xml:space="preserve"> </w:t>
      </w:r>
      <w:r>
        <w:t xml:space="preserve">be the vector of singleton and pair costs. Then</w:t>
      </w:r>
    </w:p>
    <w:p>
      <w:pPr>
        <w:pStyle w:val="BodyText"/>
        <w:keepLines/>
        <w:spacing w:before="60" w:after="120"/>
        <w:tabs>
          <w:tab w:val="center" w:pos="4939"/>
          <w:tab w:val="right" w:pos="9878"/>
        </w:tabs>
        <w:jc w:val="left"/>
      </w:pPr>
      <w:r>
        <w:tab/>
      </w:r>
      <m:oMath>
        <m:limLow>
          <m:e>
            <m:r>
              <m:rPr>
                <m:sty m:val="p"/>
                <m:nor/>
              </m:rPr>
              <m:t>inf</m:t>
            </m:r>
          </m:e>
          <m:lim>
            <m:r>
              <m:t>R</m:t>
            </m:r>
          </m:lim>
        </m:limLow>
        <m:limLow>
          <m:e>
            <m:r>
              <m:rPr>
                <m:sty m:val="p"/>
                <m:nor/>
              </m:rPr>
              <m:t>sup</m:t>
            </m:r>
          </m:e>
          <m:lim>
            <m:eqArr>
              <m:e>
                <m:r>
                  <m:t>F</m:t>
                </m:r>
                <m:r>
                  <m:rPr>
                    <m:sty m:val="p"/>
                  </m:rPr>
                  <m:t>∈</m:t>
                </m:r>
                <m:sSub>
                  <m:e>
                    <m:r>
                      <m:rPr>
                        <m:sty m:val="p"/>
                      </m:rPr>
                      <m:t>𝒞</m:t>
                    </m:r>
                  </m:e>
                  <m:sub>
                    <m:r>
                      <m:t>m</m:t>
                    </m:r>
                  </m:sub>
                </m:sSub>
                <m:r>
                  <m:rPr>
                    <m:sty m:val="p"/>
                  </m:rPr>
                  <m:t>,</m:t>
                </m:r>
                <m:r>
                  <m:t> </m:t>
                </m:r>
                <m:r>
                  <m:t>z</m:t>
                </m:r>
              </m:e>
              <m:e>
                <m:r>
                  <m:rPr>
                    <m:sty m:val="p"/>
                  </m:rPr>
                  <m:t>∥</m:t>
                </m:r>
                <m:r>
                  <m:t>z</m:t>
                </m:r>
                <m:r>
                  <m:rPr>
                    <m:sty m:val="p"/>
                  </m:rPr>
                  <m:t>−</m:t>
                </m:r>
                <m:r>
                  <m:t>D</m:t>
                </m:r>
                <m:d>
                  <m:dPr>
                    <m:begChr m:val="("/>
                    <m:endChr m:val=")"/>
                    <m:sepChr m:val=""/>
                    <m:grow/>
                  </m:dPr>
                  <m:e>
                    <m:r>
                      <m:t>F</m:t>
                    </m:r>
                  </m:e>
                </m:d>
                <m:sSub>
                  <m:e>
                    <m:r>
                      <m:rPr>
                        <m:sty m:val="p"/>
                      </m:rPr>
                      <m:t>∥</m:t>
                    </m:r>
                  </m:e>
                  <m:sub>
                    <m:r>
                      <m:rPr>
                        <m:sty m:val="p"/>
                      </m:rPr>
                      <m:t>∞</m:t>
                    </m:r>
                  </m:sub>
                </m:sSub>
                <m:r>
                  <m:rPr>
                    <m:sty m:val="p"/>
                  </m:rPr>
                  <m:t>≤</m:t>
                </m:r>
                <m:r>
                  <m:t>ε</m:t>
                </m:r>
              </m:e>
            </m:eqArr>
          </m:lim>
        </m:limLow>
        <m:box>
          <m:e>
            <m:r>
              <m:t>|</m:t>
            </m:r>
            <m:r>
              <m:t>R</m:t>
            </m:r>
            <m:d>
              <m:dPr>
                <m:begChr m:val="("/>
                <m:endChr m:val=")"/>
                <m:sepChr m:val=""/>
                <m:grow/>
              </m:dPr>
              <m:e>
                <m:r>
                  <m:t>z</m:t>
                </m:r>
              </m:e>
            </m:d>
            <m:r>
              <m:rPr>
                <m:sty m:val="p"/>
              </m:rPr>
              <m:t>−</m:t>
            </m:r>
            <m:r>
              <m:t>F</m:t>
            </m:r>
            <m:d>
              <m:dPr>
                <m:begChr m:val="("/>
                <m:endChr m:val=")"/>
                <m:sepChr m:val=""/>
                <m:grow/>
              </m:dPr>
              <m:e>
                <m:r>
                  <m:t>N</m:t>
                </m:r>
              </m:e>
            </m:d>
            <m:r>
              <m:t>|</m:t>
            </m:r>
          </m:e>
        </m:box>
        <m:r>
          <m:rPr>
            <m:sty m:val="p"/>
          </m:rPr>
          <m:t>=</m:t>
        </m:r>
        <m:d>
          <m:dPr>
            <m:begChr m:val="("/>
            <m:endChr m:val=")"/>
            <m:sepChr m:val=""/>
            <m:grow/>
          </m:dPr>
          <m:e>
            <m:r>
              <m:t>2</m:t>
            </m:r>
            <m:r>
              <m:t>m</m:t>
            </m:r>
            <m:r>
              <m:rPr>
                <m:sty m:val="p"/>
              </m:rPr>
              <m:t>−</m:t>
            </m:r>
            <m:r>
              <m:t>3</m:t>
            </m:r>
          </m:e>
        </m:d>
        <m:r>
          <m:t>ε</m:t>
        </m:r>
        <m:r>
          <m:rPr>
            <m:sty m:val="p"/>
          </m:rPr>
          <m:t>,</m:t>
        </m:r>
        <m:r>
          <m:t>  </m:t>
        </m:r>
        <m:r>
          <m:t>m</m:t>
        </m:r>
        <m:r>
          <m:rPr>
            <m:sty m:val="p"/>
          </m:rPr>
          <m:t>≥</m:t>
        </m:r>
        <m:r>
          <m:t>2</m:t>
        </m:r>
        <m:r>
          <m:rPr>
            <m:sty m:val="p"/>
          </m:rPr>
          <m:t>.</m:t>
        </m:r>
      </m:oMath>
      <w:r>
        <w:tab/>
      </w:r>
      <w:r>
        <w:t xml:space="preserve">(9)</w:t>
      </w:r>
    </w:p>
    <w:p>
      <w:pPr>
        <w:pStyle w:val="BodyText"/>
      </w:pPr>
      <w:r>
        <w:t xml:space="preserve">The infimum ranges over estimators</w:t>
      </w:r>
      <w:r>
        <w:t xml:space="preserve"> </w:t>
      </w:r>
      <m:oMath>
        <m:r>
          <m:t>R</m:t>
        </m:r>
      </m:oMath>
      <w:r>
        <w:t xml:space="preserve">.</w:t>
      </w:r>
    </w:p>
    <w:p>
      <w:pPr>
        <w:pStyle w:val="BodyText"/>
        <w:keepNext/>
      </w:pPr>
      <w:r>
        <w:t xml:space="preserve">If singleton errors are bounded by</w:t>
      </w:r>
      <w:r>
        <w:t xml:space="preserve"> </w:t>
      </w:r>
      <m:oMath>
        <m:sSub>
          <m:e>
            <m:r>
              <m:t>ε</m:t>
            </m:r>
          </m:e>
          <m:sub>
            <m:r>
              <m:t>1</m:t>
            </m:r>
          </m:sub>
        </m:sSub>
      </m:oMath>
      <w:r>
        <w:t xml:space="preserve"> </w:t>
      </w:r>
      <w:r>
        <w:t xml:space="preserve">and pair errors by</w:t>
      </w:r>
      <w:r>
        <w:t xml:space="preserve"> </w:t>
      </w:r>
      <m:oMath>
        <m:sSub>
          <m:e>
            <m:r>
              <m:t>ε</m:t>
            </m:r>
          </m:e>
          <m:sub>
            <m:r>
              <m:t>2</m:t>
            </m:r>
          </m:sub>
        </m:sSub>
      </m:oMath>
      <w:r>
        <w:t xml:space="preserve">, the same argument gives the sharp radius</w:t>
      </w:r>
    </w:p>
    <w:p>
      <w:pPr>
        <w:pStyle w:val="BodyText"/>
        <w:keepLines/>
        <w:spacing w:before="60" w:after="120"/>
        <w:jc w:val="center"/>
      </w:pPr>
      <m:oMathPara>
        <m:oMathParaPr>
          <m:jc m:val="center"/>
        </m:oMathParaPr>
        <m:oMath>
          <m:d>
            <m:dPr>
              <m:begChr m:val="("/>
              <m:endChr m:val=")"/>
              <m:sepChr m:val=""/>
              <m:grow/>
            </m:dPr>
            <m:e>
              <m:r>
                <m:t>m</m:t>
              </m:r>
              <m:r>
                <m:rPr>
                  <m:sty m:val="p"/>
                </m:rPr>
                <m:t>−</m:t>
              </m:r>
              <m:r>
                <m:t>2</m:t>
              </m:r>
            </m:e>
          </m:d>
          <m:sSub>
            <m:e>
              <m:r>
                <m:t>ε</m:t>
              </m:r>
            </m:e>
            <m:sub>
              <m:r>
                <m:t>1</m:t>
              </m:r>
            </m:sub>
          </m:sSub>
          <m:r>
            <m:rPr>
              <m:sty m:val="p"/>
            </m:rPr>
            <m:t>+</m:t>
          </m:r>
          <m:d>
            <m:dPr>
              <m:begChr m:val="("/>
              <m:endChr m:val=")"/>
              <m:sepChr m:val=""/>
              <m:grow/>
            </m:dPr>
            <m:e>
              <m:r>
                <m:t>m</m:t>
              </m:r>
              <m:r>
                <m:rPr>
                  <m:sty m:val="p"/>
                </m:rPr>
                <m:t>−</m:t>
              </m:r>
              <m:r>
                <m:t>1</m:t>
              </m:r>
            </m:e>
          </m:d>
          <m:sSub>
            <m:e>
              <m:r>
                <m:t>ε</m:t>
              </m:r>
            </m:e>
            <m:sub>
              <m:r>
                <m:t>2</m:t>
              </m:r>
            </m:sub>
          </m:sSub>
          <m:r>
            <m:rPr>
              <m:sty m:val="p"/>
            </m:rPr>
            <m:t>.</m:t>
          </m:r>
        </m:oMath>
      </m:oMathPara>
    </w:p>
    <w:p>
      <w:pPr>
        <w:pStyle w:val="FirstParagraph"/>
      </w:pPr>
      <w:r>
        <w:t xml:space="preserve">For the lower bound, perturb the trunk by opposite amounts</w:t>
      </w:r>
      <w:r>
        <w:t xml:space="preserve"> </w:t>
      </w:r>
      <m:oMath>
        <m:r>
          <m:t>2</m:t>
        </m:r>
        <m:sSub>
          <m:e>
            <m:r>
              <m:t>ε</m:t>
            </m:r>
          </m:e>
          <m:sub>
            <m:r>
              <m:t>1</m:t>
            </m:r>
          </m:sub>
        </m:sSub>
        <m:r>
          <m:rPr>
            <m:sty m:val="p"/>
          </m:rPr>
          <m:t>+</m:t>
        </m:r>
        <m:sSub>
          <m:e>
            <m:r>
              <m:t>ε</m:t>
            </m:r>
          </m:e>
          <m:sub>
            <m:r>
              <m:t>2</m:t>
            </m:r>
          </m:sub>
        </m:sSub>
      </m:oMath>
      <w:r>
        <w:t xml:space="preserve">, and each pendant edge by opposite amounts</w:t>
      </w:r>
      <w:r>
        <w:t xml:space="preserve"> </w:t>
      </w:r>
      <m:oMath>
        <m:sSub>
          <m:e>
            <m:r>
              <m:t>ε</m:t>
            </m:r>
          </m:e>
          <m:sub>
            <m:r>
              <m:t>1</m:t>
            </m:r>
          </m:sub>
        </m:sSub>
        <m:r>
          <m:rPr>
            <m:sty m:val="p"/>
          </m:rPr>
          <m:t>+</m:t>
        </m:r>
        <m:sSub>
          <m:e>
            <m:r>
              <m:t>ε</m:t>
            </m:r>
          </m:e>
          <m:sub>
            <m:r>
              <m:t>2</m:t>
            </m:r>
          </m:sub>
        </m:sSub>
      </m:oMath>
      <w:r>
        <w:t xml:space="preserve">.</w:t>
      </w:r>
    </w:p>
    <w:bookmarkEnd w:id="31"/>
    <w:bookmarkStart w:id="32" w:name="a-feasible-repair"/>
    <w:p>
      <w:pPr>
        <w:pStyle w:val="Heading2"/>
      </w:pPr>
      <w:r>
        <w:t xml:space="preserve">3.2. A feasible repair</w:t>
      </w:r>
    </w:p>
    <w:p>
      <w:pPr>
        <w:pStyle w:val="FirstParagraph"/>
      </w:pPr>
      <w:r>
        <w:t xml:space="preserve">The direct estimate</w:t>
      </w:r>
      <w:r>
        <w:t xml:space="preserve"> </w:t>
      </w:r>
      <m:oMath>
        <m:r>
          <m:t>H</m:t>
        </m:r>
      </m:oMath>
      <w:r>
        <w:t xml:space="preserve"> </w:t>
      </w:r>
      <w:r>
        <w:t xml:space="preserve">can be nonmonotone when measurements are incompatible. A physical network representation can instead be obtained by repairing the overlaps.</w:t>
      </w:r>
    </w:p>
    <w:p>
      <w:pPr>
        <w:pStyle w:val="BodyText"/>
        <w:keepNext/>
      </w:pPr>
      <w:r>
        <w:t xml:space="preserve">Define</w:t>
      </w:r>
    </w:p>
    <w:p>
      <w:pPr>
        <w:pStyle w:val="BodyText"/>
        <w:keepLines/>
        <w:spacing w:before="60" w:after="120"/>
        <w:jc w:val="center"/>
      </w:pPr>
      <m:oMathPara>
        <m:oMathParaPr>
          <m:jc m:val="center"/>
        </m:oMathParaPr>
        <m:oMath>
          <m:sSub>
            <m:e>
              <m:acc>
                <m:accPr>
                  <m:chr m:val="̂"/>
                </m:accPr>
                <m:e>
                  <m:r>
                    <m:t>c</m:t>
                  </m:r>
                </m:e>
              </m:acc>
            </m:e>
            <m:sub>
              <m:r>
                <m:t>i</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e>
          </m:d>
          <m:r>
            <m:rPr>
              <m:sty m:val="p"/>
            </m:rPr>
            <m:t>,</m:t>
          </m:r>
        </m:oMath>
      </m:oMathPara>
    </w:p>
    <w:p>
      <w:pPr>
        <w:pStyle w:val="FirstParagraph"/>
        <w:keepLines/>
        <w:spacing w:before="60" w:after="120"/>
        <w:tabs>
          <w:tab w:val="center" w:pos="4939"/>
          <w:tab w:val="right" w:pos="9878"/>
        </w:tabs>
        <w:jc w:val="left"/>
      </w:pPr>
      <w:r>
        <w:tab/>
      </w:r>
      <m:oMath>
        <m:sSub>
          <m:e>
            <m:r>
              <m:t>u</m:t>
            </m:r>
          </m:e>
          <m:sub>
            <m:r>
              <m:t>i</m:t>
            </m:r>
            <m:r>
              <m:t>j</m:t>
            </m:r>
          </m:sub>
        </m:sSub>
        <m:r>
          <m:rPr>
            <m:sty m:val="p"/>
          </m:rPr>
          <m:t>=</m:t>
        </m:r>
        <m:r>
          <m:rPr>
            <m:sty m:val="p"/>
            <m:nor/>
          </m:rPr>
          <m:t>min</m:t>
        </m:r>
        <m:box>
          <m:e>
            <m:r>
              <m:t>{</m:t>
            </m:r>
            <m:sSub>
              <m:e>
                <m:acc>
                  <m:accPr>
                    <m:chr m:val="̂"/>
                  </m:accPr>
                  <m:e>
                    <m:r>
                      <m:t>c</m:t>
                    </m:r>
                  </m:e>
                </m:acc>
              </m:e>
              <m:sub>
                <m:r>
                  <m:t>i</m:t>
                </m:r>
              </m:sub>
            </m:sSub>
            <m:r>
              <m:rPr>
                <m:sty m:val="p"/>
              </m:rPr>
              <m:t>,</m:t>
            </m:r>
            <m:sSub>
              <m:e>
                <m:acc>
                  <m:accPr>
                    <m:chr m:val="̂"/>
                  </m:accPr>
                  <m:e>
                    <m:r>
                      <m:t>c</m:t>
                    </m:r>
                  </m:e>
                </m:acc>
              </m:e>
              <m:sub>
                <m:r>
                  <m:t>j</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sSub>
                  <m:e>
                    <m:acc>
                      <m:accPr>
                        <m:chr m:val="̃"/>
                      </m:accPr>
                      <m:e>
                        <m:r>
                          <m:t>c</m:t>
                        </m:r>
                      </m:e>
                    </m:acc>
                  </m:e>
                  <m:sub>
                    <m:r>
                      <m:t>i</m:t>
                    </m:r>
                    <m:r>
                      <m:t>j</m:t>
                    </m:r>
                  </m:sub>
                </m:sSub>
              </m:e>
            </m:d>
            <m:r>
              <m:t>}</m:t>
            </m:r>
          </m:e>
        </m:box>
        <m:r>
          <m:rPr>
            <m:sty m:val="p"/>
          </m:rPr>
          <m:t>.</m:t>
        </m:r>
      </m:oMath>
      <w:r>
        <w:tab/>
      </w:r>
      <w:r>
        <w:t xml:space="preserve">(10)</w:t>
      </w:r>
    </w:p>
    <w:p>
      <w:pPr>
        <w:pStyle w:val="BodyText"/>
      </w:pPr>
      <w:r>
        <w:t xml:space="preserve">For distinct</w:t>
      </w:r>
      <w:r>
        <w:t xml:space="preserve"> </w:t>
      </w:r>
      <m:oMath>
        <m:r>
          <m:t>i</m:t>
        </m:r>
        <m:r>
          <m:rPr>
            <m:sty m:val="p"/>
          </m:rPr>
          <m:t>,</m:t>
        </m:r>
        <m:r>
          <m:t>j</m:t>
        </m:r>
      </m:oMath>
      <w:r>
        <w:t xml:space="preserve">, define the maximum-bottleneck closure</w:t>
      </w:r>
    </w:p>
    <w:p>
      <w:pPr>
        <w:pStyle w:val="BodyText"/>
        <w:keepLines/>
        <w:spacing w:before="60" w:after="120"/>
        <w:tabs>
          <w:tab w:val="center" w:pos="4939"/>
          <w:tab w:val="right" w:pos="9878"/>
        </w:tabs>
        <w:jc w:val="left"/>
      </w:pPr>
      <w:r>
        <w:tab/>
      </w:r>
      <m:oMath>
        <m:sSub>
          <m:e>
            <m:acc>
              <m:accPr>
                <m:chr m:val="̂"/>
              </m:accPr>
              <m:e>
                <m:r>
                  <m:t>o</m:t>
                </m:r>
              </m:e>
            </m:acc>
          </m:e>
          <m:sub>
            <m:r>
              <m:t>i</m:t>
            </m:r>
            <m:r>
              <m:t>j</m:t>
            </m:r>
          </m:sub>
        </m:sSub>
        <m:r>
          <m:rPr>
            <m:sty m:val="p"/>
          </m:rPr>
          <m:t>=</m:t>
        </m:r>
        <m:limLow>
          <m:e>
            <m:r>
              <m:rPr>
                <m:sty m:val="p"/>
                <m:nor/>
              </m:rPr>
              <m:t>max</m:t>
            </m:r>
          </m:e>
          <m:lim>
            <m:r>
              <m:t>γ</m:t>
            </m:r>
            <m:r>
              <m:rPr>
                <m:sty m:val="p"/>
              </m:rPr>
              <m:t>:</m:t>
            </m:r>
            <m:r>
              <m:t>i</m:t>
            </m:r>
            <m:r>
              <m:rPr>
                <m:sty m:val="p"/>
              </m:rPr>
              <m:t>⤳</m:t>
            </m:r>
            <m:r>
              <m:t>j</m:t>
            </m:r>
          </m:lim>
        </m:limLow>
        <m:limLow>
          <m:e>
            <m:r>
              <m:rPr>
                <m:sty m:val="p"/>
                <m:nor/>
              </m:rPr>
              <m:t>min</m:t>
            </m:r>
          </m:e>
          <m:lim>
            <m:r>
              <m:rPr>
                <m:sty m:val="p"/>
              </m:rPr>
              <m:t>{</m:t>
            </m:r>
            <m:r>
              <m:t>u</m:t>
            </m:r>
            <m:r>
              <m:rPr>
                <m:sty m:val="p"/>
              </m:rPr>
              <m:t>,</m:t>
            </m:r>
            <m:r>
              <m:t>v</m:t>
            </m:r>
            <m:r>
              <m:rPr>
                <m:sty m:val="p"/>
              </m:rPr>
              <m:t>}</m:t>
            </m:r>
            <m:r>
              <m:rPr>
                <m:sty m:val="p"/>
              </m:rPr>
              <m:t>∈</m:t>
            </m:r>
            <m:r>
              <m:t>E</m:t>
            </m:r>
            <m:d>
              <m:dPr>
                <m:begChr m:val="("/>
                <m:endChr m:val=")"/>
                <m:sepChr m:val=""/>
                <m:grow/>
              </m:dPr>
              <m:e>
                <m:r>
                  <m:t>γ</m:t>
                </m:r>
              </m:e>
            </m:d>
          </m:lim>
        </m:limLow>
        <m:sSub>
          <m:e>
            <m:r>
              <m:t>u</m:t>
            </m:r>
          </m:e>
          <m:sub>
            <m:r>
              <m:t>u</m:t>
            </m:r>
            <m:r>
              <m:t>v</m:t>
            </m:r>
          </m:sub>
        </m:sSub>
        <m:r>
          <m:rPr>
            <m:sty m:val="p"/>
          </m:rPr>
          <m:t>,</m:t>
        </m:r>
      </m:oMath>
      <w:r>
        <w:tab/>
      </w:r>
      <w:r>
        <w:t xml:space="preserve">(11)</w:t>
      </w:r>
    </w:p>
    <w:p>
      <w:pPr>
        <w:pStyle w:val="BodyText"/>
      </w:pPr>
      <w:r>
        <w:t xml:space="preserve">where the maximum is over simple paths in the complete graph. Let</w:t>
      </w:r>
      <w:r>
        <w:t xml:space="preserve"> </w:t>
      </w:r>
      <m:oMath>
        <m:acc>
          <m:accPr>
            <m:chr m:val="̂"/>
          </m:accPr>
          <m:e>
            <m:r>
              <m:t>F</m:t>
            </m:r>
          </m:e>
        </m:acc>
      </m:oMath>
      <w:r>
        <w:t xml:space="preserve"> </w:t>
      </w:r>
      <w:r>
        <w:t xml:space="preserve">be the rooted-tree cost reconstructed from</w:t>
      </w:r>
      <w:r>
        <w:t xml:space="preserve"> </w:t>
      </w:r>
      <m:oMath>
        <m:acc>
          <m:accPr>
            <m:chr m:val="̂"/>
          </m:accPr>
          <m:e>
            <m:r>
              <m:t>c</m:t>
            </m:r>
          </m:e>
        </m:acc>
        <m:r>
          <m:rPr>
            <m:sty m:val="p"/>
          </m:rPr>
          <m:t>,</m:t>
        </m:r>
        <m:acc>
          <m:accPr>
            <m:chr m:val="̂"/>
          </m:accPr>
          <m:e>
            <m:r>
              <m:t>o</m:t>
            </m:r>
          </m:e>
        </m:acc>
      </m:oMath>
      <w:r>
        <w:t xml:space="preserve">.</w:t>
      </w:r>
    </w:p>
    <w:p>
      <w:pPr>
        <w:pStyle w:val="BodyText"/>
        <w:keepNext/>
      </w:pPr>
      <w:r>
        <w:rPr>
          <w:bCs/>
          <w:b/>
        </w:rPr>
        <w:t xml:space="preserve">Proposition 3.2 — Feasibility and repair error.</w:t>
      </w:r>
      <w:r>
        <w:t xml:space="preserve"> </w:t>
      </w:r>
      <w:r>
        <w:t xml:space="preserve">The repaired table satisfies (3). For every nonempty</w:t>
      </w:r>
      <w:r>
        <w:t xml:space="preserve"> </w:t>
      </w:r>
      <m:oMath>
        <m:r>
          <m:t>S</m:t>
        </m:r>
      </m:oMath>
      <w:r>
        <w:t xml:space="preserve">,</w:t>
      </w:r>
    </w:p>
    <w:p>
      <w:pPr>
        <w:pStyle w:val="BodyText"/>
        <w:keepLines/>
        <w:spacing w:before="60" w:after="120"/>
        <w:tabs>
          <w:tab w:val="center" w:pos="4939"/>
          <w:tab w:val="right" w:pos="9878"/>
        </w:tabs>
        <w:jc w:val="left"/>
      </w:pPr>
      <w:r>
        <w:tab/>
      </w:r>
      <m:oMath>
        <m:box>
          <m:e>
            <m:r>
              <m:t>|</m:t>
            </m:r>
            <m:acc>
              <m:accPr>
                <m:chr m:val="̂"/>
              </m:accPr>
              <m:e>
                <m:r>
                  <m:t>F</m:t>
                </m:r>
              </m:e>
            </m:acc>
            <m:d>
              <m:dPr>
                <m:begChr m:val="("/>
                <m:endChr m:val=")"/>
                <m:sepChr m:val=""/>
                <m:grow/>
              </m:dPr>
              <m:e>
                <m:r>
                  <m:t>S</m:t>
                </m:r>
              </m:e>
            </m:d>
            <m:r>
              <m:rPr>
                <m:sty m:val="p"/>
              </m:rPr>
              <m:t>−</m:t>
            </m:r>
            <m:r>
              <m:t>F</m:t>
            </m:r>
            <m:d>
              <m:dPr>
                <m:begChr m:val="("/>
                <m:endChr m:val=")"/>
                <m:sepChr m:val=""/>
                <m:grow/>
              </m:dPr>
              <m:e>
                <m:r>
                  <m:t>S</m:t>
                </m:r>
              </m:e>
            </m:d>
            <m:r>
              <m:t>|</m:t>
            </m:r>
          </m:e>
        </m:box>
        <m:r>
          <m:rPr>
            <m:sty m:val="p"/>
          </m:rPr>
          <m:t>≤</m:t>
        </m:r>
        <m:d>
          <m:dPr>
            <m:begChr m:val="("/>
            <m:endChr m:val=")"/>
            <m:sepChr m:val=""/>
            <m:grow/>
          </m:dPr>
          <m:e>
            <m:r>
              <m:t>4</m:t>
            </m:r>
            <m:box>
              <m:e>
                <m:r>
                  <m:t>|</m:t>
                </m:r>
                <m:r>
                  <m:t>S</m:t>
                </m:r>
                <m:r>
                  <m:t>|</m:t>
                </m:r>
              </m:e>
            </m:box>
            <m:r>
              <m:rPr>
                <m:sty m:val="p"/>
              </m:rPr>
              <m:t>−</m:t>
            </m:r>
            <m:r>
              <m:t>3</m:t>
            </m:r>
          </m:e>
        </m:d>
        <m:r>
          <m:t>ε</m:t>
        </m:r>
        <m:r>
          <m:rPr>
            <m:sty m:val="p"/>
          </m:rPr>
          <m:t>.</m:t>
        </m:r>
      </m:oMath>
      <w:r>
        <w:tab/>
      </w:r>
      <w:r>
        <w:t xml:space="preserve">(12)</w:t>
      </w:r>
    </w:p>
    <w:p>
      <w:pPr>
        <w:pStyle w:val="BodyText"/>
        <w:keepNext/>
      </w:pPr>
      <w:r>
        <w:rPr>
          <w:iCs/>
          <w:i/>
        </w:rPr>
        <w:t xml:space="preserve">Proof.</w:t>
      </w:r>
      <w:r>
        <w:t xml:space="preserve"> </w:t>
      </w:r>
      <w:r>
        <w:t xml:space="preserve">The closure is symmetric and nonnegative. Every path from</w:t>
      </w:r>
      <w:r>
        <w:t xml:space="preserve"> </w:t>
      </w:r>
      <m:oMath>
        <m:r>
          <m:t>i</m:t>
        </m:r>
      </m:oMath>
      <w:r>
        <w:t xml:space="preserve"> </w:t>
      </w:r>
      <w:r>
        <w:t xml:space="preserve">to</w:t>
      </w:r>
      <w:r>
        <w:t xml:space="preserve"> </w:t>
      </w:r>
      <m:oMath>
        <m:r>
          <m:t>j</m:t>
        </m:r>
      </m:oMath>
      <w:r>
        <w:t xml:space="preserve"> </w:t>
      </w:r>
      <w:r>
        <w:t xml:space="preserve">starts with an edge bounded by</w:t>
      </w:r>
      <w:r>
        <w:t xml:space="preserve"> </w:t>
      </w:r>
      <m:oMath>
        <m:sSub>
          <m:e>
            <m:acc>
              <m:accPr>
                <m:chr m:val="̂"/>
              </m:accPr>
              <m:e>
                <m:r>
                  <m:t>c</m:t>
                </m:r>
              </m:e>
            </m:acc>
          </m:e>
          <m:sub>
            <m:r>
              <m:t>i</m:t>
            </m:r>
          </m:sub>
        </m:sSub>
      </m:oMath>
      <w:r>
        <w:t xml:space="preserve"> </w:t>
      </w:r>
      <w:r>
        <w:t xml:space="preserve">and ends with one bounded by</w:t>
      </w:r>
      <w:r>
        <w:t xml:space="preserve"> </w:t>
      </w:r>
      <m:oMath>
        <m:sSub>
          <m:e>
            <m:acc>
              <m:accPr>
                <m:chr m:val="̂"/>
              </m:accPr>
              <m:e>
                <m:r>
                  <m:t>c</m:t>
                </m:r>
              </m:e>
            </m:acc>
          </m:e>
          <m:sub>
            <m:r>
              <m:t>j</m:t>
            </m:r>
          </m:sub>
        </m:sSub>
      </m:oMath>
      <w:r>
        <w:t xml:space="preserve">. Hence</w:t>
      </w:r>
    </w:p>
    <w:p>
      <w:pPr>
        <w:pStyle w:val="BodyText"/>
        <w:keepLines/>
        <w:spacing w:before="60" w:after="120"/>
        <w:jc w:val="center"/>
      </w:pPr>
      <m:oMathPara>
        <m:oMathParaPr>
          <m:jc m:val="center"/>
        </m:oMathParaPr>
        <m:oMath>
          <m:sSub>
            <m:e>
              <m:acc>
                <m:accPr>
                  <m:chr m:val="̂"/>
                </m:accPr>
                <m:e>
                  <m:r>
                    <m:t>o</m:t>
                  </m:r>
                </m:e>
              </m:acc>
            </m:e>
            <m:sub>
              <m:r>
                <m:t>i</m:t>
              </m:r>
              <m:r>
                <m:t>j</m:t>
              </m:r>
            </m:sub>
          </m:sSub>
          <m:r>
            <m:rPr>
              <m:sty m:val="p"/>
            </m:rPr>
            <m:t>≤</m:t>
          </m:r>
          <m:r>
            <m:rPr>
              <m:sty m:val="p"/>
              <m:nor/>
            </m:rPr>
            <m:t>min</m:t>
          </m:r>
          <m:d>
            <m:dPr>
              <m:begChr m:val="("/>
              <m:endChr m:val=")"/>
              <m:sepChr m:val=""/>
              <m:grow/>
            </m:dPr>
            <m:e>
              <m:sSub>
                <m:e>
                  <m:acc>
                    <m:accPr>
                      <m:chr m:val="̂"/>
                    </m:accPr>
                    <m:e>
                      <m:r>
                        <m:t>c</m:t>
                      </m:r>
                    </m:e>
                  </m:acc>
                </m:e>
                <m:sub>
                  <m:r>
                    <m:t>i</m:t>
                  </m:r>
                </m:sub>
              </m:sSub>
              <m:r>
                <m:rPr>
                  <m:sty m:val="p"/>
                </m:rPr>
                <m:t>,</m:t>
              </m:r>
              <m:sSub>
                <m:e>
                  <m:acc>
                    <m:accPr>
                      <m:chr m:val="̂"/>
                    </m:accPr>
                    <m:e>
                      <m:r>
                        <m:t>c</m:t>
                      </m:r>
                    </m:e>
                  </m:acc>
                </m:e>
                <m:sub>
                  <m:r>
                    <m:t>j</m:t>
                  </m:r>
                </m:sub>
              </m:sSub>
            </m:e>
          </m:d>
          <m:r>
            <m:rPr>
              <m:sty m:val="p"/>
            </m:rPr>
            <m:t>.</m:t>
          </m:r>
        </m:oMath>
      </m:oMathPara>
    </w:p>
    <w:p>
      <w:pPr>
        <w:pStyle w:val="FirstParagraph"/>
      </w:pPr>
      <w:r>
        <w:t xml:space="preserve">Concatenating paths through</w:t>
      </w:r>
      <w:r>
        <w:t xml:space="preserve"> </w:t>
      </w:r>
      <m:oMath>
        <m:r>
          <m:t>k</m:t>
        </m:r>
      </m:oMath>
      <w:r>
        <w:t xml:space="preserve">, and removing loops without reducing the bottleneck, proves the final inequality in (3).</w:t>
      </w:r>
    </w:p>
    <w:p>
      <w:pPr>
        <w:pStyle w:val="BodyText"/>
      </w:pPr>
      <w:r>
        <w:t xml:space="preserve">Singleton clipping has error at most</w:t>
      </w:r>
      <w:r>
        <w:t xml:space="preserve"> </w:t>
      </w:r>
      <m:oMath>
        <m:r>
          <m:t>ε</m:t>
        </m:r>
      </m:oMath>
      <w:r>
        <w:t xml:space="preserve">. Raw overlap errors are at most</w:t>
      </w:r>
      <w:r>
        <w:t xml:space="preserve"> </w:t>
      </w:r>
      <m:oMath>
        <m:r>
          <m:t>3</m:t>
        </m:r>
        <m:r>
          <m:t>ε</m:t>
        </m:r>
      </m:oMath>
      <w:r>
        <w:t xml:space="preserve">. The clipping in (10) preserves this bound because minimum and maximum are nonexpansive in the sup norm.</w:t>
      </w:r>
    </w:p>
    <w:p>
      <w:pPr>
        <w:pStyle w:val="BodyText"/>
        <w:keepNext/>
      </w:pPr>
      <w:r>
        <w:t xml:space="preserve">The maximum-bottleneck operation is also nonexpansive: perturbing every edge value by at most</w:t>
      </w:r>
      <w:r>
        <w:t xml:space="preserve"> </w:t>
      </w:r>
      <m:oMath>
        <m:r>
          <m:t>d</m:t>
        </m:r>
      </m:oMath>
      <w:r>
        <w:t xml:space="preserve"> </w:t>
      </w:r>
      <w:r>
        <w:t xml:space="preserve">perturbs each path bottleneck, and then their maximum, by at most</w:t>
      </w:r>
      <w:r>
        <w:t xml:space="preserve"> </w:t>
      </w:r>
      <m:oMath>
        <m:r>
          <m:t>d</m:t>
        </m:r>
      </m:oMath>
      <w:r>
        <w:t xml:space="preserve">. This operation fixes the true overlap matrix, because repeated application of (3) bounds every path bottleneck by the direct true overlap. Therefore,</w:t>
      </w:r>
    </w:p>
    <w:p>
      <w:pPr>
        <w:pStyle w:val="BodyText"/>
        <w:keepLines/>
        <w:spacing w:before="60" w:after="120"/>
        <w:jc w:val="center"/>
      </w:pPr>
      <m:oMathPara>
        <m:oMathParaPr>
          <m:jc m:val="center"/>
        </m:oMathParaPr>
        <m:oMath>
          <m:r>
            <m:rPr>
              <m:sty m:val="p"/>
            </m:rPr>
            <m:t>∥</m:t>
          </m:r>
          <m:acc>
            <m:accPr>
              <m:chr m:val="̂"/>
            </m:accPr>
            <m:e>
              <m:r>
                <m:t>o</m:t>
              </m:r>
            </m:e>
          </m:acc>
          <m:r>
            <m:rPr>
              <m:sty m:val="p"/>
            </m:rPr>
            <m:t>−</m:t>
          </m:r>
          <m:r>
            <m:t>o</m:t>
          </m:r>
          <m:sSub>
            <m:e>
              <m:r>
                <m:rPr>
                  <m:sty m:val="p"/>
                </m:rPr>
                <m:t>∥</m:t>
              </m:r>
            </m:e>
            <m:sub>
              <m:r>
                <m:rPr>
                  <m:sty m:val="p"/>
                </m:rPr>
                <m:t>∞</m:t>
              </m:r>
            </m:sub>
          </m:sSub>
          <m:r>
            <m:rPr>
              <m:sty m:val="p"/>
            </m:rPr>
            <m:t>≤</m:t>
          </m:r>
          <m:r>
            <m:t>3</m:t>
          </m:r>
          <m:r>
            <m:t>ε</m:t>
          </m:r>
          <m:r>
            <m:rPr>
              <m:sty m:val="p"/>
            </m:rPr>
            <m:t>.</m:t>
          </m:r>
        </m:oMath>
      </m:oMathPara>
    </w:p>
    <w:p>
      <w:pPr>
        <w:pStyle w:val="FirstParagraph"/>
      </w:pPr>
      <w:r>
        <w:t xml:space="preserve">In (5), the singleton sum changes by at most</w:t>
      </w:r>
      <w:r>
        <w:t xml:space="preserve"> </w:t>
      </w:r>
      <m:oMath>
        <m:box>
          <m:e>
            <m:r>
              <m:t>|</m:t>
            </m:r>
            <m:r>
              <m:t>S</m:t>
            </m:r>
            <m:r>
              <m:t>|</m:t>
            </m:r>
          </m:e>
        </m:box>
        <m:r>
          <m:t>ε</m:t>
        </m:r>
      </m:oMath>
      <w:r>
        <w:t xml:space="preserve">, while the maximum spanning-tree weight changes by at most</w:t>
      </w:r>
      <w:r>
        <w:t xml:space="preserve"> </w:t>
      </w:r>
      <m:oMath>
        <m:r>
          <m:t>3</m:t>
        </m:r>
        <m:d>
          <m:dPr>
            <m:begChr m:val="("/>
            <m:endChr m:val=")"/>
            <m:sepChr m:val=""/>
            <m:grow/>
          </m:dPr>
          <m:e>
            <m:box>
              <m:e>
                <m:r>
                  <m:t>|</m:t>
                </m:r>
                <m:r>
                  <m:t>S</m:t>
                </m:r>
                <m:r>
                  <m:t>|</m:t>
                </m:r>
              </m:e>
            </m:box>
            <m:r>
              <m:rPr>
                <m:sty m:val="p"/>
              </m:rPr>
              <m:t>−</m:t>
            </m:r>
            <m:r>
              <m:t>1</m:t>
            </m:r>
          </m:e>
        </m:d>
        <m:r>
          <m:t>ε</m:t>
        </m:r>
      </m:oMath>
      <w:r>
        <w:t xml:space="preserve">. Adding these bounds proves (12).</w:t>
      </w:r>
      <w:r>
        <w:t xml:space="preserve"> </w:t>
      </w:r>
      <m:oMath>
        <m:r>
          <m:rPr>
            <m:sty m:val="p"/>
          </m:rPr>
          <m:t>▫</m:t>
        </m:r>
      </m:oMath>
    </w:p>
    <w:p>
      <w:pPr>
        <w:pStyle w:val="BodyText"/>
      </w:pPr>
      <w:r>
        <w:t xml:space="preserve">The closure is a standard hierarchical operation related to single linkage [5]. A max-min version of Floyd’s algorithm computes it in</w:t>
      </w:r>
      <w:r>
        <w:t xml:space="preserve"> </w:t>
      </w:r>
      <m:oMath>
        <m:r>
          <m:t>O</m:t>
        </m:r>
        <m:d>
          <m:dPr>
            <m:begChr m:val="("/>
            <m:endChr m:val=")"/>
            <m:sepChr m:val=""/>
            <m:grow/>
          </m:dPr>
          <m:e>
            <m:sSup>
              <m:e>
                <m:r>
                  <m:t>n</m:t>
                </m:r>
              </m:e>
              <m:sup>
                <m:r>
                  <m:t>3</m:t>
                </m:r>
              </m:sup>
            </m:sSup>
          </m:e>
        </m:d>
      </m:oMath>
      <w:r>
        <w:t xml:space="preserve"> </w:t>
      </w:r>
      <w:r>
        <w:t xml:space="preserve">time. The constant in (12) is a conservative guarantee; its sharpness is not asserted. Repair supplies nonnegative, monotone physical set costs, while direct recovery has the sharper guarantee in (8).</w:t>
      </w:r>
    </w:p>
    <w:bookmarkEnd w:id="32"/>
    <w:bookmarkEnd w:id="33"/>
    <w:bookmarkStart w:id="36" w:name="sequential-bayesian-decisions"/>
    <w:p>
      <w:pPr>
        <w:pStyle w:val="Heading1"/>
      </w:pPr>
      <w:r>
        <w:t xml:space="preserve">4. Sequential Bayesian decisions</w:t>
      </w:r>
    </w:p>
    <w:bookmarkStart w:id="34" w:name="exact-finite-horizon-solution"/>
    <w:p>
      <w:pPr>
        <w:pStyle w:val="Heading2"/>
      </w:pPr>
      <w:r>
        <w:t xml:space="preserve">4.1. Exact finite-horizon solution</w:t>
      </w:r>
    </w:p>
    <w:p>
      <w:pPr>
        <w:pStyle w:val="FirstParagraph"/>
      </w:pPr>
      <w:r>
        <w:t xml:space="preserve">Let the latent state</w:t>
      </w:r>
      <w:r>
        <w:t xml:space="preserve"> </w:t>
      </w:r>
      <m:oMath>
        <m:r>
          <m:t>X</m:t>
        </m:r>
      </m:oMath>
      <w:r>
        <w:t xml:space="preserve"> </w:t>
      </w:r>
      <w:r>
        <w:t xml:space="preserve">take values in a finite set</w:t>
      </w:r>
      <w:r>
        <w:t xml:space="preserve"> </w:t>
      </w:r>
      <m:oMath>
        <m:r>
          <m:rPr>
            <m:sty m:val="p"/>
          </m:rPr>
          <m:t>𝒳</m:t>
        </m:r>
      </m:oMath>
      <w:r>
        <w:t xml:space="preserve">, with prior</w:t>
      </w:r>
      <w:r>
        <w:t xml:space="preserve"> </w:t>
      </w:r>
      <m:oMath>
        <m:r>
          <m:t>p</m:t>
        </m:r>
      </m:oMath>
      <w:r>
        <w:t xml:space="preserve">. Source</w:t>
      </w:r>
      <w:r>
        <w:t xml:space="preserve"> </w:t>
      </w:r>
      <m:oMath>
        <m:r>
          <m:t>i</m:t>
        </m:r>
      </m:oMath>
      <w:r>
        <w:t xml:space="preserve"> </w:t>
      </w:r>
      <w:r>
        <w:t xml:space="preserve">returns an observation in a finite set</w:t>
      </w:r>
      <w:r>
        <w:t xml:space="preserve"> </w:t>
      </w:r>
      <m:oMath>
        <m:sSub>
          <m:e>
            <m:r>
              <m:rPr>
                <m:sty m:val="p"/>
              </m:rPr>
              <m:t>𝒴</m:t>
            </m:r>
          </m:e>
          <m:sub>
            <m:r>
              <m:t>i</m:t>
            </m:r>
          </m:sub>
        </m:sSub>
      </m:oMath>
      <w:r>
        <w:t xml:space="preserve">, according to a known likelihood</w:t>
      </w:r>
      <w:r>
        <w:t xml:space="preserve"> </w:t>
      </w:r>
      <m:oMath>
        <m:sSub>
          <m:e>
            <m:r>
              <m:t>L</m:t>
            </m:r>
          </m:e>
          <m:sub>
            <m:r>
              <m:t>i</m:t>
            </m:r>
          </m:sub>
        </m:sSub>
        <m:d>
          <m:dPr>
            <m:begChr m:val="("/>
            <m:endChr m:val=")"/>
            <m:sepChr m:val=""/>
            <m:grow/>
          </m:dPr>
          <m:e>
            <m:r>
              <m:t>y</m:t>
            </m:r>
            <m:r>
              <m:rPr>
                <m:sty m:val="p"/>
              </m:rPr>
              <m:t>∣</m:t>
            </m:r>
            <m:r>
              <m:t>x</m:t>
            </m:r>
          </m:e>
        </m:d>
      </m:oMath>
      <w:r>
        <w:t xml:space="preserve">. Source observations are conditionally independent given</w:t>
      </w:r>
      <w:r>
        <w:t xml:space="preserve"> </w:t>
      </w:r>
      <m:oMath>
        <m:r>
          <m:t>X</m:t>
        </m:r>
      </m:oMath>
      <w:r>
        <w:t xml:space="preserve">.</w:t>
      </w:r>
    </w:p>
    <w:p>
      <w:pPr>
        <w:pStyle w:val="BodyText"/>
      </w:pPr>
      <w:r>
        <w:t xml:space="preserve">A final decision</w:t>
      </w:r>
      <w:r>
        <w:t xml:space="preserve"> </w:t>
      </w:r>
      <m:oMath>
        <m:r>
          <m:t>d</m:t>
        </m:r>
      </m:oMath>
      <w:r>
        <w:t xml:space="preserve"> </w:t>
      </w:r>
      <w:r>
        <w:t xml:space="preserve">belongs to a finite set</w:t>
      </w:r>
      <w:r>
        <w:t xml:space="preserve"> </w:t>
      </w:r>
      <m:oMath>
        <m:r>
          <m:rPr>
            <m:sty m:val="p"/>
          </m:rPr>
          <m:t>𝒟</m:t>
        </m:r>
      </m:oMath>
      <w:r>
        <w:t xml:space="preserve">, with loss</w:t>
      </w:r>
      <w:r>
        <w:t xml:space="preserve"> </w:t>
      </w:r>
      <m:oMath>
        <m:r>
          <m:t>0</m:t>
        </m:r>
        <m:r>
          <m:rPr>
            <m:sty m:val="p"/>
          </m:rPr>
          <m:t>≤</m:t>
        </m:r>
        <m:r>
          <m:rPr>
            <m:sty m:val="p"/>
          </m:rPr>
          <m:t>ℓ</m:t>
        </m:r>
        <m:d>
          <m:dPr>
            <m:begChr m:val="("/>
            <m:endChr m:val=")"/>
            <m:sepChr m:val=""/>
            <m:grow/>
          </m:dPr>
          <m:e>
            <m:r>
              <m:t>d</m:t>
            </m:r>
            <m:r>
              <m:rPr>
                <m:sty m:val="p"/>
              </m:rPr>
              <m:t>,</m:t>
            </m:r>
            <m:r>
              <m:t>x</m:t>
            </m:r>
          </m:e>
        </m:d>
        <m:r>
          <m:rPr>
            <m:sty m:val="p"/>
          </m:rPr>
          <m:t>≤</m:t>
        </m:r>
        <m:r>
          <m:t>1</m:t>
        </m:r>
      </m:oMath>
      <w:r>
        <w:t xml:space="preserve">. A policy may stop or query an unqueried source, with at most</w:t>
      </w:r>
      <w:r>
        <w:t xml:space="preserve"> </w:t>
      </w:r>
      <m:oMath>
        <m:r>
          <m:t>B</m:t>
        </m:r>
        <m:r>
          <m:rPr>
            <m:sty m:val="p"/>
          </m:rPr>
          <m:t>≤</m:t>
        </m:r>
        <m:r>
          <m:t>n</m:t>
        </m:r>
      </m:oMath>
      <w:r>
        <w:t xml:space="preserve"> </w:t>
      </w:r>
      <w:r>
        <w:t xml:space="preserve">queries. If its final queried set is</w:t>
      </w:r>
      <w:r>
        <w:t xml:space="preserve"> </w:t>
      </w:r>
      <m:oMath>
        <m:sSub>
          <m:e>
            <m:r>
              <m:t>S</m:t>
            </m:r>
          </m:e>
          <m:sub>
            <m:r>
              <m:t>τ</m:t>
            </m:r>
          </m:sub>
        </m:sSub>
      </m:oMath>
      <w:r>
        <w:t xml:space="preserve">, its objective is</w:t>
      </w:r>
    </w:p>
    <w:p>
      <w:pPr>
        <w:pStyle w:val="BodyText"/>
        <w:keepLines/>
        <w:spacing w:before="60" w:after="120"/>
        <w:tabs>
          <w:tab w:val="center" w:pos="4939"/>
          <w:tab w:val="right" w:pos="9878"/>
        </w:tabs>
        <w:jc w:val="left"/>
      </w:pPr>
      <w:r>
        <w:tab/>
      </w:r>
      <m:oMath>
        <m:sSub>
          <m:e>
            <m:r>
              <m:t>J</m:t>
            </m:r>
          </m:e>
          <m:sub>
            <m:r>
              <m:t>F</m:t>
            </m:r>
          </m:sub>
        </m:sSub>
        <m:d>
          <m:dPr>
            <m:begChr m:val="("/>
            <m:endChr m:val=")"/>
            <m:sepChr m:val=""/>
            <m:grow/>
          </m:dPr>
          <m:e>
            <m:r>
              <m:t>π</m:t>
            </m:r>
          </m:e>
        </m:d>
        <m:r>
          <m:rPr>
            <m:sty m:val="p"/>
          </m:rPr>
          <m:t>=</m:t>
        </m:r>
        <m:sSup>
          <m:e>
            <m:r>
              <m:rPr>
                <m:sty m:val="p"/>
              </m:rPr>
              <m:t>𝔼</m:t>
            </m:r>
          </m:e>
          <m:sup>
            <m:r>
              <m:t>π</m:t>
            </m:r>
          </m:sup>
        </m:sSup>
        <m:box>
          <m:e>
            <m:r>
              <m:t>[</m:t>
            </m:r>
            <m:r>
              <m:rPr>
                <m:sty m:val="p"/>
              </m:rPr>
              <m:t>ℓ</m:t>
            </m:r>
            <m:d>
              <m:dPr>
                <m:begChr m:val="("/>
                <m:endChr m:val=")"/>
                <m:sepChr m:val=""/>
                <m:grow/>
              </m:dPr>
              <m:e>
                <m:sSub>
                  <m:e>
                    <m:r>
                      <m:t>d</m:t>
                    </m:r>
                  </m:e>
                  <m:sub>
                    <m:r>
                      <m:t>τ</m:t>
                    </m:r>
                  </m:sub>
                </m:sSub>
                <m:r>
                  <m:rPr>
                    <m:sty m:val="p"/>
                  </m:rPr>
                  <m:t>,</m:t>
                </m:r>
                <m:r>
                  <m:t>X</m:t>
                </m:r>
              </m:e>
            </m:d>
            <m:r>
              <m:rPr>
                <m:sty m:val="p"/>
              </m:rPr>
              <m:t>+</m:t>
            </m:r>
            <m:r>
              <m:t>λ</m:t>
            </m:r>
            <m:r>
              <m:t>F</m:t>
            </m:r>
            <m:d>
              <m:dPr>
                <m:begChr m:val="("/>
                <m:endChr m:val=")"/>
                <m:sepChr m:val=""/>
                <m:grow/>
              </m:dPr>
              <m:e>
                <m:sSub>
                  <m:e>
                    <m:r>
                      <m:t>S</m:t>
                    </m:r>
                  </m:e>
                  <m:sub>
                    <m:r>
                      <m:t>τ</m:t>
                    </m:r>
                  </m:sub>
                </m:sSub>
              </m:e>
            </m:d>
            <m:r>
              <m:t>]</m:t>
            </m:r>
          </m:e>
        </m:box>
        <m:r>
          <m:rPr>
            <m:sty m:val="p"/>
          </m:rPr>
          <m:t>,</m:t>
        </m:r>
        <m:r>
          <m:t>  </m:t>
        </m:r>
        <m:r>
          <m:t>λ</m:t>
        </m:r>
        <m:r>
          <m:rPr>
            <m:sty m:val="p"/>
          </m:rPr>
          <m:t>&gt;</m:t>
        </m:r>
        <m:r>
          <m:t>0</m:t>
        </m:r>
        <m:r>
          <m:rPr>
            <m:sty m:val="p"/>
          </m:rPr>
          <m:t>.</m:t>
        </m:r>
      </m:oMath>
      <w:r>
        <w:tab/>
      </w:r>
      <w:r>
        <w:t xml:space="preserve">(13)</w:t>
      </w:r>
    </w:p>
    <w:p>
      <w:pPr>
        <w:pStyle w:val="BodyText"/>
      </w:pPr>
      <w:r>
        <w:t xml:space="preserve">The query limit is a call budget; monetary cost appears as a penalty. A hard monetary constraint would make the admissible policy class depend on the estimated cost and requires separate treatment.</w:t>
      </w:r>
    </w:p>
    <w:p>
      <w:pPr>
        <w:pStyle w:val="BodyText"/>
        <w:keepNext/>
      </w:pPr>
      <w:r>
        <w:t xml:space="preserve">For posterior</w:t>
      </w:r>
      <w:r>
        <w:t xml:space="preserve"> </w:t>
      </w:r>
      <m:oMath>
        <m:r>
          <m:t>p</m:t>
        </m:r>
      </m:oMath>
      <w:r>
        <w:t xml:space="preserve">, define</w:t>
      </w:r>
    </w:p>
    <w:p>
      <w:pPr>
        <w:pStyle w:val="BodyText"/>
        <w:keepLines/>
        <w:spacing w:before="60" w:after="120"/>
        <w:jc w:val="center"/>
      </w:pPr>
      <m:oMathPara>
        <m:oMathParaPr>
          <m:jc m:val="center"/>
        </m:oMathParaPr>
        <m:oMath>
          <m:r>
            <m:t>r</m:t>
          </m:r>
          <m:d>
            <m:dPr>
              <m:begChr m:val="("/>
              <m:endChr m:val=")"/>
              <m:sepChr m:val=""/>
              <m:grow/>
            </m:dPr>
            <m:e>
              <m:r>
                <m:t>p</m:t>
              </m:r>
            </m:e>
          </m:d>
          <m:r>
            <m:rPr>
              <m:sty m:val="p"/>
            </m:rPr>
            <m:t>=</m:t>
          </m:r>
          <m:limLow>
            <m:e>
              <m:r>
                <m:rPr>
                  <m:sty m:val="p"/>
                  <m:nor/>
                </m:rPr>
                <m:t>min</m:t>
              </m:r>
            </m:e>
            <m:lim>
              <m:r>
                <m:t>d</m:t>
              </m:r>
              <m:r>
                <m:rPr>
                  <m:sty m:val="p"/>
                </m:rPr>
                <m:t>∈</m:t>
              </m:r>
              <m:r>
                <m:rPr>
                  <m:sty m:val="p"/>
                </m:rPr>
                <m:t>𝒟</m:t>
              </m:r>
            </m:lim>
          </m:limLow>
          <m:nary>
            <m:naryPr>
              <m:chr m:val="∑"/>
              <m:limLoc m:val="undOvr"/>
              <m:subHide m:val="off"/>
              <m:supHide m:val="on"/>
            </m:naryPr>
            <m:sub>
              <m:r>
                <m:t>x</m:t>
              </m:r>
            </m:sub>
            <m:sup>
              <m:r>
                <m:t>​</m:t>
              </m:r>
            </m:sup>
            <m:e>
              <m:r>
                <m:t>p</m:t>
              </m:r>
            </m:e>
          </m:nary>
          <m:d>
            <m:dPr>
              <m:begChr m:val="("/>
              <m:endChr m:val=")"/>
              <m:sepChr m:val=""/>
              <m:grow/>
            </m:dPr>
            <m:e>
              <m:r>
                <m:t>x</m:t>
              </m:r>
            </m:e>
          </m:d>
          <m:r>
            <m:rPr>
              <m:sty m:val="p"/>
            </m:rPr>
            <m:t>ℓ</m:t>
          </m:r>
          <m:d>
            <m:dPr>
              <m:begChr m:val="("/>
              <m:endChr m:val=")"/>
              <m:sepChr m:val=""/>
              <m:grow/>
            </m:dPr>
            <m:e>
              <m:r>
                <m:t>d</m:t>
              </m:r>
              <m:r>
                <m:rPr>
                  <m:sty m:val="p"/>
                </m:rPr>
                <m:t>,</m:t>
              </m:r>
              <m:r>
                <m:t>x</m:t>
              </m:r>
            </m:e>
          </m:d>
          <m:r>
            <m:rPr>
              <m:sty m:val="p"/>
            </m:rPr>
            <m:t>,</m:t>
          </m:r>
        </m:oMath>
      </m:oMathPara>
    </w:p>
    <w:p>
      <w:pPr>
        <w:pStyle w:val="FirstParagraph"/>
        <w:keepLines/>
        <w:spacing w:before="60" w:after="120"/>
        <w:tabs>
          <w:tab w:val="center" w:pos="4939"/>
          <w:tab w:val="right" w:pos="9878"/>
        </w:tabs>
        <w:jc w:val="left"/>
      </w:pPr>
      <w:r>
        <w:tab/>
      </w:r>
      <m:oMath>
        <m:sSub>
          <m:e>
            <m:r>
              <m:t>q</m:t>
            </m:r>
          </m:e>
          <m:sub>
            <m:r>
              <m:t>i</m:t>
            </m:r>
          </m:sub>
        </m:sSub>
        <m:d>
          <m:dPr>
            <m:begChr m:val="("/>
            <m:endChr m:val=")"/>
            <m:sepChr m:val=""/>
            <m:grow/>
          </m:dPr>
          <m:e>
            <m:r>
              <m:t>y</m:t>
            </m:r>
            <m:r>
              <m:rPr>
                <m:sty m:val="p"/>
              </m:rPr>
              <m:t>∣</m:t>
            </m:r>
            <m:r>
              <m:t>p</m:t>
            </m:r>
          </m:e>
        </m:d>
        <m:r>
          <m:rPr>
            <m:sty m:val="p"/>
          </m:rPr>
          <m:t>=</m:t>
        </m:r>
        <m:nary>
          <m:naryPr>
            <m:chr m:val="∑"/>
            <m:limLoc m:val="undOvr"/>
            <m:subHide m:val="off"/>
            <m:supHide m:val="on"/>
          </m:naryPr>
          <m:sub>
            <m:r>
              <m:t>x</m:t>
            </m:r>
          </m:sub>
          <m:sup>
            <m:r>
              <m:t>​</m:t>
            </m:r>
          </m:sup>
          <m:e>
            <m:r>
              <m:t>p</m:t>
            </m:r>
          </m:e>
        </m:nary>
        <m:d>
          <m:dPr>
            <m:begChr m:val="("/>
            <m:endChr m:val=")"/>
            <m:sepChr m:val=""/>
            <m:grow/>
          </m:dPr>
          <m:e>
            <m:r>
              <m:t>x</m:t>
            </m:r>
          </m:e>
        </m:d>
        <m:sSub>
          <m:e>
            <m:r>
              <m:t>L</m:t>
            </m:r>
          </m:e>
          <m:sub>
            <m:r>
              <m:t>i</m:t>
            </m:r>
          </m:sub>
        </m:sSub>
        <m:d>
          <m:dPr>
            <m:begChr m:val="("/>
            <m:endChr m:val=")"/>
            <m:sepChr m:val=""/>
            <m:grow/>
          </m:dPr>
          <m:e>
            <m:r>
              <m:t>y</m:t>
            </m:r>
            <m:r>
              <m:rPr>
                <m:sty m:val="p"/>
              </m:rPr>
              <m:t>∣</m:t>
            </m:r>
            <m:r>
              <m:t>x</m:t>
            </m:r>
          </m:e>
        </m:d>
        <m:r>
          <m:rPr>
            <m:sty m:val="p"/>
          </m:rPr>
          <m:t>,</m:t>
        </m:r>
        <m:r>
          <m:t>  </m:t>
        </m:r>
        <m:sSub>
          <m:e>
            <m:r>
              <m:t>T</m:t>
            </m:r>
          </m:e>
          <m:sub>
            <m:r>
              <m:t>i</m:t>
            </m:r>
          </m:sub>
        </m:sSub>
        <m:d>
          <m:dPr>
            <m:begChr m:val="("/>
            <m:endChr m:val=")"/>
            <m:sepChr m:val=""/>
            <m:grow/>
          </m:dPr>
          <m:e>
            <m:r>
              <m:t>p</m:t>
            </m:r>
            <m:r>
              <m:rPr>
                <m:sty m:val="p"/>
              </m:rPr>
              <m:t>,</m:t>
            </m:r>
            <m:r>
              <m:t>y</m:t>
            </m:r>
          </m:e>
        </m:d>
        <m:d>
          <m:dPr>
            <m:begChr m:val="("/>
            <m:endChr m:val=")"/>
            <m:sepChr m:val=""/>
            <m:grow/>
          </m:dPr>
          <m:e>
            <m:r>
              <m:t>x</m:t>
            </m:r>
          </m:e>
        </m:d>
        <m:r>
          <m:rPr>
            <m:sty m:val="p"/>
          </m:rPr>
          <m:t>=</m:t>
        </m:r>
        <m:f>
          <m:fPr>
            <m:type m:val="bar"/>
          </m:fPr>
          <m:num>
            <m:r>
              <m:t>p</m:t>
            </m:r>
            <m:d>
              <m:dPr>
                <m:begChr m:val="("/>
                <m:endChr m:val=")"/>
                <m:sepChr m:val=""/>
                <m:grow/>
              </m:dPr>
              <m:e>
                <m:r>
                  <m:t>x</m:t>
                </m:r>
              </m:e>
            </m:d>
            <m:sSub>
              <m:e>
                <m:r>
                  <m:t>L</m:t>
                </m:r>
              </m:e>
              <m:sub>
                <m:r>
                  <m:t>i</m:t>
                </m:r>
              </m:sub>
            </m:sSub>
            <m:d>
              <m:dPr>
                <m:begChr m:val="("/>
                <m:endChr m:val=")"/>
                <m:sepChr m:val=""/>
                <m:grow/>
              </m:dPr>
              <m:e>
                <m:r>
                  <m:t>y</m:t>
                </m:r>
                <m:r>
                  <m:rPr>
                    <m:sty m:val="p"/>
                  </m:rPr>
                  <m:t>∣</m:t>
                </m:r>
                <m:r>
                  <m:t>x</m:t>
                </m:r>
              </m:e>
            </m:d>
          </m:num>
          <m:den>
            <m:sSub>
              <m:e>
                <m:r>
                  <m:t>q</m:t>
                </m:r>
              </m:e>
              <m:sub>
                <m:r>
                  <m:t>i</m:t>
                </m:r>
              </m:sub>
            </m:sSub>
            <m:d>
              <m:dPr>
                <m:begChr m:val="("/>
                <m:endChr m:val=")"/>
                <m:sepChr m:val=""/>
                <m:grow/>
              </m:dPr>
              <m:e>
                <m:r>
                  <m:t>y</m:t>
                </m:r>
                <m:r>
                  <m:rPr>
                    <m:sty m:val="p"/>
                  </m:rPr>
                  <m:t>∣</m:t>
                </m:r>
                <m:r>
                  <m:t>p</m:t>
                </m:r>
              </m:e>
            </m:d>
          </m:den>
        </m:f>
        <m:r>
          <m:rPr>
            <m:sty m:val="p"/>
          </m:rPr>
          <m:t>.</m:t>
        </m:r>
      </m:oMath>
      <w:r>
        <w:tab/>
      </w:r>
      <w:r>
        <w:t xml:space="preserve">(14)</w:t>
      </w:r>
    </w:p>
    <w:p>
      <w:pPr>
        <w:pStyle w:val="BodyText"/>
      </w:pPr>
      <w:r>
        <w:t xml:space="preserve">Outcomes of zero predictive probability are omitted.</w:t>
      </w:r>
    </w:p>
    <w:p>
      <w:pPr>
        <w:pStyle w:val="BodyText"/>
        <w:keepNext/>
      </w:pPr>
      <w:r>
        <w:rPr>
          <w:bCs/>
          <w:b/>
        </w:rPr>
        <w:t xml:space="preserve">Proposition 4.1 — Bellman recursion.</w:t>
      </w:r>
      <w:r>
        <w:t xml:space="preserve"> </w:t>
      </w:r>
      <w:r>
        <w:t xml:space="preserve">The minimum expected remaining loss and future acquisition cost, after querying</w:t>
      </w:r>
      <w:r>
        <w:t xml:space="preserve"> </w:t>
      </w:r>
      <m:oMath>
        <m:r>
          <m:t>A</m:t>
        </m:r>
      </m:oMath>
      <w:r>
        <w:t xml:space="preserve"> </w:t>
      </w:r>
      <w:r>
        <w:t xml:space="preserve">and with</w:t>
      </w:r>
      <w:r>
        <w:t xml:space="preserve"> </w:t>
      </w:r>
      <m:oMath>
        <m:r>
          <m:t>b</m:t>
        </m:r>
      </m:oMath>
      <w:r>
        <w:t xml:space="preserve"> </w:t>
      </w:r>
      <w:r>
        <w:t xml:space="preserve">calls remaining, is</w:t>
      </w:r>
    </w:p>
    <w:p>
      <w:pPr>
        <w:pStyle w:val="BodyText"/>
        <w:keepLines/>
        <w:spacing w:before="60" w:after="120"/>
        <w:tabs>
          <w:tab w:val="center" w:pos="4939"/>
          <w:tab w:val="right" w:pos="9878"/>
        </w:tabs>
        <w:jc w:val="left"/>
      </w:pPr>
      <w:r>
        <w:tab/>
      </w:r>
      <m:oMath>
        <m:sSub>
          <m:e>
            <m:r>
              <m:t>V</m:t>
            </m:r>
          </m:e>
          <m:sub>
            <m:r>
              <m:t>0</m:t>
            </m:r>
          </m:sub>
        </m:sSub>
        <m:d>
          <m:dPr>
            <m:begChr m:val="("/>
            <m:endChr m:val=")"/>
            <m:sepChr m:val=""/>
            <m:grow/>
          </m:dPr>
          <m:e>
            <m:r>
              <m:t>p</m:t>
            </m:r>
            <m:r>
              <m:rPr>
                <m:sty m:val="p"/>
              </m:rPr>
              <m:t>,</m:t>
            </m:r>
            <m:r>
              <m:t>A</m:t>
            </m:r>
          </m:e>
        </m:d>
        <m:r>
          <m:rPr>
            <m:sty m:val="p"/>
          </m:rPr>
          <m:t>=</m:t>
        </m:r>
        <m:r>
          <m:t>r</m:t>
        </m:r>
        <m:d>
          <m:dPr>
            <m:begChr m:val="("/>
            <m:endChr m:val=")"/>
            <m:sepChr m:val=""/>
            <m:grow/>
          </m:dPr>
          <m:e>
            <m:r>
              <m:t>p</m:t>
            </m:r>
          </m:e>
        </m:d>
        <m:r>
          <m:rPr>
            <m:sty m:val="p"/>
          </m:rPr>
          <m:t>,</m:t>
        </m:r>
      </m:oMath>
      <w:r>
        <w:tab/>
      </w:r>
      <w:r>
        <w:t xml:space="preserve">(15)</w:t>
      </w:r>
    </w:p>
    <w:p>
      <w:pPr>
        <w:pStyle w:val="BodyText"/>
      </w:pPr>
      <w:r>
        <w:t xml:space="preserve">and, for</w:t>
      </w:r>
      <w:r>
        <w:t xml:space="preserve"> </w:t>
      </w:r>
      <m:oMath>
        <m:r>
          <m:t>b</m:t>
        </m:r>
        <m:r>
          <m:rPr>
            <m:sty m:val="p"/>
          </m:rPr>
          <m:t>≥</m:t>
        </m:r>
        <m:r>
          <m:t>1</m:t>
        </m:r>
      </m:oMath>
      <w:r>
        <w:t xml:space="preserve">,</w:t>
      </w:r>
    </w:p>
    <w:p>
      <w:pPr>
        <w:pStyle w:val="BodyText"/>
        <w:keepLines/>
        <w:spacing w:before="60" w:after="120"/>
        <w:tabs>
          <w:tab w:val="center" w:pos="4939"/>
          <w:tab w:val="right" w:pos="9878"/>
        </w:tabs>
        <w:jc w:val="left"/>
      </w:pPr>
      <w:r>
        <w:tab/>
      </w:r>
      <m:oMath>
        <m:eqArr>
          <m:e>
            <m:sSub>
              <m:e>
                <m:r>
                  <m:t>V</m:t>
                </m:r>
              </m:e>
              <m:sub>
                <m:r>
                  <m:t>b</m:t>
                </m:r>
              </m:sub>
            </m:sSub>
            <m:d>
              <m:dPr>
                <m:begChr m:val="("/>
                <m:endChr m:val=")"/>
                <m:sepChr m:val=""/>
                <m:grow/>
              </m:dPr>
              <m:e>
                <m:r>
                  <m:t>p</m:t>
                </m:r>
                <m:r>
                  <m:rPr>
                    <m:sty m:val="p"/>
                  </m:rPr>
                  <m:t>,</m:t>
                </m:r>
                <m:r>
                  <m:t>A</m:t>
                </m:r>
              </m:e>
            </m:d>
            <m:r>
              <m:rPr>
                <m:sty m:val="p"/>
              </m:rPr>
              <m:t>=</m:t>
            </m:r>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sSub>
              <m:e>
                <m:r>
                  <m:t>V</m:t>
                </m:r>
              </m:e>
              <m:sub>
                <m:r>
                  <m:t>b</m:t>
                </m:r>
                <m:r>
                  <m:rPr>
                    <m:sty m:val="p"/>
                  </m:rPr>
                  <m:t>−</m:t>
                </m:r>
                <m:r>
                  <m:t>1</m:t>
                </m:r>
              </m:sub>
            </m:sSub>
            <m:d>
              <m:dPr>
                <m:begChr m:val="("/>
                <m:endChr m:val=")"/>
                <m:sepChr m:val=""/>
                <m:grow/>
              </m:dPr>
              <m:e>
                <m:sSub>
                  <m:e>
                    <m:r>
                      <m:t>T</m:t>
                    </m:r>
                  </m:e>
                  <m:sub>
                    <m:r>
                      <m:t>i</m:t>
                    </m:r>
                  </m:sub>
                </m:sSub>
                <m:d>
                  <m:dPr>
                    <m:begChr m:val="("/>
                    <m:endChr m:val=")"/>
                    <m:sepChr m:val=""/>
                    <m:grow/>
                  </m:dPr>
                  <m:e>
                    <m:r>
                      <m:t>p</m:t>
                    </m:r>
                    <m:r>
                      <m:rPr>
                        <m:sty m:val="p"/>
                      </m:rPr>
                      <m:t>,</m:t>
                    </m:r>
                    <m:r>
                      <m:t>y</m:t>
                    </m:r>
                  </m:e>
                </m:d>
                <m:r>
                  <m:rPr>
                    <m:sty m:val="p"/>
                  </m:rPr>
                  <m:t>,</m:t>
                </m:r>
                <m:r>
                  <m:t>A</m:t>
                </m:r>
                <m:r>
                  <m:rPr>
                    <m:sty m:val="p"/>
                  </m:rPr>
                  <m:t>∪</m:t>
                </m:r>
                <m:r>
                  <m:rPr>
                    <m:sty m:val="p"/>
                  </m:rPr>
                  <m:t>{</m:t>
                </m:r>
                <m:r>
                  <m:t>i</m:t>
                </m:r>
                <m:r>
                  <m:rPr>
                    <m:sty m:val="p"/>
                  </m:rPr>
                  <m:t>}</m:t>
                </m:r>
              </m:e>
            </m:d>
            <m:r>
              <m:rPr>
                <m:sty m:val="p"/>
              </m:rPr>
              <m:t>]</m:t>
            </m:r>
            <m:r>
              <m:rPr>
                <m:sty m:val="p"/>
              </m:rPr>
              <m:t>}</m:t>
            </m:r>
            <m:r>
              <m:rPr>
                <m:sty m:val="p"/>
              </m:rPr>
              <m:t>.</m:t>
            </m:r>
          </m:e>
        </m:eqArr>
      </m:oMath>
      <w:r>
        <w:tab/>
      </w:r>
      <w:r>
        <w:t xml:space="preserve">(16)</w:t>
      </w:r>
    </w:p>
    <w:p>
      <w:pPr>
        <w:pStyle w:val="BodyText"/>
      </w:pPr>
      <w:r>
        <w:t xml:space="preserve">If no source remains, only the stopping term is used. A deterministic optimal policy exists.</w:t>
      </w:r>
    </w:p>
    <w:p>
      <w:pPr>
        <w:pStyle w:val="BodyText"/>
      </w:pPr>
      <w:r>
        <w:rPr>
          <w:iCs/>
          <w:i/>
        </w:rPr>
        <w:t xml:space="preserve">Proof.</w:t>
      </w:r>
      <w:r>
        <w:t xml:space="preserve"> </w:t>
      </w:r>
      <w:r>
        <w:t xml:space="preserve">Conditional independence makes</w:t>
      </w:r>
      <w:r>
        <w:t xml:space="preserve"> </w:t>
      </w:r>
      <m:oMath>
        <m:d>
          <m:dPr>
            <m:begChr m:val="("/>
            <m:endChr m:val=")"/>
            <m:sepChr m:val=""/>
            <m:grow/>
          </m:dPr>
          <m:e>
            <m:r>
              <m:t>p</m:t>
            </m:r>
            <m:r>
              <m:rPr>
                <m:sty m:val="p"/>
              </m:rPr>
              <m:t>,</m:t>
            </m:r>
            <m:r>
              <m:t>A</m:t>
            </m:r>
            <m:r>
              <m:rPr>
                <m:sty m:val="p"/>
              </m:rPr>
              <m:t>,</m:t>
            </m:r>
            <m:r>
              <m:t>b</m:t>
            </m:r>
          </m:e>
        </m:d>
      </m:oMath>
      <w:r>
        <w:t xml:space="preserve"> </w:t>
      </w:r>
      <w:r>
        <w:t xml:space="preserve">sufficient for predicting every remaining observation. Stopping incurs Bayes risk</w:t>
      </w:r>
      <w:r>
        <w:t xml:space="preserve"> </w:t>
      </w:r>
      <m:oMath>
        <m:r>
          <m:t>r</m:t>
        </m:r>
        <m:d>
          <m:dPr>
            <m:begChr m:val="("/>
            <m:endChr m:val=")"/>
            <m:sepChr m:val=""/>
            <m:grow/>
          </m:dPr>
          <m:e>
            <m:r>
              <m:t>p</m:t>
            </m:r>
          </m:e>
        </m:d>
      </m:oMath>
      <w:r>
        <w:t xml:space="preserve">. Querying</w:t>
      </w:r>
      <w:r>
        <w:t xml:space="preserve"> </w:t>
      </w:r>
      <m:oMath>
        <m:r>
          <m:t>i</m:t>
        </m:r>
      </m:oMath>
      <w:r>
        <w:t xml:space="preserve"> </w:t>
      </w:r>
      <w:r>
        <w:t xml:space="preserve">incurs its marginal cost and the optimal continuation value under the updated posterior.</w:t>
      </w:r>
    </w:p>
    <w:p>
      <w:pPr>
        <w:pStyle w:val="BodyText"/>
      </w:pPr>
      <w:r>
        <w:t xml:space="preserve">Backward induction over</w:t>
      </w:r>
      <w:r>
        <w:t xml:space="preserve"> </w:t>
      </w:r>
      <m:oMath>
        <m:r>
          <m:t>b</m:t>
        </m:r>
      </m:oMath>
      <w:r>
        <w:t xml:space="preserve"> </w:t>
      </w:r>
      <w:r>
        <w:t xml:space="preserve">proves (15)–(16). The action and observation sets are finite, so every minimum is attained. Marginal costs telescope to</w:t>
      </w:r>
      <w:r>
        <w:t xml:space="preserve"> </w:t>
      </w:r>
      <m:oMath>
        <m:r>
          <m:t>F</m:t>
        </m:r>
        <m:d>
          <m:dPr>
            <m:begChr m:val="("/>
            <m:endChr m:val=")"/>
            <m:sepChr m:val=""/>
            <m:grow/>
          </m:dPr>
          <m:e>
            <m:sSub>
              <m:e>
                <m:r>
                  <m:t>S</m:t>
                </m:r>
              </m:e>
              <m:sub>
                <m:r>
                  <m:t>τ</m:t>
                </m:r>
              </m:sub>
            </m:sSub>
          </m:e>
        </m:d>
      </m:oMath>
      <w:r>
        <w:t xml:space="preserve">, giving (13) at the initial state.</w:t>
      </w:r>
      <w:r>
        <w:t xml:space="preserve"> </w:t>
      </w:r>
      <m:oMath>
        <m:r>
          <m:rPr>
            <m:sty m:val="p"/>
          </m:rPr>
          <m:t>▫</m:t>
        </m:r>
      </m:oMath>
    </w:p>
    <w:p>
      <w:pPr>
        <w:pStyle w:val="BodyText"/>
        <w:keepNext/>
      </w:pPr>
      <w:r>
        <w:t xml:space="preserve">This specializes finite-horizon belief-state dynamic programming [24]. With at most</w:t>
      </w:r>
      <w:r>
        <w:t xml:space="preserve"> </w:t>
      </w:r>
      <m:oMath>
        <m:r>
          <m:t>q</m:t>
        </m:r>
      </m:oMath>
      <w:r>
        <w:t xml:space="preserve"> </w:t>
      </w:r>
      <w:r>
        <w:t xml:space="preserve">outcomes per source, there are at most</w:t>
      </w:r>
    </w:p>
    <w:p>
      <w:pPr>
        <w:pStyle w:val="BodyText"/>
        <w:keepLines/>
        <w:spacing w:before="60" w:after="120"/>
        <w:jc w:val="center"/>
      </w:pPr>
      <m:oMathPara>
        <m:oMathParaPr>
          <m:jc m:val="center"/>
        </m:oMathParaPr>
        <m:oMath>
          <m:nary>
            <m:naryPr>
              <m:chr m:val="∑"/>
              <m:limLoc m:val="undOvr"/>
              <m:subHide m:val="off"/>
              <m:supHide m:val="off"/>
            </m:naryPr>
            <m:sub>
              <m:r>
                <m:t>m</m:t>
              </m:r>
              <m:r>
                <m:rPr>
                  <m:sty m:val="p"/>
                </m:rPr>
                <m:t>=</m:t>
              </m:r>
              <m:r>
                <m:t>0</m:t>
              </m:r>
            </m:sub>
            <m:sup>
              <m:r>
                <m:t>B</m:t>
              </m:r>
            </m:sup>
            <m:e>
              <m:d>
                <m:dPr>
                  <m:begChr m:val="("/>
                  <m:endChr m:val=")"/>
                  <m:sepChr m:val=""/>
                  <m:grow/>
                </m:dPr>
                <m:e>
                  <m:f>
                    <m:fPr>
                      <m:type m:val="noBar"/>
                    </m:fPr>
                    <m:num>
                      <m:r>
                        <m:t>n</m:t>
                      </m:r>
                    </m:num>
                    <m:den>
                      <m:r>
                        <m:t>m</m:t>
                      </m:r>
                    </m:den>
                  </m:f>
                </m:e>
              </m:d>
            </m:e>
          </m:nary>
          <m:sSup>
            <m:e>
              <m:r>
                <m:t>q</m:t>
              </m:r>
            </m:e>
            <m:sup>
              <m:r>
                <m:t>m</m:t>
              </m:r>
            </m:sup>
          </m:sSup>
        </m:oMath>
      </m:oMathPara>
    </w:p>
    <w:p>
      <w:pPr>
        <w:pStyle w:val="FirstParagraph"/>
      </w:pPr>
      <w:r>
        <w:t xml:space="preserve">partial observation assignments from a fixed prior. Compact representation of acquisition costs therefore does not make exact adaptive optimization polynomial.</w:t>
      </w:r>
    </w:p>
    <w:p>
      <w:pPr>
        <w:pStyle w:val="BodyText"/>
      </w:pPr>
      <w:r>
        <w:t xml:space="preserve">The same recursion applies to</w:t>
      </w:r>
      <w:r>
        <w:t xml:space="preserve"> </w:t>
      </w:r>
      <m:oMath>
        <m:r>
          <m:t>H</m:t>
        </m:r>
      </m:oMath>
      <w:r>
        <w:t xml:space="preserve">, using differences</w:t>
      </w:r>
      <w:r>
        <w:t xml:space="preserve"> </w:t>
      </w:r>
      <m:oMath>
        <m:r>
          <m:t>H</m:t>
        </m:r>
        <m:d>
          <m:dPr>
            <m:begChr m:val="("/>
            <m:endChr m:val=")"/>
            <m:sepChr m:val=""/>
            <m:grow/>
          </m:dPr>
          <m:e>
            <m:r>
              <m:t>A</m:t>
            </m:r>
            <m:r>
              <m:rPr>
                <m:sty m:val="p"/>
              </m:rPr>
              <m:t>∪</m:t>
            </m:r>
            <m:r>
              <m:rPr>
                <m:sty m:val="p"/>
              </m:rPr>
              <m:t>{</m:t>
            </m:r>
            <m:r>
              <m:t>i</m:t>
            </m:r>
            <m:r>
              <m:rPr>
                <m:sty m:val="p"/>
              </m:rPr>
              <m:t>}</m:t>
            </m:r>
          </m:e>
        </m:d>
        <m:r>
          <m:rPr>
            <m:sty m:val="p"/>
          </m:rPr>
          <m:t>−</m:t>
        </m:r>
        <m:r>
          <m:t>H</m:t>
        </m:r>
        <m:d>
          <m:dPr>
            <m:begChr m:val="("/>
            <m:endChr m:val=")"/>
            <m:sepChr m:val=""/>
            <m:grow/>
          </m:dPr>
          <m:e>
            <m:r>
              <m:t>A</m:t>
            </m:r>
          </m:e>
        </m:d>
      </m:oMath>
      <w:r>
        <w:t xml:space="preserve">. When raw measurements are incompatible, these differences must be evaluated from the set estimate: formula (4) need not hold for noisy overlaps. Negative surrogate increments do not invalidate finite-horizon optimization, although they lack a physical activation-cost interpretation.</w:t>
      </w:r>
    </w:p>
    <w:bookmarkEnd w:id="34"/>
    <w:bookmarkStart w:id="35" w:name="stability-of-values-and-policies"/>
    <w:p>
      <w:pPr>
        <w:pStyle w:val="Heading2"/>
      </w:pPr>
      <w:r>
        <w:t xml:space="preserve">4.2. Stability of values and policies</w:t>
      </w:r>
    </w:p>
    <w:p>
      <w:pPr>
        <w:pStyle w:val="FirstParagraph"/>
      </w:pPr>
      <w:r>
        <w:t xml:space="preserve">Write</w:t>
      </w:r>
      <w:r>
        <w:t xml:space="preserve"> </w:t>
      </w:r>
      <m:oMath>
        <m:sSub>
          <m:e>
            <m:r>
              <m:t>V</m:t>
            </m:r>
          </m:e>
          <m:sub>
            <m:r>
              <m:t>F</m:t>
            </m:r>
          </m:sub>
        </m:sSub>
        <m:r>
          <m:rPr>
            <m:sty m:val="p"/>
          </m:rPr>
          <m:t>=</m:t>
        </m:r>
        <m:sSub>
          <m:e>
            <m:r>
              <m:rPr>
                <m:sty m:val="p"/>
                <m:nor/>
              </m:rPr>
              <m:t>min</m:t>
            </m:r>
          </m:e>
          <m:sub>
            <m:r>
              <m:t>π</m:t>
            </m:r>
          </m:sub>
        </m:sSub>
        <m:sSub>
          <m:e>
            <m:r>
              <m:t>J</m:t>
            </m:r>
          </m:e>
          <m:sub>
            <m:r>
              <m:t>F</m:t>
            </m:r>
          </m:sub>
        </m:sSub>
        <m:d>
          <m:dPr>
            <m:begChr m:val="("/>
            <m:endChr m:val=")"/>
            <m:sepChr m:val=""/>
            <m:grow/>
          </m:dPr>
          <m:e>
            <m:r>
              <m:t>π</m:t>
            </m:r>
          </m:e>
        </m:d>
      </m:oMath>
      <w:r>
        <w:t xml:space="preserve">,</w:t>
      </w:r>
      <w:r>
        <w:t xml:space="preserve"> </w:t>
      </w:r>
      <m:oMath>
        <m:sSub>
          <m:e>
            <m:r>
              <m:t>V</m:t>
            </m:r>
          </m:e>
          <m:sub>
            <m:r>
              <m:t>H</m:t>
            </m:r>
          </m:sub>
        </m:sSub>
        <m:r>
          <m:rPr>
            <m:sty m:val="p"/>
          </m:rPr>
          <m:t>=</m:t>
        </m:r>
        <m:sSub>
          <m:e>
            <m:r>
              <m:rPr>
                <m:sty m:val="p"/>
                <m:nor/>
              </m:rPr>
              <m:t>min</m:t>
            </m:r>
          </m:e>
          <m:sub>
            <m:r>
              <m:t>π</m:t>
            </m:r>
          </m:sub>
        </m:sSub>
        <m:sSub>
          <m:e>
            <m:r>
              <m:t>J</m:t>
            </m:r>
          </m:e>
          <m:sub>
            <m:r>
              <m:t>H</m:t>
            </m:r>
          </m:sub>
        </m:sSub>
        <m:d>
          <m:dPr>
            <m:begChr m:val="("/>
            <m:endChr m:val=")"/>
            <m:sepChr m:val=""/>
            <m:grow/>
          </m:dPr>
          <m:e>
            <m:r>
              <m:t>π</m:t>
            </m:r>
          </m:e>
        </m:d>
      </m:oMath>
      <w:r>
        <w:t xml:space="preserve">, and</w:t>
      </w:r>
    </w:p>
    <w:p>
      <w:pPr>
        <w:pStyle w:val="BodyText"/>
        <w:keepLines/>
        <w:spacing w:before="60" w:after="120"/>
        <w:tabs>
          <w:tab w:val="center" w:pos="4939"/>
          <w:tab w:val="right" w:pos="9878"/>
        </w:tabs>
        <w:jc w:val="left"/>
      </w:pPr>
      <w:r>
        <w:tab/>
      </w:r>
      <m:oMath>
        <m:sSub>
          <m:e>
            <m:r>
              <m:t>β</m:t>
            </m:r>
          </m:e>
          <m:sub>
            <m:r>
              <m:t>B</m:t>
            </m:r>
          </m:sub>
        </m:sSub>
        <m:r>
          <m:rPr>
            <m:sty m:val="p"/>
          </m:rPr>
          <m:t>=</m:t>
        </m:r>
        <m:limLow>
          <m:e>
            <m:r>
              <m:rPr>
                <m:sty m:val="p"/>
                <m:nor/>
              </m:rPr>
              <m:t>max</m:t>
            </m:r>
          </m:e>
          <m:lim>
            <m:r>
              <m:t>0</m:t>
            </m:r>
            <m:r>
              <m:rPr>
                <m:sty m:val="p"/>
              </m:rPr>
              <m:t>≤</m:t>
            </m:r>
            <m:r>
              <m:t>m</m:t>
            </m:r>
            <m:r>
              <m:rPr>
                <m:sty m:val="p"/>
              </m:rPr>
              <m:t>≤</m:t>
            </m:r>
            <m:r>
              <m:t>B</m:t>
            </m:r>
          </m:lim>
        </m:limLow>
        <m:sSub>
          <m:e>
            <m:r>
              <m:t>α</m:t>
            </m:r>
          </m:e>
          <m:sub>
            <m:r>
              <m:t>m</m:t>
            </m:r>
          </m:sub>
        </m:sSub>
        <m:r>
          <m:rPr>
            <m:sty m:val="p"/>
          </m:rPr>
          <m:t>=</m:t>
        </m:r>
        <m:box>
          <m:e>
            <m:r>
              <w:rPr>
                <w:sz w:val="58"/>
              </w:rPr>
              <m:t>{</m:t>
            </m:r>
            <m:eqArr>
              <m:e>
                <m:r>
                  <m:t>0</m:t>
                </m:r>
                <m:r>
                  <m:rPr>
                    <m:sty m:val="p"/>
                  </m:rPr>
                  <m:t>,</m:t>
                </m:r>
                <m:r>
                  <m:t>B</m:t>
                </m:r>
                <m:r>
                  <m:rPr>
                    <m:sty m:val="p"/>
                  </m:rPr>
                  <m:t>=</m:t>
                </m:r>
                <m:r>
                  <m:t>0</m:t>
                </m:r>
                <m:r>
                  <m:rPr>
                    <m:sty m:val="p"/>
                  </m:rPr>
                  <m:t>,</m:t>
                </m:r>
              </m:e>
              <m:e>
                <m:r>
                  <m:t>1</m:t>
                </m:r>
                <m:r>
                  <m:rPr>
                    <m:sty m:val="p"/>
                  </m:rPr>
                  <m:t>,</m:t>
                </m:r>
                <m:r>
                  <m:t>B</m:t>
                </m:r>
                <m:r>
                  <m:rPr>
                    <m:sty m:val="p"/>
                  </m:rPr>
                  <m:t>=</m:t>
                </m:r>
                <m:r>
                  <m:t>1</m:t>
                </m:r>
                <m:r>
                  <m:rPr>
                    <m:sty m:val="p"/>
                  </m:rPr>
                  <m:t>,</m:t>
                </m:r>
              </m:e>
              <m:e>
                <m:r>
                  <m:t>2</m:t>
                </m:r>
                <m:r>
                  <m:t>B</m:t>
                </m:r>
                <m:r>
                  <m:rPr>
                    <m:sty m:val="p"/>
                  </m:rPr>
                  <m:t>−</m:t>
                </m:r>
                <m:r>
                  <m:t>3</m:t>
                </m:r>
                <m:r>
                  <m:rPr>
                    <m:sty m:val="p"/>
                  </m:rPr>
                  <m:t>,</m:t>
                </m:r>
                <m:r>
                  <m:t>B</m:t>
                </m:r>
                <m:r>
                  <m:rPr>
                    <m:sty m:val="p"/>
                  </m:rPr>
                  <m:t>≥</m:t>
                </m:r>
                <m:r>
                  <m:t>2</m:t>
                </m:r>
                <m:r>
                  <m:rPr>
                    <m:sty m:val="p"/>
                  </m:rPr>
                  <m:t>.</m:t>
                </m:r>
              </m:e>
            </m:eqArr>
          </m:e>
        </m:box>
      </m:oMath>
      <w:r>
        <w:tab/>
      </w:r>
      <w:r>
        <w:t xml:space="preserve">(17)</w:t>
      </w:r>
    </w:p>
    <w:p>
      <w:pPr>
        <w:pStyle w:val="BodyText"/>
        <w:keepNext/>
      </w:pPr>
      <w:r>
        <w:rPr>
          <w:bCs/>
          <w:b/>
        </w:rPr>
        <w:t xml:space="preserve">Theorem 4.2 — Decision stability.</w:t>
      </w:r>
      <w:r>
        <w:t xml:space="preserve"> </w:t>
      </w:r>
      <w:r>
        <w:t xml:space="preserve">Under (7), for the same likelihoods, loss, prior, call budget, and penalty weight,</w:t>
      </w:r>
    </w:p>
    <w:p>
      <w:pPr>
        <w:pStyle w:val="BodyText"/>
        <w:keepLines/>
        <w:spacing w:before="60" w:after="120"/>
        <w:tabs>
          <w:tab w:val="center" w:pos="4939"/>
          <w:tab w:val="right" w:pos="9878"/>
        </w:tabs>
        <w:jc w:val="left"/>
      </w:pPr>
      <w:r>
        <w:tab/>
      </w:r>
      <m:oMath>
        <m:box>
          <m:e>
            <m:r>
              <m:t>|</m:t>
            </m:r>
            <m:sSub>
              <m:e>
                <m:r>
                  <m:t>V</m:t>
                </m:r>
              </m:e>
              <m:sub>
                <m:r>
                  <m:t>F</m:t>
                </m:r>
              </m:sub>
            </m:sSub>
            <m:r>
              <m:rPr>
                <m:sty m:val="p"/>
              </m:rPr>
              <m:t>−</m:t>
            </m:r>
            <m:sSub>
              <m:e>
                <m:r>
                  <m:t>V</m:t>
                </m:r>
              </m:e>
              <m:sub>
                <m:r>
                  <m:t>H</m:t>
                </m:r>
              </m:sub>
            </m:sSub>
            <m:r>
              <m:t>|</m:t>
            </m:r>
          </m:e>
        </m:box>
        <m:r>
          <m:rPr>
            <m:sty m:val="p"/>
          </m:rPr>
          <m:t>≤</m:t>
        </m:r>
        <m:r>
          <m:t>λ</m:t>
        </m:r>
        <m:sSub>
          <m:e>
            <m:r>
              <m:t>β</m:t>
            </m:r>
          </m:e>
          <m:sub>
            <m:r>
              <m:t>B</m:t>
            </m:r>
          </m:sub>
        </m:sSub>
        <m:r>
          <m:t>ε</m:t>
        </m:r>
        <m:r>
          <m:rPr>
            <m:sty m:val="p"/>
          </m:rPr>
          <m:t>.</m:t>
        </m:r>
      </m:oMath>
      <w:r>
        <w:tab/>
      </w:r>
      <w:r>
        <w:t xml:space="preserve">(18)</w:t>
      </w:r>
    </w:p>
    <w:p>
      <w:pPr>
        <w:pStyle w:val="BodyText"/>
      </w:pPr>
      <w:r>
        <w:t xml:space="preserve">If</w:t>
      </w:r>
      <w:r>
        <w:t xml:space="preserve"> </w:t>
      </w:r>
      <m:oMath>
        <m:sSub>
          <m:e>
            <m:r>
              <m:t>π</m:t>
            </m:r>
          </m:e>
          <m:sub>
            <m:r>
              <m:t>H</m:t>
            </m:r>
          </m:sub>
        </m:sSub>
      </m:oMath>
      <w:r>
        <w:t xml:space="preserve"> </w:t>
      </w:r>
      <w:r>
        <w:t xml:space="preserve">minimizes the measured-cost objective, then</w:t>
      </w:r>
    </w:p>
    <w:p>
      <w:pPr>
        <w:pStyle w:val="BodyText"/>
        <w:keepLines/>
        <w:spacing w:before="60" w:after="120"/>
        <w:tabs>
          <w:tab w:val="center" w:pos="4939"/>
          <w:tab w:val="right" w:pos="9878"/>
        </w:tabs>
        <w:jc w:val="left"/>
      </w:pPr>
      <w:r>
        <w:tab/>
      </w:r>
      <m:oMath>
        <m:r>
          <m:t>0</m:t>
        </m:r>
        <m:r>
          <m:rPr>
            <m:sty m:val="p"/>
          </m:rPr>
          <m:t>≤</m:t>
        </m:r>
        <m:sSub>
          <m:e>
            <m:r>
              <m:t>J</m:t>
            </m:r>
          </m:e>
          <m:sub>
            <m:r>
              <m:t>F</m:t>
            </m:r>
          </m:sub>
        </m:sSub>
        <m:d>
          <m:dPr>
            <m:begChr m:val="("/>
            <m:endChr m:val=")"/>
            <m:sepChr m:val=""/>
            <m:grow/>
          </m:dPr>
          <m:e>
            <m:sSub>
              <m:e>
                <m:r>
                  <m:t>π</m:t>
                </m:r>
              </m:e>
              <m:sub>
                <m:r>
                  <m:t>H</m:t>
                </m:r>
              </m:sub>
            </m:sSub>
          </m:e>
        </m:d>
        <m:r>
          <m:rPr>
            <m:sty m:val="p"/>
          </m:rPr>
          <m:t>−</m:t>
        </m:r>
        <m:sSub>
          <m:e>
            <m:r>
              <m:t>V</m:t>
            </m:r>
          </m:e>
          <m:sub>
            <m:r>
              <m:t>F</m:t>
            </m:r>
          </m:sub>
        </m:sSub>
        <m:r>
          <m:rPr>
            <m:sty m:val="p"/>
          </m:rPr>
          <m:t>≤</m:t>
        </m:r>
        <m:r>
          <m:t>2</m:t>
        </m:r>
        <m:r>
          <m:t>λ</m:t>
        </m:r>
        <m:sSub>
          <m:e>
            <m:r>
              <m:t>β</m:t>
            </m:r>
          </m:e>
          <m:sub>
            <m:r>
              <m:t>B</m:t>
            </m:r>
          </m:sub>
        </m:sSub>
        <m:r>
          <m:t>ε</m:t>
        </m:r>
        <m:r>
          <m:rPr>
            <m:sty m:val="p"/>
          </m:rPr>
          <m:t>.</m:t>
        </m:r>
      </m:oMath>
      <w:r>
        <w:tab/>
      </w:r>
      <w:r>
        <w:t xml:space="preserve">(19)</w:t>
      </w:r>
    </w:p>
    <w:p>
      <w:pPr>
        <w:pStyle w:val="BodyText"/>
      </w:pPr>
      <w:r>
        <w:t xml:space="preserve">For</w:t>
      </w:r>
      <w:r>
        <w:t xml:space="preserve"> </w:t>
      </w:r>
      <m:oMath>
        <m:r>
          <m:t>B</m:t>
        </m:r>
        <m:r>
          <m:rPr>
            <m:sty m:val="p"/>
          </m:rPr>
          <m:t>≥</m:t>
        </m:r>
        <m:r>
          <m:t>2</m:t>
        </m:r>
      </m:oMath>
      <w:r>
        <w:t xml:space="preserve">, the coefficient in (18) is sharp over this decision-model class.</w:t>
      </w:r>
    </w:p>
    <w:p>
      <w:pPr>
        <w:pStyle w:val="BodyText"/>
        <w:keepNext/>
      </w:pPr>
      <w:r>
        <w:rPr>
          <w:iCs/>
          <w:i/>
        </w:rPr>
        <w:t xml:space="preserve">Proof.</w:t>
      </w:r>
      <w:r>
        <w:t xml:space="preserve"> </w:t>
      </w:r>
      <w:r>
        <w:t xml:space="preserve">Fix any history-dependent policy</w:t>
      </w:r>
      <w:r>
        <w:t xml:space="preserve"> </w:t>
      </w:r>
      <m:oMath>
        <m:r>
          <m:t>π</m:t>
        </m:r>
      </m:oMath>
      <w:r>
        <w:t xml:space="preserve">. Holding this policy fixed, replacing the cost table does not change the observation law or its stopping decisions. Since</w:t>
      </w:r>
      <w:r>
        <w:t xml:space="preserve"> </w:t>
      </w:r>
      <m:oMath>
        <m:box>
          <m:e>
            <m:r>
              <m:t>|</m:t>
            </m:r>
            <m:sSub>
              <m:e>
                <m:r>
                  <m:t>S</m:t>
                </m:r>
              </m:e>
              <m:sub>
                <m:r>
                  <m:t>τ</m:t>
                </m:r>
              </m:sub>
            </m:sSub>
            <m:r>
              <m:t>|</m:t>
            </m:r>
          </m:e>
        </m:box>
        <m:r>
          <m:rPr>
            <m:sty m:val="p"/>
          </m:rPr>
          <m:t>≤</m:t>
        </m:r>
        <m:r>
          <m:t>B</m:t>
        </m:r>
      </m:oMath>
      <w:r>
        <w:t xml:space="preserve">, Theorem 3.1 gives</w:t>
      </w:r>
    </w:p>
    <w:p>
      <w:pPr>
        <w:pStyle w:val="BodyText"/>
        <w:keepLines/>
        <w:spacing w:before="60" w:after="120"/>
        <w:jc w:val="center"/>
      </w:pPr>
      <m:oMathPara>
        <m:oMathParaPr>
          <m:jc m:val="center"/>
        </m:oMathParaPr>
        <m:oMath>
          <m:eqArr>
            <m:e>
              <m:box>
                <m:e>
                  <m:r>
                    <m:t>|</m:t>
                  </m:r>
                  <m:sSub>
                    <m:e>
                      <m:r>
                        <m:t>J</m:t>
                      </m:r>
                    </m:e>
                    <m:sub>
                      <m:r>
                        <m:t>F</m:t>
                      </m:r>
                    </m:sub>
                  </m:sSub>
                  <m:d>
                    <m:dPr>
                      <m:begChr m:val="("/>
                      <m:endChr m:val=")"/>
                      <m:sepChr m:val=""/>
                      <m:grow/>
                    </m:dPr>
                    <m:e>
                      <m:r>
                        <m:t>π</m:t>
                      </m:r>
                    </m:e>
                  </m:d>
                  <m:r>
                    <m:rPr>
                      <m:sty m:val="p"/>
                    </m:rPr>
                    <m:t>−</m:t>
                  </m:r>
                  <m:sSub>
                    <m:e>
                      <m:r>
                        <m:t>J</m:t>
                      </m:r>
                    </m:e>
                    <m:sub>
                      <m:r>
                        <m:t>H</m:t>
                      </m:r>
                    </m:sub>
                  </m:sSub>
                  <m:d>
                    <m:dPr>
                      <m:begChr m:val="("/>
                      <m:endChr m:val=")"/>
                      <m:sepChr m:val=""/>
                      <m:grow/>
                    </m:dPr>
                    <m:e>
                      <m:r>
                        <m:t>π</m:t>
                      </m:r>
                    </m:e>
                  </m:d>
                  <m:r>
                    <m:t>|</m:t>
                  </m:r>
                </m:e>
              </m:box>
              <m:r>
                <m:rPr>
                  <m:sty m:val="p"/>
                </m:rPr>
                <m:t>≤</m:t>
              </m:r>
              <m:r>
                <m:t>λ</m:t>
              </m:r>
              <m:sSup>
                <m:e>
                  <m:r>
                    <m:rPr>
                      <m:sty m:val="p"/>
                    </m:rPr>
                    <m:t>𝔼</m:t>
                  </m:r>
                </m:e>
                <m:sup>
                  <m:r>
                    <m:t>π</m:t>
                  </m:r>
                </m:sup>
              </m:sSup>
              <m:box>
                <m:e>
                  <m:r>
                    <m:t>|</m:t>
                  </m:r>
                  <m:r>
                    <m:t>F</m:t>
                  </m:r>
                  <m:d>
                    <m:dPr>
                      <m:begChr m:val="("/>
                      <m:endChr m:val=")"/>
                      <m:sepChr m:val=""/>
                      <m:grow/>
                    </m:dPr>
                    <m:e>
                      <m:sSub>
                        <m:e>
                          <m:r>
                            <m:t>S</m:t>
                          </m:r>
                        </m:e>
                        <m:sub>
                          <m:r>
                            <m:t>τ</m:t>
                          </m:r>
                        </m:sub>
                      </m:sSub>
                    </m:e>
                  </m:d>
                  <m:r>
                    <m:rPr>
                      <m:sty m:val="p"/>
                    </m:rPr>
                    <m:t>−</m:t>
                  </m:r>
                  <m:r>
                    <m:t>H</m:t>
                  </m:r>
                  <m:d>
                    <m:dPr>
                      <m:begChr m:val="("/>
                      <m:endChr m:val=")"/>
                      <m:sepChr m:val=""/>
                      <m:grow/>
                    </m:dPr>
                    <m:e>
                      <m:sSub>
                        <m:e>
                          <m:r>
                            <m:t>S</m:t>
                          </m:r>
                        </m:e>
                        <m:sub>
                          <m:r>
                            <m:t>τ</m:t>
                          </m:r>
                        </m:sub>
                      </m:sSub>
                    </m:e>
                  </m:d>
                  <m:r>
                    <m:t>|</m:t>
                  </m:r>
                </m:e>
              </m:box>
            </m:e>
            <m:e>
              <m:r>
                <m:rPr>
                  <m:sty m:val="p"/>
                </m:rPr>
                <m:t>≤</m:t>
              </m:r>
              <m:r>
                <m:t>λ</m:t>
              </m:r>
              <m:sSub>
                <m:e>
                  <m:r>
                    <m:t>β</m:t>
                  </m:r>
                </m:e>
                <m:sub>
                  <m:r>
                    <m:t>B</m:t>
                  </m:r>
                </m:sub>
              </m:sSub>
              <m:r>
                <m:t>ε</m:t>
              </m:r>
              <m:r>
                <m:rPr>
                  <m:sty m:val="p"/>
                </m:rPr>
                <m:t>.</m:t>
              </m:r>
            </m:e>
          </m:eqArr>
        </m:oMath>
      </m:oMathPara>
    </w:p>
    <w:p>
      <w:pPr>
        <w:pStyle w:val="FirstParagraph"/>
        <w:keepNext/>
      </w:pPr>
      <w:r>
        <w:t xml:space="preserve">Taking minima proves (18). If</w:t>
      </w:r>
      <w:r>
        <w:t xml:space="preserve"> </w:t>
      </w:r>
      <m:oMath>
        <m:sSub>
          <m:e>
            <m:r>
              <m:t>π</m:t>
            </m:r>
          </m:e>
          <m:sub>
            <m:r>
              <m:t>F</m:t>
            </m:r>
          </m:sub>
        </m:sSub>
      </m:oMath>
      <w:r>
        <w:t xml:space="preserve"> </w:t>
      </w:r>
      <w:r>
        <w:t xml:space="preserve">is optimal for</w:t>
      </w:r>
      <w:r>
        <w:t xml:space="preserve"> </w:t>
      </w:r>
      <m:oMath>
        <m:r>
          <m:t>F</m:t>
        </m:r>
      </m:oMath>
      <w:r>
        <w:t xml:space="preserve">, then</w:t>
      </w:r>
    </w:p>
    <w:p>
      <w:pPr>
        <w:pStyle w:val="BodyText"/>
        <w:keepLines/>
        <w:spacing w:before="60" w:after="120"/>
        <w:jc w:val="center"/>
      </w:pPr>
      <m:oMathPara>
        <m:oMathParaPr>
          <m:jc m:val="center"/>
        </m:oMathParaPr>
        <m:oMath>
          <m:eqArr>
            <m:e>
              <m:sSub>
                <m:e>
                  <m:r>
                    <m:t>J</m:t>
                  </m:r>
                </m:e>
                <m:sub>
                  <m:r>
                    <m:t>F</m:t>
                  </m:r>
                </m:sub>
              </m:sSub>
              <m:d>
                <m:dPr>
                  <m:begChr m:val="("/>
                  <m:endChr m:val=")"/>
                  <m:sepChr m:val=""/>
                  <m:grow/>
                </m:dPr>
                <m:e>
                  <m:sSub>
                    <m:e>
                      <m:r>
                        <m:t>π</m:t>
                      </m:r>
                    </m:e>
                    <m:sub>
                      <m:r>
                        <m:t>H</m:t>
                      </m:r>
                    </m:sub>
                  </m:sSub>
                </m:e>
              </m:d>
              <m:r>
                <m:rPr>
                  <m:sty m:val="p"/>
                </m:rPr>
                <m:t>≤</m:t>
              </m:r>
              <m:sSub>
                <m:e>
                  <m:r>
                    <m:t>J</m:t>
                  </m:r>
                </m:e>
                <m:sub>
                  <m:r>
                    <m:t>H</m:t>
                  </m:r>
                </m:sub>
              </m:sSub>
              <m:d>
                <m:dPr>
                  <m:begChr m:val="("/>
                  <m:endChr m:val=")"/>
                  <m:sepChr m:val=""/>
                  <m:grow/>
                </m:dPr>
                <m:e>
                  <m:sSub>
                    <m:e>
                      <m:r>
                        <m:t>π</m:t>
                      </m:r>
                    </m:e>
                    <m:sub>
                      <m:r>
                        <m:t>H</m:t>
                      </m:r>
                    </m:sub>
                  </m:sSub>
                </m:e>
              </m:d>
              <m:r>
                <m:rPr>
                  <m:sty m:val="p"/>
                </m:rPr>
                <m:t>+</m:t>
              </m:r>
              <m:r>
                <m:t>λ</m:t>
              </m:r>
              <m:sSub>
                <m:e>
                  <m:r>
                    <m:t>β</m:t>
                  </m:r>
                </m:e>
                <m:sub>
                  <m:r>
                    <m:t>B</m:t>
                  </m:r>
                </m:sub>
              </m:sSub>
              <m:r>
                <m:t>ε</m:t>
              </m:r>
            </m:e>
            <m:e>
              <m:r>
                <m:rPr>
                  <m:sty m:val="p"/>
                </m:rPr>
                <m:t>≤</m:t>
              </m:r>
              <m:sSub>
                <m:e>
                  <m:r>
                    <m:t>J</m:t>
                  </m:r>
                </m:e>
                <m:sub>
                  <m:r>
                    <m:t>H</m:t>
                  </m:r>
                </m:sub>
              </m:sSub>
              <m:d>
                <m:dPr>
                  <m:begChr m:val="("/>
                  <m:endChr m:val=")"/>
                  <m:sepChr m:val=""/>
                  <m:grow/>
                </m:dPr>
                <m:e>
                  <m:sSub>
                    <m:e>
                      <m:r>
                        <m:t>π</m:t>
                      </m:r>
                    </m:e>
                    <m:sub>
                      <m:r>
                        <m:t>F</m:t>
                      </m:r>
                    </m:sub>
                  </m:sSub>
                </m:e>
              </m:d>
              <m:r>
                <m:rPr>
                  <m:sty m:val="p"/>
                </m:rPr>
                <m:t>+</m:t>
              </m:r>
              <m:r>
                <m:t>λ</m:t>
              </m:r>
              <m:sSub>
                <m:e>
                  <m:r>
                    <m:t>β</m:t>
                  </m:r>
                </m:e>
                <m:sub>
                  <m:r>
                    <m:t>B</m:t>
                  </m:r>
                </m:sub>
              </m:sSub>
              <m:r>
                <m:t>ε</m:t>
              </m:r>
            </m:e>
            <m:e>
              <m:r>
                <m:rPr>
                  <m:sty m:val="p"/>
                </m:rPr>
                <m:t>≤</m:t>
              </m:r>
              <m:sSub>
                <m:e>
                  <m:r>
                    <m:t>V</m:t>
                  </m:r>
                </m:e>
                <m:sub>
                  <m:r>
                    <m:t>F</m:t>
                  </m:r>
                </m:sub>
              </m:sSub>
              <m:r>
                <m:rPr>
                  <m:sty m:val="p"/>
                </m:rPr>
                <m:t>+</m:t>
              </m:r>
              <m:r>
                <m:t>2</m:t>
              </m:r>
              <m:r>
                <m:t>λ</m:t>
              </m:r>
              <m:sSub>
                <m:e>
                  <m:r>
                    <m:t>β</m:t>
                  </m:r>
                </m:e>
                <m:sub>
                  <m:r>
                    <m:t>B</m:t>
                  </m:r>
                </m:sub>
              </m:sSub>
              <m:r>
                <m:t>ε</m:t>
              </m:r>
              <m:r>
                <m:rPr>
                  <m:sty m:val="p"/>
                </m:rPr>
                <m:t>,</m:t>
              </m:r>
            </m:e>
          </m:eqArr>
        </m:oMath>
      </m:oMathPara>
    </w:p>
    <w:p>
      <w:pPr>
        <w:pStyle w:val="FirstParagraph"/>
      </w:pPr>
      <w:r>
        <w:t xml:space="preserve">which proves (19).</w:t>
      </w:r>
    </w:p>
    <w:p>
      <w:pPr>
        <w:pStyle w:val="BodyText"/>
      </w:pPr>
      <w:r>
        <w:t xml:space="preserve">For sharpness of (18), take</w:t>
      </w:r>
      <w:r>
        <w:t xml:space="preserve"> </w:t>
      </w:r>
      <m:oMath>
        <m:r>
          <m:t>B</m:t>
        </m:r>
      </m:oMath>
      <w:r>
        <w:t xml:space="preserve"> </w:t>
      </w:r>
      <w:r>
        <w:t xml:space="preserve">independent fair bits</w:t>
      </w:r>
      <w:r>
        <w:t xml:space="preserve"> </w:t>
      </w:r>
      <m:oMath>
        <m:sSub>
          <m:e>
            <m:r>
              <m:t>X</m:t>
            </m:r>
          </m:e>
          <m:sub>
            <m:r>
              <m:t>1</m:t>
            </m:r>
          </m:sub>
        </m:sSub>
        <m:r>
          <m:rPr>
            <m:sty m:val="p"/>
          </m:rPr>
          <m:t>,</m:t>
        </m:r>
        <m:r>
          <m:rPr>
            <m:sty m:val="p"/>
          </m:rPr>
          <m:t>…</m:t>
        </m:r>
        <m:r>
          <m:rPr>
            <m:sty m:val="p"/>
          </m:rPr>
          <m:t>,</m:t>
        </m:r>
        <m:sSub>
          <m:e>
            <m:r>
              <m:t>X</m:t>
            </m:r>
          </m:e>
          <m:sub>
            <m:r>
              <m:t>B</m:t>
            </m:r>
          </m:sub>
        </m:sSub>
      </m:oMath>
      <w:r>
        <w:t xml:space="preserve"> </w:t>
      </w:r>
      <w:r>
        <w:t xml:space="preserve">as the latent state. Source</w:t>
      </w:r>
      <w:r>
        <w:t xml:space="preserve"> </w:t>
      </w:r>
      <m:oMath>
        <m:r>
          <m:t>i</m:t>
        </m:r>
      </m:oMath>
      <w:r>
        <w:t xml:space="preserve"> </w:t>
      </w:r>
      <w:r>
        <w:t xml:space="preserve">reveals</w:t>
      </w:r>
      <w:r>
        <w:t xml:space="preserve"> </w:t>
      </w:r>
      <m:oMath>
        <m:sSub>
          <m:e>
            <m:r>
              <m:t>X</m:t>
            </m:r>
          </m:e>
          <m:sub>
            <m:r>
              <m:t>i</m:t>
            </m:r>
          </m:sub>
        </m:sSub>
      </m:oMath>
      <w:r>
        <w:t xml:space="preserve"> </w:t>
      </w:r>
      <w:r>
        <w:t xml:space="preserve">deterministically, and the final decision predicts their parity under zero-one loss. Conditional independence holds given the complete latent state. Every proper subset leaves parity uniformly distributed, while the full set determines it.</w:t>
      </w:r>
    </w:p>
    <w:p>
      <w:pPr>
        <w:pStyle w:val="BodyText"/>
        <w:keepNext/>
      </w:pPr>
      <w:r>
        <w:t xml:space="preserve">For a nonnegative monotone cost function</w:t>
      </w:r>
      <w:r>
        <w:t xml:space="preserve"> </w:t>
      </w:r>
      <m:oMath>
        <m:r>
          <m:t>K</m:t>
        </m:r>
      </m:oMath>
      <w:r>
        <w:t xml:space="preserve">, a policy completing all queries with probability</w:t>
      </w:r>
      <w:r>
        <w:t xml:space="preserve"> </w:t>
      </w:r>
      <m:oMath>
        <m:r>
          <m:t>u</m:t>
        </m:r>
      </m:oMath>
      <w:r>
        <w:t xml:space="preserve"> </w:t>
      </w:r>
      <w:r>
        <w:t xml:space="preserve">has objective at least</w:t>
      </w:r>
    </w:p>
    <w:p>
      <w:pPr>
        <w:pStyle w:val="BodyText"/>
        <w:keepLines/>
        <w:spacing w:before="60" w:after="120"/>
        <w:jc w:val="center"/>
      </w:pPr>
      <m:oMathPara>
        <m:oMathParaPr>
          <m:jc m:val="center"/>
        </m:oMathParaPr>
        <m:oMath>
          <m:r>
            <m:t>u</m:t>
          </m:r>
          <m:r>
            <m:t>λ</m:t>
          </m:r>
          <m:r>
            <m:t>K</m:t>
          </m:r>
          <m:d>
            <m:dPr>
              <m:begChr m:val="("/>
              <m:endChr m:val=")"/>
              <m:sepChr m:val=""/>
              <m:grow/>
            </m:dPr>
            <m:e>
              <m:r>
                <m:t>N</m:t>
              </m:r>
            </m:e>
          </m:d>
          <m:r>
            <m:rPr>
              <m:sty m:val="p"/>
            </m:rPr>
            <m:t>+</m:t>
          </m:r>
          <m:d>
            <m:dPr>
              <m:begChr m:val="("/>
              <m:endChr m:val=")"/>
              <m:sepChr m:val=""/>
              <m:grow/>
            </m:dPr>
            <m:e>
              <m:r>
                <m:t>1</m:t>
              </m:r>
              <m:r>
                <m:rPr>
                  <m:sty m:val="p"/>
                </m:rPr>
                <m:t>−</m:t>
              </m:r>
              <m:r>
                <m:t>u</m:t>
              </m:r>
            </m:e>
          </m:d>
          <m:r>
            <m:rPr>
              <m:sty m:val="p"/>
            </m:rPr>
            <m:t>/</m:t>
          </m:r>
          <m:r>
            <m:t>2</m:t>
          </m:r>
          <m:r>
            <m:rPr>
              <m:sty m:val="p"/>
            </m:rPr>
            <m:t>.</m:t>
          </m:r>
        </m:oMath>
      </m:oMathPara>
    </w:p>
    <w:p>
      <w:pPr>
        <w:pStyle w:val="FirstParagraph"/>
        <w:keepNext/>
      </w:pPr>
      <w:r>
        <w:t xml:space="preserve">Always stopping or always completing attains the two endpoints. The optimal value is consequently</w:t>
      </w:r>
    </w:p>
    <w:p>
      <w:pPr>
        <w:pStyle w:val="BodyText"/>
        <w:keepLines/>
        <w:spacing w:before="60" w:after="120"/>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N</m:t>
              </m:r>
            </m:e>
          </m:d>
          <m:r>
            <m:rPr>
              <m:sty m:val="p"/>
            </m:rPr>
            <m:t>}</m:t>
          </m:r>
          <m:r>
            <m:rPr>
              <m:sty m:val="p"/>
            </m:rPr>
            <m:t>.</m:t>
          </m:r>
        </m:oMath>
      </m:oMathPara>
    </w:p>
    <w:p>
      <w:pPr>
        <w:pStyle w:val="FirstParagraph"/>
        <w:keepNext/>
      </w:pPr>
      <w:r>
        <w:t xml:space="preserve">Use the central tree and the plus perturbation from Theorem 3.1, choosing</w:t>
      </w:r>
      <w:r>
        <w:t xml:space="preserve"> </w:t>
      </w:r>
      <m:oMath>
        <m:r>
          <m:t>λ</m:t>
        </m:r>
      </m:oMath>
      <w:r>
        <w:t xml:space="preserve"> </w:t>
      </w:r>
      <w:r>
        <w:t xml:space="preserve">small enough that full acquisition is optimal for both. Their values differ by exactly</w:t>
      </w:r>
    </w:p>
    <w:p>
      <w:pPr>
        <w:pStyle w:val="BodyText"/>
        <w:keepLines/>
        <w:spacing w:before="60" w:after="120"/>
        <w:jc w:val="center"/>
      </w:pPr>
      <m:oMathPara>
        <m:oMathParaPr>
          <m:jc m:val="center"/>
        </m:oMathParaPr>
        <m:oMath>
          <m:r>
            <m:t>λ</m:t>
          </m:r>
          <m:d>
            <m:dPr>
              <m:begChr m:val="("/>
              <m:endChr m:val=")"/>
              <m:sepChr m:val=""/>
              <m:grow/>
            </m:dPr>
            <m:e>
              <m:r>
                <m:t>2</m:t>
              </m:r>
              <m:r>
                <m:t>B</m:t>
              </m:r>
              <m:r>
                <m:rPr>
                  <m:sty m:val="p"/>
                </m:rPr>
                <m:t>−</m:t>
              </m:r>
              <m:r>
                <m:t>3</m:t>
              </m:r>
            </m:e>
          </m:d>
          <m:r>
            <m:t>ε</m:t>
          </m:r>
          <m:r>
            <m:rPr>
              <m:sty m:val="p"/>
            </m:rPr>
            <m:t>.</m:t>
          </m:r>
        </m:oMath>
      </m:oMathPara>
    </w:p>
    <w:p>
      <w:pPr>
        <w:pStyle w:val="FirstParagraph"/>
      </w:pPr>
      <w:r>
        <w:t xml:space="preserve">This proves sharpness.</w:t>
      </w:r>
      <w:r>
        <w:t xml:space="preserve"> </w:t>
      </w:r>
      <m:oMath>
        <m:r>
          <m:rPr>
            <m:sty m:val="p"/>
          </m:rPr>
          <m:t>▫</m:t>
        </m:r>
      </m:oMath>
    </w:p>
    <w:p>
      <w:pPr>
        <w:pStyle w:val="BodyText"/>
      </w:pPr>
      <w:r>
        <w:t xml:space="preserve">The factor two in (19) was only an upper bound in the earlier treatment; Theorem 4.3 of the revised main article establishes its sharpness. Replacing</w:t>
      </w:r>
      <w:r>
        <w:t xml:space="preserve"> </w:t>
      </w:r>
      <m:oMath>
        <m:r>
          <m:t>H</m:t>
        </m:r>
      </m:oMath>
      <w:r>
        <w:t xml:space="preserve"> </w:t>
      </w:r>
      <w:r>
        <w:t xml:space="preserve">by the repaired estimate gives corresponding value and excess-loss bounds with</w:t>
      </w:r>
      <w:r>
        <w:t xml:space="preserve"> </w:t>
      </w:r>
      <m:oMath>
        <m:r>
          <m:t>4</m:t>
        </m:r>
        <m:r>
          <m:t>B</m:t>
        </m:r>
        <m:r>
          <m:rPr>
            <m:sty m:val="p"/>
          </m:rPr>
          <m:t>−</m:t>
        </m:r>
        <m:r>
          <m:t>3</m:t>
        </m:r>
      </m:oMath>
      <w:r>
        <w:t xml:space="preserve">, for</w:t>
      </w:r>
      <w:r>
        <w:t xml:space="preserve"> </w:t>
      </w:r>
      <m:oMath>
        <m:r>
          <m:t>B</m:t>
        </m:r>
        <m:r>
          <m:rPr>
            <m:sty m:val="p"/>
          </m:rPr>
          <m:t>≥</m:t>
        </m:r>
        <m:r>
          <m:t>1</m:t>
        </m:r>
      </m:oMath>
      <w:r>
        <w:t xml:space="preserve">.</w:t>
      </w:r>
    </w:p>
    <w:p>
      <w:pPr>
        <w:pStyle w:val="BodyText"/>
      </w:pPr>
      <w:r>
        <w:t xml:space="preserve">The parity example also shows a limitation of one-step policies. If every initial acquisition has positive cost, a policy comparing only immediate Bayes-risk reduction with acquisition cost stops without querying. Its value remains</w:t>
      </w:r>
      <w:r>
        <w:t xml:space="preserve"> </w:t>
      </w:r>
      <m:oMath>
        <m:r>
          <m:t>1</m:t>
        </m:r>
        <m:r>
          <m:rPr>
            <m:sty m:val="p"/>
          </m:rPr>
          <m:t>/</m:t>
        </m:r>
        <m:r>
          <m:t>2</m:t>
        </m:r>
      </m:oMath>
      <w:r>
        <w:t xml:space="preserve">, while the optimum is</w:t>
      </w:r>
      <w:r>
        <w:t xml:space="preserve"> </w:t>
      </w:r>
      <m:oMath>
        <m:r>
          <m:t>λ</m:t>
        </m:r>
        <m:r>
          <m:t>F</m:t>
        </m:r>
        <m:d>
          <m:dPr>
            <m:begChr m:val="("/>
            <m:endChr m:val=")"/>
            <m:sepChr m:val=""/>
            <m:grow/>
          </m:dPr>
          <m:e>
            <m:r>
              <m:t>N</m:t>
            </m:r>
          </m:e>
        </m:d>
      </m:oMath>
      <w:r>
        <w:t xml:space="preserve"> </w:t>
      </w:r>
      <w:r>
        <w:t xml:space="preserve">for sufficiently small</w:t>
      </w:r>
      <w:r>
        <w:t xml:space="preserve"> </w:t>
      </w:r>
      <m:oMath>
        <m:r>
          <m:t>λ</m:t>
        </m:r>
      </m:oMath>
      <w:r>
        <w:t xml:space="preserve">. Their ratio is unbounded as</w:t>
      </w:r>
      <w:r>
        <w:t xml:space="preserve"> </w:t>
      </w:r>
      <m:oMath>
        <m:r>
          <m:t>λ</m:t>
        </m:r>
      </m:oMath>
      <w:r>
        <w:t xml:space="preserve"> </w:t>
      </w:r>
      <w:r>
        <w:t xml:space="preserve">approaches zero. Thus tree structure alone does not provide a general one-step approximation guarantee; assumptions on information value are also required [9].</w:t>
      </w:r>
    </w:p>
    <w:bookmarkEnd w:id="35"/>
    <w:bookmarkEnd w:id="36"/>
    <w:bookmarkStart w:id="39" w:name="X6536023aadc7ab51e6f91a0e0076485fb9ee5bc"/>
    <w:p>
      <w:pPr>
        <w:pStyle w:val="Heading1"/>
      </w:pPr>
      <w:r>
        <w:t xml:space="preserve">5. Decision equivalence and the boundary of the model</w:t>
      </w:r>
    </w:p>
    <w:bookmarkStart w:id="37" w:name="Xf566fc8f9405a7e51b06c066331be51b71fc5e7"/>
    <w:p>
      <w:pPr>
        <w:pStyle w:val="Heading2"/>
      </w:pPr>
      <w:r>
        <w:t xml:space="preserve">5.1. Which network information is decision-relevant?</w:t>
      </w:r>
    </w:p>
    <w:p>
      <w:pPr>
        <w:pStyle w:val="FirstParagraph"/>
        <w:keepNext/>
      </w:pPr>
      <w:r>
        <w:rPr>
          <w:bCs/>
          <w:b/>
        </w:rPr>
        <w:t xml:space="preserve">Theorem 5.1 — Universal decision equivalence.</w:t>
      </w:r>
      <w:r>
        <w:t xml:space="preserve"> </w:t>
      </w:r>
      <w:r>
        <w:t xml:space="preserve">Let</w:t>
      </w:r>
      <w:r>
        <w:t xml:space="preserve"> </w:t>
      </w:r>
      <m:oMath>
        <m:r>
          <m:t>F</m:t>
        </m:r>
      </m:oMath>
      <w:r>
        <w:t xml:space="preserve"> </w:t>
      </w:r>
      <w:r>
        <w:t xml:space="preserve">and</w:t>
      </w:r>
      <w:r>
        <w:t xml:space="preserve"> </w:t>
      </w:r>
      <m:oMath>
        <m:r>
          <m:t>G</m:t>
        </m:r>
      </m:oMath>
      <w:r>
        <w:t xml:space="preserve"> </w:t>
      </w:r>
      <w:r>
        <w:t xml:space="preserve">be rooted-tree cost functions on the same</w:t>
      </w:r>
      <w:r>
        <w:t xml:space="preserve"> </w:t>
      </w:r>
      <m:oMath>
        <m:r>
          <m:t>n</m:t>
        </m:r>
        <m:r>
          <m:rPr>
            <m:sty m:val="p"/>
          </m:rPr>
          <m:t>≥</m:t>
        </m:r>
        <m:r>
          <m:t>2</m:t>
        </m:r>
      </m:oMath>
      <w:r>
        <w:t xml:space="preserve"> </w:t>
      </w:r>
      <w:r>
        <w:t xml:space="preserve">labels. Fix</w:t>
      </w:r>
      <w:r>
        <w:t xml:space="preserve"> </w:t>
      </w:r>
      <m:oMath>
        <m:r>
          <m:t>2</m:t>
        </m:r>
        <m:r>
          <m:rPr>
            <m:sty m:val="p"/>
          </m:rPr>
          <m:t>≤</m:t>
        </m:r>
        <m:r>
          <m:t>B</m:t>
        </m:r>
        <m:r>
          <m:rPr>
            <m:sty m:val="p"/>
          </m:rPr>
          <m:t>≤</m:t>
        </m:r>
        <m:r>
          <m:t>n</m:t>
        </m:r>
      </m:oMath>
      <w:r>
        <w:t xml:space="preserve">. The following statements are equivalent:</w:t>
      </w:r>
    </w:p>
    <w:p>
      <w:pPr>
        <w:numPr>
          <w:ilvl w:val="0"/>
          <w:numId w:val="1001"/>
        </w:numPr>
        <w:pStyle w:val="Compact"/>
      </w:pPr>
      <m:oMath>
        <m:r>
          <m:t>F</m:t>
        </m:r>
      </m:oMath>
      <w:r>
        <w:t xml:space="preserve"> </w:t>
      </w:r>
      <w:r>
        <w:t xml:space="preserve">and</w:t>
      </w:r>
      <w:r>
        <w:t xml:space="preserve"> </w:t>
      </w:r>
      <m:oMath>
        <m:r>
          <m:t>G</m:t>
        </m:r>
      </m:oMath>
      <w:r>
        <w:t xml:space="preserve"> </w:t>
      </w:r>
      <w:r>
        <w:t xml:space="preserve">agree on every singleton and pair.</w:t>
      </w:r>
    </w:p>
    <w:p>
      <w:pPr>
        <w:numPr>
          <w:ilvl w:val="0"/>
          <w:numId w:val="1001"/>
        </w:numPr>
        <w:pStyle w:val="Compact"/>
      </w:pPr>
      <w:r>
        <w:t xml:space="preserve">They agree on every subset of sources.</w:t>
      </w:r>
    </w:p>
    <w:p>
      <w:pPr>
        <w:numPr>
          <w:ilvl w:val="0"/>
          <w:numId w:val="1001"/>
        </w:numPr>
        <w:pStyle w:val="Compact"/>
      </w:pPr>
      <w:r>
        <w:t xml:space="preserve">They have equal optimal values for every finite decision experiment described in Section 4 and every</w:t>
      </w:r>
      <w:r>
        <w:t xml:space="preserve"> </w:t>
      </w:r>
      <m:oMath>
        <m:r>
          <m:t>λ</m:t>
        </m:r>
        <m:r>
          <m:rPr>
            <m:sty m:val="p"/>
          </m:rPr>
          <m:t>&gt;</m:t>
        </m:r>
        <m:r>
          <m:t>0</m:t>
        </m:r>
      </m:oMath>
      <w:r>
        <w:t xml:space="preserve">, under the same call limit</w:t>
      </w:r>
      <w:r>
        <w:t xml:space="preserve"> </w:t>
      </w:r>
      <m:oMath>
        <m:r>
          <m:t>B</m:t>
        </m:r>
      </m:oMath>
      <w:r>
        <w:t xml:space="preserve">.</w:t>
      </w:r>
    </w:p>
    <w:p>
      <w:pPr>
        <w:pStyle w:val="FirstParagraph"/>
      </w:pPr>
      <w:r>
        <w:rPr>
          <w:iCs/>
          <w:i/>
        </w:rPr>
        <w:t xml:space="preserve">Proof.</w:t>
      </w:r>
      <w:r>
        <w:t xml:space="preserve"> </w:t>
      </w:r>
      <w:r>
        <w:t xml:space="preserve">Proposition 2.2 gives statement 1 implies statement 2. Identical set costs give identical objectives for every policy, proving statement 2 implies statement 3.</w:t>
      </w:r>
    </w:p>
    <w:p>
      <w:pPr>
        <w:pStyle w:val="BodyText"/>
      </w:pPr>
      <w:r>
        <w:t xml:space="preserve">Suppose statement 1 fails on a set</w:t>
      </w:r>
      <w:r>
        <w:t xml:space="preserve"> </w:t>
      </w:r>
      <m:oMath>
        <m:r>
          <m:t>S</m:t>
        </m:r>
      </m:oMath>
      <w:r>
        <w:t xml:space="preserve"> </w:t>
      </w:r>
      <w:r>
        <w:t xml:space="preserve">of size one or two. Let each source in</w:t>
      </w:r>
      <w:r>
        <w:t xml:space="preserve"> </w:t>
      </w:r>
      <m:oMath>
        <m:r>
          <m:t>S</m:t>
        </m:r>
      </m:oMath>
      <w:r>
        <w:t xml:space="preserve"> </w:t>
      </w:r>
      <w:r>
        <w:t xml:space="preserve">reveal one independent fair bit, let every other source return a constant, and let the final decision predict the parity of the bits in</w:t>
      </w:r>
      <w:r>
        <w:t xml:space="preserve"> </w:t>
      </w:r>
      <m:oMath>
        <m:r>
          <m:t>S</m:t>
        </m:r>
      </m:oMath>
      <w:r>
        <w:t xml:space="preserve">.</w:t>
      </w:r>
    </w:p>
    <w:p>
      <w:pPr>
        <w:pStyle w:val="BodyText"/>
        <w:keepNext/>
      </w:pPr>
      <w:r>
        <w:t xml:space="preserve">By the argument in Theorem 4.2 and monotonicity of acquisition costs, the optimal value under a cost function</w:t>
      </w:r>
      <w:r>
        <w:t xml:space="preserve"> </w:t>
      </w:r>
      <m:oMath>
        <m:r>
          <m:t>K</m:t>
        </m:r>
      </m:oMath>
      <w:r>
        <w:t xml:space="preserve"> </w:t>
      </w:r>
      <w:r>
        <w:t xml:space="preserve">is</w:t>
      </w:r>
    </w:p>
    <w:p>
      <w:pPr>
        <w:pStyle w:val="BodyText"/>
        <w:keepLines/>
        <w:spacing w:before="60" w:after="120"/>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S</m:t>
              </m:r>
            </m:e>
          </m:d>
          <m:r>
            <m:rPr>
              <m:sty m:val="p"/>
            </m:rPr>
            <m:t>}</m:t>
          </m:r>
          <m:r>
            <m:rPr>
              <m:sty m:val="p"/>
            </m:rPr>
            <m:t>.</m:t>
          </m:r>
        </m:oMath>
      </m:oMathPara>
    </w:p>
    <w:p>
      <w:pPr>
        <w:pStyle w:val="FirstParagraph"/>
      </w:pPr>
      <w:r>
        <w:t xml:space="preserve">Choose</w:t>
      </w:r>
      <w:r>
        <w:t xml:space="preserve"> </w:t>
      </w:r>
      <m:oMath>
        <m:r>
          <m:t>λ</m:t>
        </m:r>
        <m:r>
          <m:rPr>
            <m:sty m:val="p"/>
          </m:rPr>
          <m:t>&gt;</m:t>
        </m:r>
        <m:r>
          <m:t>0</m:t>
        </m:r>
      </m:oMath>
      <w:r>
        <w:t xml:space="preserve"> </w:t>
      </w:r>
      <w:r>
        <w:t xml:space="preserve">small enough that acquiring</w:t>
      </w:r>
      <w:r>
        <w:t xml:space="preserve"> </w:t>
      </w:r>
      <m:oMath>
        <m:r>
          <m:t>S</m:t>
        </m:r>
      </m:oMath>
      <w:r>
        <w:t xml:space="preserve"> </w:t>
      </w:r>
      <w:r>
        <w:t xml:space="preserve">is optimal under both</w:t>
      </w:r>
      <w:r>
        <w:t xml:space="preserve"> </w:t>
      </w:r>
      <m:oMath>
        <m:r>
          <m:t>F</m:t>
        </m:r>
      </m:oMath>
      <w:r>
        <w:t xml:space="preserve"> </w:t>
      </w:r>
      <w:r>
        <w:t xml:space="preserve">and</w:t>
      </w:r>
      <w:r>
        <w:t xml:space="preserve"> </w:t>
      </w:r>
      <m:oMath>
        <m:r>
          <m:t>G</m:t>
        </m:r>
      </m:oMath>
      <w:r>
        <w:t xml:space="preserve">. Since</w:t>
      </w:r>
      <w:r>
        <w:t xml:space="preserve"> </w:t>
      </w:r>
      <m:oMath>
        <m:r>
          <m:t>F</m:t>
        </m:r>
        <m:d>
          <m:dPr>
            <m:begChr m:val="("/>
            <m:endChr m:val=")"/>
            <m:sepChr m:val=""/>
            <m:grow/>
          </m:dPr>
          <m:e>
            <m:r>
              <m:t>S</m:t>
            </m:r>
          </m:e>
        </m:d>
        <m:r>
          <m:rPr>
            <m:sty m:val="p"/>
          </m:rPr>
          <m:t>≠</m:t>
        </m:r>
        <m:r>
          <m:t>G</m:t>
        </m:r>
        <m:d>
          <m:dPr>
            <m:begChr m:val="("/>
            <m:endChr m:val=")"/>
            <m:sepChr m:val=""/>
            <m:grow/>
          </m:dPr>
          <m:e>
            <m:r>
              <m:t>S</m:t>
            </m:r>
          </m:e>
        </m:d>
      </m:oMath>
      <w:r>
        <w:t xml:space="preserve">, their optimal values differ, contradicting statement 3.</w:t>
      </w:r>
      <w:r>
        <w:t xml:space="preserve"> </w:t>
      </w:r>
      <m:oMath>
        <m:r>
          <m:rPr>
            <m:sty m:val="p"/>
          </m:rPr>
          <m:t>▫</m:t>
        </m:r>
      </m:oMath>
    </w:p>
    <w:p>
      <w:pPr>
        <w:pStyle w:val="BodyText"/>
      </w:pPr>
      <w:r>
        <w:t xml:space="preserve">For</w:t>
      </w:r>
      <w:r>
        <w:t xml:space="preserve"> </w:t>
      </w:r>
      <m:oMath>
        <m:r>
          <m:t>B</m:t>
        </m:r>
        <m:r>
          <m:rPr>
            <m:sty m:val="p"/>
          </m:rPr>
          <m:t>=</m:t>
        </m:r>
        <m:r>
          <m:t>1</m:t>
        </m:r>
      </m:oMath>
      <w:r>
        <w:t xml:space="preserve">, only singleton costs matter. The quantifier over all positive</w:t>
      </w:r>
      <w:r>
        <w:t xml:space="preserve"> </w:t>
      </w:r>
      <m:oMath>
        <m:r>
          <m:t>λ</m:t>
        </m:r>
      </m:oMath>
      <w:r>
        <w:t xml:space="preserve"> </w:t>
      </w:r>
      <w:r>
        <w:t xml:space="preserve">is essential: a sufficiently high fixed penalty can make immediate stopping optimal in both networks and conceal cost differences.</w:t>
      </w:r>
    </w:p>
    <w:bookmarkEnd w:id="37"/>
    <w:bookmarkStart w:id="38" w:name="failure-for-general-shared-resources"/>
    <w:p>
      <w:pPr>
        <w:pStyle w:val="Heading2"/>
      </w:pPr>
      <w:r>
        <w:t xml:space="preserve">5.2. Failure for general shared resources</w:t>
      </w:r>
    </w:p>
    <w:p>
      <w:pPr>
        <w:pStyle w:val="FirstParagraph"/>
      </w:pPr>
      <w:r>
        <w:t xml:space="preserve">Rooted-path structure cannot be inferred solely from a compatible pair table. Consider three sources.</w:t>
      </w:r>
    </w:p>
    <w:p>
      <w:pPr>
        <w:pStyle w:val="BodyText"/>
      </w:pPr>
      <w:r>
        <w:t xml:space="preserve">In system A, there are three resources</w:t>
      </w:r>
      <w:r>
        <w:t xml:space="preserve"> </w:t>
      </w:r>
      <m:oMath>
        <m:sSub>
          <m:e>
            <m:r>
              <m:t>e</m:t>
            </m:r>
          </m:e>
          <m:sub>
            <m:r>
              <m:t>12</m:t>
            </m:r>
          </m:sub>
        </m:sSub>
        <m:r>
          <m:rPr>
            <m:sty m:val="p"/>
          </m:rPr>
          <m:t>,</m:t>
        </m:r>
        <m:sSub>
          <m:e>
            <m:r>
              <m:t>e</m:t>
            </m:r>
          </m:e>
          <m:sub>
            <m:r>
              <m:t>13</m:t>
            </m:r>
          </m:sub>
        </m:sSub>
        <m:r>
          <m:rPr>
            <m:sty m:val="p"/>
          </m:rPr>
          <m:t>,</m:t>
        </m:r>
        <m:sSub>
          <m:e>
            <m:r>
              <m:t>e</m:t>
            </m:r>
          </m:e>
          <m:sub>
            <m:r>
              <m:t>23</m:t>
            </m:r>
          </m:sub>
        </m:sSub>
      </m:oMath>
      <w:r>
        <w:t xml:space="preserve">, each of cost one. Source 1 uses</w:t>
      </w:r>
      <w:r>
        <w:t xml:space="preserve"> </w:t>
      </w:r>
      <m:oMath>
        <m:sSub>
          <m:e>
            <m:r>
              <m:t>e</m:t>
            </m:r>
          </m:e>
          <m:sub>
            <m:r>
              <m:t>12</m:t>
            </m:r>
          </m:sub>
        </m:sSub>
        <m:r>
          <m:rPr>
            <m:sty m:val="p"/>
          </m:rPr>
          <m:t>,</m:t>
        </m:r>
        <m:sSub>
          <m:e>
            <m:r>
              <m:t>e</m:t>
            </m:r>
          </m:e>
          <m:sub>
            <m:r>
              <m:t>13</m:t>
            </m:r>
          </m:sub>
        </m:sSub>
      </m:oMath>
      <w:r>
        <w:t xml:space="preserve">; source 2 uses</w:t>
      </w:r>
      <w:r>
        <w:t xml:space="preserve"> </w:t>
      </w:r>
      <m:oMath>
        <m:sSub>
          <m:e>
            <m:r>
              <m:t>e</m:t>
            </m:r>
          </m:e>
          <m:sub>
            <m:r>
              <m:t>12</m:t>
            </m:r>
          </m:sub>
        </m:sSub>
        <m:r>
          <m:rPr>
            <m:sty m:val="p"/>
          </m:rPr>
          <m:t>,</m:t>
        </m:r>
        <m:sSub>
          <m:e>
            <m:r>
              <m:t>e</m:t>
            </m:r>
          </m:e>
          <m:sub>
            <m:r>
              <m:t>23</m:t>
            </m:r>
          </m:sub>
        </m:sSub>
      </m:oMath>
      <w:r>
        <w:t xml:space="preserve">; source 3 uses</w:t>
      </w:r>
      <w:r>
        <w:t xml:space="preserve"> </w:t>
      </w:r>
      <m:oMath>
        <m:sSub>
          <m:e>
            <m:r>
              <m:t>e</m:t>
            </m:r>
          </m:e>
          <m:sub>
            <m:r>
              <m:t>13</m:t>
            </m:r>
          </m:sub>
        </m:sSub>
        <m:r>
          <m:rPr>
            <m:sty m:val="p"/>
          </m:rPr>
          <m:t>,</m:t>
        </m:r>
        <m:sSub>
          <m:e>
            <m:r>
              <m:t>e</m:t>
            </m:r>
          </m:e>
          <m:sub>
            <m:r>
              <m:t>23</m:t>
            </m:r>
          </m:sub>
        </m:sSub>
      </m:oMath>
      <w:r>
        <w:t xml:space="preserve">.</w:t>
      </w:r>
    </w:p>
    <w:p>
      <w:pPr>
        <w:pStyle w:val="BodyText"/>
      </w:pPr>
      <w:r>
        <w:t xml:space="preserve">In system B, every source uses a common resource of cost one and its own private resource of cost one.</w:t>
      </w:r>
    </w:p>
    <w:p>
      <w:pPr>
        <w:pStyle w:val="BodyText"/>
      </w:pPr>
      <w:r>
        <w:t xml:space="preserve">Both systems have singleton cost two and pair cost three. Their triple costs differ:</w:t>
      </w:r>
    </w:p>
    <w:p>
      <w:pPr>
        <w:pStyle w:val="BodyText"/>
        <w:keepLines/>
        <w:spacing w:before="60" w:after="120"/>
        <w:tabs>
          <w:tab w:val="center" w:pos="4939"/>
          <w:tab w:val="right" w:pos="9878"/>
        </w:tabs>
        <w:jc w:val="left"/>
      </w:pPr>
      <w:r>
        <w:tab/>
      </w:r>
      <m:oMath>
        <m:sSub>
          <m:e>
            <m:r>
              <m:t>F</m:t>
            </m:r>
          </m:e>
          <m:sub>
            <m:r>
              <m:t>A</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3</m:t>
        </m:r>
        <m:r>
          <m:rPr>
            <m:sty m:val="p"/>
          </m:rPr>
          <m:t>,</m:t>
        </m:r>
        <m:r>
          <m:t>  </m:t>
        </m:r>
        <m:sSub>
          <m:e>
            <m:r>
              <m:t>F</m:t>
            </m:r>
          </m:e>
          <m:sub>
            <m:r>
              <m:t>B</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4</m:t>
        </m:r>
        <m:r>
          <m:rPr>
            <m:sty m:val="p"/>
          </m:rPr>
          <m:t>.</m:t>
        </m:r>
      </m:oMath>
      <w:r>
        <w:tab/>
      </w:r>
      <w:r>
        <w:t xml:space="preserve">(20)</w:t>
      </w:r>
    </w:p>
    <w:p>
      <w:pPr>
        <w:pStyle w:val="BodyText"/>
      </w:pPr>
      <w:r>
        <w:t xml:space="preserve">System B is a rooted-tree model; system A is a general coverage system. Individual and pairwise measurements therefore cannot identify all group costs over the broader class. Even a table satisfying Proposition 2.1 does not certify that the physical system has rooted-path structure.</w:t>
      </w:r>
    </w:p>
    <w:bookmarkEnd w:id="38"/>
    <w:bookmarkEnd w:id="39"/>
    <w:bookmarkStart w:id="43" w:name="synthetic-manufacturing-illustration"/>
    <w:p>
      <w:pPr>
        <w:pStyle w:val="Heading1"/>
      </w:pPr>
      <w:r>
        <w:t xml:space="preserve">6. Synthetic manufacturing illustration</w:t>
      </w:r>
    </w:p>
    <w:bookmarkStart w:id="40" w:name="fully-specified-instance"/>
    <w:p>
      <w:pPr>
        <w:pStyle w:val="Heading2"/>
      </w:pPr>
      <w:r>
        <w:t xml:space="preserve">6.1. Fully specified instance</w:t>
      </w:r>
    </w:p>
    <w:p>
      <w:pPr>
        <w:pStyle w:val="FirstParagraph"/>
      </w:pPr>
      <w:r>
        <w:t xml:space="preserve">Consider six evidence sources: telemetry, quality, maintenance, materials, scheduling, and assembly. Their labels describe diagnostic roles. No physical factory data or language-model outputs are used.</w:t>
      </w:r>
    </w:p>
    <w:p>
      <w:pPr>
        <w:pStyle w:val="BodyText"/>
      </w:pPr>
      <w:r>
        <w:t xml:space="preserve">The rooted routing tree has the following activation edges.</w:t>
      </w:r>
    </w:p>
    <w:tbl>
      <w:tblPr>
        <w:tblStyle w:val="Table"/>
        <w:tblW w:type="auto" w:w="0"/>
        <w:tblLayout w:type="fixed"/>
        <w:tblLook w:firstRow="1" w:lastRow="0" w:firstColumn="0" w:lastColumn="0" w:noHBand="0" w:noVBand="0" w:val="0020"/>
        <w:jc w:val="start"/>
      </w:tblPr>
      <w:tblGrid>
        <w:gridCol w:w="4939"/>
        <w:gridCol w:w="4939"/>
      </w:tblGrid>
      <w:tr>
        <w:trPr>
          <w:tblHeader w:val="true"/>
          <w:cantSplit/>
          <w:tblHeader/>
        </w:trPr>
        <w:tc>
          <w:tcPr>
            <w:tcW w:type="dxa" w:w="4939"/>
            <w:shd w:fill="EDEDED"/>
          </w:tcPr>
          <w:p>
            <w:pPr>
              <w:pStyle w:val="Compact"/>
              <w:keepNext/>
              <w:spacing w:after="60" w:before="60" w:line="240" w:lineRule="auto"/>
              <w:jc w:val="left"/>
            </w:pPr>
            <w:r>
              <w:rPr>
                <w:rFonts w:ascii="Times New Roman" w:hAnsi="Times New Roman"/>
                <w:b/>
                <w:sz w:val="19"/>
              </w:rPr>
              <w:t xml:space="preserve">Edge</w:t>
            </w:r>
          </w:p>
        </w:tc>
        <w:tc>
          <w:tcPr>
            <w:tcW w:type="dxa" w:w="4939"/>
            <w:shd w:fill="EDEDED"/>
          </w:tcPr>
          <w:p>
            <w:pPr>
              <w:pStyle w:val="Compact"/>
              <w:keepNext/>
              <w:spacing w:after="60" w:before="60" w:line="240" w:lineRule="auto"/>
              <w:jc w:val="left"/>
            </w:pPr>
            <w:r>
              <w:rPr>
                <w:rFonts w:ascii="Times New Roman" w:hAnsi="Times New Roman"/>
                <w:b/>
                <w:sz w:val="19"/>
              </w:rPr>
              <w:t xml:space="preserve">Activation cost</w:t>
            </w:r>
          </w:p>
        </w:tc>
      </w:tr>
      <w:tr>
        <w:trPr>
          <w:cantSplit/>
        </w:trPr>
        <w:tc>
          <w:tcPr>
            <w:tcW w:type="dxa" w:w="4939"/>
          </w:tcPr>
          <w:p>
            <w:pPr>
              <w:pStyle w:val="Compact"/>
              <w:keepNext/>
              <w:spacing w:after="60" w:before="60" w:line="240" w:lineRule="auto"/>
              <w:jc w:val="left"/>
            </w:pPr>
            <w:r>
              <w:rPr>
                <w:rFonts w:ascii="Times New Roman" w:hAnsi="Times New Roman"/>
                <w:b w:val="0"/>
                <w:sz w:val="19"/>
              </w:rPr>
              <w:t xml:space="preserve">Coordinator → Telemetry</w:t>
            </w:r>
          </w:p>
        </w:tc>
        <w:tc>
          <w:tcPr>
            <w:tcW w:type="dxa" w:w="4939"/>
          </w:tcPr>
          <w:p>
            <w:pPr>
              <w:pStyle w:val="Compact"/>
              <w:keepNext/>
              <w:spacing w:after="60" w:before="60" w:line="240" w:lineRule="auto"/>
              <w:jc w:val="left"/>
            </w:pPr>
            <w:r>
              <w:rPr>
                <w:rFonts w:ascii="Times New Roman" w:hAnsi="Times New Roman"/>
                <w:b w:val="0"/>
                <w:sz w:val="19"/>
              </w:rPr>
              <w:t xml:space="preserve">2.0</w:t>
            </w:r>
          </w:p>
        </w:tc>
      </w:tr>
      <w:tr>
        <w:trPr>
          <w:cantSplit/>
        </w:trPr>
        <w:tc>
          <w:tcPr>
            <w:tcW w:type="dxa" w:w="4939"/>
          </w:tcPr>
          <w:p>
            <w:pPr>
              <w:pStyle w:val="Compact"/>
              <w:keepNext/>
              <w:spacing w:after="60" w:before="60" w:line="240" w:lineRule="auto"/>
              <w:jc w:val="left"/>
            </w:pPr>
            <w:r>
              <w:rPr>
                <w:rFonts w:ascii="Times New Roman" w:hAnsi="Times New Roman"/>
                <w:b w:val="0"/>
                <w:sz w:val="19"/>
              </w:rPr>
              <w:t xml:space="preserve">Telemetry → Quality</w:t>
            </w:r>
          </w:p>
        </w:tc>
        <w:tc>
          <w:tcPr>
            <w:tcW w:type="dxa" w:w="4939"/>
          </w:tcPr>
          <w:p>
            <w:pPr>
              <w:pStyle w:val="Compact"/>
              <w:keepNext/>
              <w:spacing w:after="60" w:before="60" w:line="240" w:lineRule="auto"/>
              <w:jc w:val="left"/>
            </w:pPr>
            <w:r>
              <w:rPr>
                <w:rFonts w:ascii="Times New Roman" w:hAnsi="Times New Roman"/>
                <w:b w:val="0"/>
                <w:sz w:val="19"/>
              </w:rPr>
              <w:t xml:space="preserve">1.6</w:t>
            </w:r>
          </w:p>
        </w:tc>
      </w:tr>
      <w:tr>
        <w:trPr>
          <w:cantSplit/>
        </w:trPr>
        <w:tc>
          <w:tcPr>
            <w:tcW w:type="dxa" w:w="4939"/>
          </w:tcPr>
          <w:p>
            <w:pPr>
              <w:pStyle w:val="Compact"/>
              <w:keepNext/>
              <w:spacing w:after="60" w:before="60" w:line="240" w:lineRule="auto"/>
              <w:jc w:val="left"/>
            </w:pPr>
            <w:r>
              <w:rPr>
                <w:rFonts w:ascii="Times New Roman" w:hAnsi="Times New Roman"/>
                <w:b w:val="0"/>
                <w:sz w:val="19"/>
              </w:rPr>
              <w:t xml:space="preserve">Telemetry → Maintenance</w:t>
            </w:r>
          </w:p>
        </w:tc>
        <w:tc>
          <w:tcPr>
            <w:tcW w:type="dxa" w:w="4939"/>
          </w:tcPr>
          <w:p>
            <w:pPr>
              <w:pStyle w:val="Compact"/>
              <w:keepNext/>
              <w:spacing w:after="60" w:before="60" w:line="240" w:lineRule="auto"/>
              <w:jc w:val="left"/>
            </w:pPr>
            <w:r>
              <w:rPr>
                <w:rFonts w:ascii="Times New Roman" w:hAnsi="Times New Roman"/>
                <w:b w:val="0"/>
                <w:sz w:val="19"/>
              </w:rPr>
              <w:t xml:space="preserve">1.4</w:t>
            </w:r>
          </w:p>
        </w:tc>
      </w:tr>
      <w:tr>
        <w:trPr>
          <w:cantSplit/>
        </w:trPr>
        <w:tc>
          <w:tcPr>
            <w:tcW w:type="dxa" w:w="4939"/>
          </w:tcPr>
          <w:p>
            <w:pPr>
              <w:pStyle w:val="Compact"/>
              <w:keepNext/>
              <w:spacing w:after="60" w:before="60" w:line="240" w:lineRule="auto"/>
              <w:jc w:val="left"/>
            </w:pPr>
            <w:r>
              <w:rPr>
                <w:rFonts w:ascii="Times New Roman" w:hAnsi="Times New Roman"/>
                <w:b w:val="0"/>
                <w:sz w:val="19"/>
              </w:rPr>
              <w:t xml:space="preserve">Coordinator → Materials</w:t>
            </w:r>
          </w:p>
        </w:tc>
        <w:tc>
          <w:tcPr>
            <w:tcW w:type="dxa" w:w="4939"/>
          </w:tcPr>
          <w:p>
            <w:pPr>
              <w:pStyle w:val="Compact"/>
              <w:keepNext/>
              <w:spacing w:after="60" w:before="60" w:line="240" w:lineRule="auto"/>
              <w:jc w:val="left"/>
            </w:pPr>
            <w:r>
              <w:rPr>
                <w:rFonts w:ascii="Times New Roman" w:hAnsi="Times New Roman"/>
                <w:b w:val="0"/>
                <w:sz w:val="19"/>
              </w:rPr>
              <w:t xml:space="preserve">2.6</w:t>
            </w:r>
          </w:p>
        </w:tc>
      </w:tr>
      <w:tr>
        <w:trPr>
          <w:cantSplit/>
        </w:trPr>
        <w:tc>
          <w:tcPr>
            <w:tcW w:type="dxa" w:w="4939"/>
          </w:tcPr>
          <w:p>
            <w:pPr>
              <w:pStyle w:val="Compact"/>
              <w:keepNext/>
              <w:spacing w:after="60" w:before="60" w:line="240" w:lineRule="auto"/>
              <w:jc w:val="left"/>
            </w:pPr>
            <w:r>
              <w:rPr>
                <w:rFonts w:ascii="Times New Roman" w:hAnsi="Times New Roman"/>
                <w:b w:val="0"/>
                <w:sz w:val="19"/>
              </w:rPr>
              <w:t xml:space="preserve">Coordinator → Scheduling</w:t>
            </w:r>
          </w:p>
        </w:tc>
        <w:tc>
          <w:tcPr>
            <w:tcW w:type="dxa" w:w="4939"/>
          </w:tcPr>
          <w:p>
            <w:pPr>
              <w:pStyle w:val="Compact"/>
              <w:keepNext/>
              <w:spacing w:after="60" w:before="60" w:line="240" w:lineRule="auto"/>
              <w:jc w:val="left"/>
            </w:pPr>
            <w:r>
              <w:rPr>
                <w:rFonts w:ascii="Times New Roman" w:hAnsi="Times New Roman"/>
                <w:b w:val="0"/>
                <w:sz w:val="19"/>
              </w:rPr>
              <w:t xml:space="preserve">2.0</w:t>
            </w:r>
          </w:p>
        </w:tc>
      </w:tr>
      <w:tr>
        <w:trPr>
          <w:cantSplit/>
        </w:trPr>
        <w:tc>
          <w:tcPr>
            <w:tcW w:type="dxa" w:w="4939"/>
          </w:tcPr>
          <w:p>
            <w:pPr>
              <w:pStyle w:val="Compact"/>
              <w:spacing w:after="60" w:before="60" w:line="240" w:lineRule="auto"/>
              <w:jc w:val="left"/>
            </w:pPr>
            <w:r>
              <w:rPr>
                <w:rFonts w:ascii="Times New Roman" w:hAnsi="Times New Roman"/>
                <w:b w:val="0"/>
                <w:sz w:val="19"/>
              </w:rPr>
              <w:t xml:space="preserve">Scheduling → Assembly</w:t>
            </w:r>
          </w:p>
        </w:tc>
        <w:tc>
          <w:tcPr>
            <w:tcW w:type="dxa" w:w="4939"/>
          </w:tcPr>
          <w:p>
            <w:pPr>
              <w:pStyle w:val="Compact"/>
              <w:spacing w:after="60" w:before="60" w:line="240" w:lineRule="auto"/>
              <w:jc w:val="left"/>
            </w:pPr>
            <w:r>
              <w:rPr>
                <w:rFonts w:ascii="Times New Roman" w:hAnsi="Times New Roman"/>
                <w:b w:val="0"/>
                <w:sz w:val="19"/>
              </w:rPr>
              <w:t xml:space="preserve">1.8</w:t>
            </w:r>
          </w:p>
        </w:tc>
      </w:tr>
    </w:tbl>
    <w:p>
      <w:pPr>
        <w:pStyle w:val="BodyText"/>
      </w:pPr>
      <w:r>
        <w:t xml:space="preserve">An activation expense is paid once per investigation.</w:t>
      </w:r>
    </w:p>
    <w:p>
      <w:pPr>
        <w:pStyle w:val="BodyText"/>
        <w:keepNext/>
      </w:pPr>
      <w:r>
        <w:rPr>
          <w:bCs/>
          <w:b/>
        </w:rPr>
        <w:t xml:space="preserve">Table 1. Synthetic source parameters.</w:t>
      </w:r>
    </w:p>
    <w:tbl>
      <w:tblPr>
        <w:tblStyle w:val="Table"/>
        <w:tblW w:type="auto" w:w="0"/>
        <w:tblLayout w:type="fixed"/>
        <w:tblLook w:firstRow="1" w:lastRow="0" w:firstColumn="0" w:lastColumn="0" w:noHBand="0" w:noVBand="0" w:val="0020"/>
        <w:jc w:val="start"/>
      </w:tblPr>
      <w:tblGrid>
        <w:gridCol w:w="2470"/>
        <w:gridCol w:w="2470"/>
        <w:gridCol w:w="2470"/>
        <w:gridCol w:w="2470"/>
      </w:tblGrid>
      <w:tr>
        <w:trPr>
          <w:tblHeader w:val="true"/>
          <w:cantSplit/>
          <w:tblHeader/>
        </w:trPr>
        <w:tc>
          <w:tcPr>
            <w:tcW w:type="dxa" w:w="2470"/>
            <w:shd w:fill="EDEDED"/>
          </w:tcPr>
          <w:p>
            <w:pPr>
              <w:pStyle w:val="Compact"/>
              <w:keepNext/>
              <w:spacing w:after="60" w:before="60" w:line="240" w:lineRule="auto"/>
              <w:jc w:val="left"/>
            </w:pPr>
            <w:r>
              <w:rPr>
                <w:rFonts w:ascii="Times New Roman" w:hAnsi="Times New Roman"/>
                <w:b/>
                <w:sz w:val="19"/>
              </w:rPr>
              <w:t xml:space="preserve">Source</w:t>
            </w:r>
          </w:p>
        </w:tc>
        <w:tc>
          <w:tcPr>
            <w:tcW w:type="dxa" w:w="2470"/>
            <w:shd w:fill="EDEDED"/>
          </w:tcPr>
          <w:p>
            <w:pPr>
              <w:pStyle w:val="Compact"/>
              <w:keepNext/>
              <w:spacing w:after="60" w:before="60" w:line="240" w:lineRule="auto"/>
              <w:jc w:val="left"/>
            </w:pPr>
            <w:r>
              <w:rPr>
                <w:rFonts w:ascii="Times New Roman" w:hAnsi="Times New Roman"/>
                <w:b/>
                <w:sz w:val="19"/>
              </w:rPr>
              <w:t xml:space="preserve">Service cost</w:t>
            </w:r>
          </w:p>
        </w:tc>
        <w:tc>
          <w:tcPr>
            <w:tcW w:type="dxa" w:w="2470"/>
            <w:shd w:fill="EDEDED"/>
          </w:tcPr>
          <w:p>
            <w:pPr>
              <w:pStyle w:val="Compact"/>
              <w:keepNext/>
              <w:spacing w:after="60" w:before="60" w:line="240" w:lineRule="auto"/>
              <w:jc w:val="left"/>
            </w:pPr>
            <w:r>
              <w:rPr>
                <w:rFonts w:ascii="Times New Roman" w:hAnsi="Times New Roman"/>
                <w:b/>
                <w:sz w:val="19"/>
              </w:rPr>
              <w:t xml:space="preserve">Singleton cost</w:t>
            </w:r>
          </w:p>
        </w:tc>
        <w:tc>
          <w:tcPr>
            <w:tcW w:type="dxa" w:w="2470"/>
            <w:shd w:fill="EDEDED"/>
          </w:tcPr>
          <w:p>
            <w:pPr>
              <w:pStyle w:val="Compact"/>
              <w:keepNext/>
              <w:spacing w:after="60" w:before="60" w:line="240" w:lineRule="auto"/>
              <w:jc w:val="left"/>
            </w:pPr>
            <w:r>
              <w:rPr>
                <w:rFonts w:ascii="Times New Roman" w:hAnsi="Times New Roman"/>
                <w:b/>
                <w:sz w:val="19"/>
              </w:rPr>
              <w:t xml:space="preserve">Assumed accuracy</w:t>
            </w:r>
          </w:p>
        </w:tc>
      </w:tr>
      <w:tr>
        <w:trPr>
          <w:cantSplit/>
        </w:trPr>
        <w:tc>
          <w:tcPr>
            <w:tcW w:type="dxa" w:w="2470"/>
          </w:tcPr>
          <w:p>
            <w:pPr>
              <w:pStyle w:val="Compact"/>
              <w:keepNext/>
              <w:spacing w:after="60" w:before="60" w:line="240" w:lineRule="auto"/>
              <w:jc w:val="left"/>
            </w:pPr>
            <w:r>
              <w:rPr>
                <w:rFonts w:ascii="Times New Roman" w:hAnsi="Times New Roman"/>
                <w:b w:val="0"/>
                <w:sz w:val="19"/>
              </w:rPr>
              <w:t xml:space="preserve">Telemetry</w:t>
            </w:r>
          </w:p>
        </w:tc>
        <w:tc>
          <w:tcPr>
            <w:tcW w:type="dxa" w:w="2470"/>
          </w:tcPr>
          <w:p>
            <w:pPr>
              <w:pStyle w:val="Compact"/>
              <w:keepNext/>
              <w:spacing w:after="60" w:before="60" w:line="240" w:lineRule="auto"/>
              <w:jc w:val="left"/>
            </w:pPr>
            <w:r>
              <w:rPr>
                <w:rFonts w:ascii="Times New Roman" w:hAnsi="Times New Roman"/>
                <w:b w:val="0"/>
                <w:sz w:val="19"/>
              </w:rPr>
              <w:t xml:space="preserve">1.0</w:t>
            </w:r>
          </w:p>
        </w:tc>
        <w:tc>
          <w:tcPr>
            <w:tcW w:type="dxa" w:w="2470"/>
          </w:tcPr>
          <w:p>
            <w:pPr>
              <w:pStyle w:val="Compact"/>
              <w:keepNext/>
              <w:spacing w:after="60" w:before="60" w:line="240" w:lineRule="auto"/>
              <w:jc w:val="left"/>
            </w:pPr>
            <w:r>
              <w:rPr>
                <w:rFonts w:ascii="Times New Roman" w:hAnsi="Times New Roman"/>
                <w:b w:val="0"/>
                <w:sz w:val="19"/>
              </w:rPr>
              <w:t xml:space="preserve">3.0</w:t>
            </w:r>
          </w:p>
        </w:tc>
        <w:tc>
          <w:tcPr>
            <w:tcW w:type="dxa" w:w="2470"/>
          </w:tcPr>
          <w:p>
            <w:pPr>
              <w:pStyle w:val="Compact"/>
              <w:keepNext/>
              <w:spacing w:after="60" w:before="60" w:line="240" w:lineRule="auto"/>
              <w:jc w:val="left"/>
            </w:pPr>
            <w:r>
              <w:rPr>
                <w:rFonts w:ascii="Times New Roman" w:hAnsi="Times New Roman"/>
                <w:b w:val="0"/>
                <w:sz w:val="19"/>
              </w:rPr>
              <w:t xml:space="preserve">0.75</w:t>
            </w:r>
          </w:p>
        </w:tc>
      </w:tr>
      <w:tr>
        <w:trPr>
          <w:cantSplit/>
        </w:trPr>
        <w:tc>
          <w:tcPr>
            <w:tcW w:type="dxa" w:w="2470"/>
          </w:tcPr>
          <w:p>
            <w:pPr>
              <w:pStyle w:val="Compact"/>
              <w:keepNext/>
              <w:spacing w:after="60" w:before="60" w:line="240" w:lineRule="auto"/>
              <w:jc w:val="left"/>
            </w:pPr>
            <w:r>
              <w:rPr>
                <w:rFonts w:ascii="Times New Roman" w:hAnsi="Times New Roman"/>
                <w:b w:val="0"/>
                <w:sz w:val="19"/>
              </w:rPr>
              <w:t xml:space="preserve">Quality</w:t>
            </w:r>
          </w:p>
        </w:tc>
        <w:tc>
          <w:tcPr>
            <w:tcW w:type="dxa" w:w="2470"/>
          </w:tcPr>
          <w:p>
            <w:pPr>
              <w:pStyle w:val="Compact"/>
              <w:keepNext/>
              <w:spacing w:after="60" w:before="60" w:line="240" w:lineRule="auto"/>
              <w:jc w:val="left"/>
            </w:pPr>
            <w:r>
              <w:rPr>
                <w:rFonts w:ascii="Times New Roman" w:hAnsi="Times New Roman"/>
                <w:b w:val="0"/>
                <w:sz w:val="19"/>
              </w:rPr>
              <w:t xml:space="preserve">1.1</w:t>
            </w:r>
          </w:p>
        </w:tc>
        <w:tc>
          <w:tcPr>
            <w:tcW w:type="dxa" w:w="2470"/>
          </w:tcPr>
          <w:p>
            <w:pPr>
              <w:pStyle w:val="Compact"/>
              <w:keepNext/>
              <w:spacing w:after="60" w:before="60" w:line="240" w:lineRule="auto"/>
              <w:jc w:val="left"/>
            </w:pPr>
            <w:r>
              <w:rPr>
                <w:rFonts w:ascii="Times New Roman" w:hAnsi="Times New Roman"/>
                <w:b w:val="0"/>
                <w:sz w:val="19"/>
              </w:rPr>
              <w:t xml:space="preserve">4.7</w:t>
            </w:r>
          </w:p>
        </w:tc>
        <w:tc>
          <w:tcPr>
            <w:tcW w:type="dxa" w:w="2470"/>
          </w:tcPr>
          <w:p>
            <w:pPr>
              <w:pStyle w:val="Compact"/>
              <w:keepNext/>
              <w:spacing w:after="60" w:before="60" w:line="240" w:lineRule="auto"/>
              <w:jc w:val="left"/>
            </w:pPr>
            <w:r>
              <w:rPr>
                <w:rFonts w:ascii="Times New Roman" w:hAnsi="Times New Roman"/>
                <w:b w:val="0"/>
                <w:sz w:val="19"/>
              </w:rPr>
              <w:t xml:space="preserve">0.80</w:t>
            </w:r>
          </w:p>
        </w:tc>
      </w:tr>
      <w:tr>
        <w:trPr>
          <w:cantSplit/>
        </w:trPr>
        <w:tc>
          <w:tcPr>
            <w:tcW w:type="dxa" w:w="2470"/>
          </w:tcPr>
          <w:p>
            <w:pPr>
              <w:pStyle w:val="Compact"/>
              <w:keepNext/>
              <w:spacing w:after="60" w:before="60" w:line="240" w:lineRule="auto"/>
              <w:jc w:val="left"/>
            </w:pPr>
            <w:r>
              <w:rPr>
                <w:rFonts w:ascii="Times New Roman" w:hAnsi="Times New Roman"/>
                <w:b w:val="0"/>
                <w:sz w:val="19"/>
              </w:rPr>
              <w:t xml:space="preserve">Maintenance</w:t>
            </w:r>
          </w:p>
        </w:tc>
        <w:tc>
          <w:tcPr>
            <w:tcW w:type="dxa" w:w="2470"/>
          </w:tcPr>
          <w:p>
            <w:pPr>
              <w:pStyle w:val="Compact"/>
              <w:keepNext/>
              <w:spacing w:after="60" w:before="60" w:line="240" w:lineRule="auto"/>
              <w:jc w:val="left"/>
            </w:pPr>
            <w:r>
              <w:rPr>
                <w:rFonts w:ascii="Times New Roman" w:hAnsi="Times New Roman"/>
                <w:b w:val="0"/>
                <w:sz w:val="19"/>
              </w:rPr>
              <w:t xml:space="preserve">0.9</w:t>
            </w:r>
          </w:p>
        </w:tc>
        <w:tc>
          <w:tcPr>
            <w:tcW w:type="dxa" w:w="2470"/>
          </w:tcPr>
          <w:p>
            <w:pPr>
              <w:pStyle w:val="Compact"/>
              <w:keepNext/>
              <w:spacing w:after="60" w:before="60" w:line="240" w:lineRule="auto"/>
              <w:jc w:val="left"/>
            </w:pPr>
            <w:r>
              <w:rPr>
                <w:rFonts w:ascii="Times New Roman" w:hAnsi="Times New Roman"/>
                <w:b w:val="0"/>
                <w:sz w:val="19"/>
              </w:rPr>
              <w:t xml:space="preserve">4.3</w:t>
            </w:r>
          </w:p>
        </w:tc>
        <w:tc>
          <w:tcPr>
            <w:tcW w:type="dxa" w:w="2470"/>
          </w:tcPr>
          <w:p>
            <w:pPr>
              <w:pStyle w:val="Compact"/>
              <w:keepNext/>
              <w:spacing w:after="60" w:before="60" w:line="240" w:lineRule="auto"/>
              <w:jc w:val="left"/>
            </w:pPr>
            <w:r>
              <w:rPr>
                <w:rFonts w:ascii="Times New Roman" w:hAnsi="Times New Roman"/>
                <w:b w:val="0"/>
                <w:sz w:val="19"/>
              </w:rPr>
              <w:t xml:space="preserve">0.78</w:t>
            </w:r>
          </w:p>
        </w:tc>
      </w:tr>
      <w:tr>
        <w:trPr>
          <w:cantSplit/>
        </w:trPr>
        <w:tc>
          <w:tcPr>
            <w:tcW w:type="dxa" w:w="2470"/>
          </w:tcPr>
          <w:p>
            <w:pPr>
              <w:pStyle w:val="Compact"/>
              <w:keepNext/>
              <w:spacing w:after="60" w:before="60" w:line="240" w:lineRule="auto"/>
              <w:jc w:val="left"/>
            </w:pPr>
            <w:r>
              <w:rPr>
                <w:rFonts w:ascii="Times New Roman" w:hAnsi="Times New Roman"/>
                <w:b w:val="0"/>
                <w:sz w:val="19"/>
              </w:rPr>
              <w:t xml:space="preserve">Materials</w:t>
            </w:r>
          </w:p>
        </w:tc>
        <w:tc>
          <w:tcPr>
            <w:tcW w:type="dxa" w:w="2470"/>
          </w:tcPr>
          <w:p>
            <w:pPr>
              <w:pStyle w:val="Compact"/>
              <w:keepNext/>
              <w:spacing w:after="60" w:before="60" w:line="240" w:lineRule="auto"/>
              <w:jc w:val="left"/>
            </w:pPr>
            <w:r>
              <w:rPr>
                <w:rFonts w:ascii="Times New Roman" w:hAnsi="Times New Roman"/>
                <w:b w:val="0"/>
                <w:sz w:val="19"/>
              </w:rPr>
              <w:t xml:space="preserve">0.8</w:t>
            </w:r>
          </w:p>
        </w:tc>
        <w:tc>
          <w:tcPr>
            <w:tcW w:type="dxa" w:w="2470"/>
          </w:tcPr>
          <w:p>
            <w:pPr>
              <w:pStyle w:val="Compact"/>
              <w:keepNext/>
              <w:spacing w:after="60" w:before="60" w:line="240" w:lineRule="auto"/>
              <w:jc w:val="left"/>
            </w:pPr>
            <w:r>
              <w:rPr>
                <w:rFonts w:ascii="Times New Roman" w:hAnsi="Times New Roman"/>
                <w:b w:val="0"/>
                <w:sz w:val="19"/>
              </w:rPr>
              <w:t xml:space="preserve">3.4</w:t>
            </w:r>
          </w:p>
        </w:tc>
        <w:tc>
          <w:tcPr>
            <w:tcW w:type="dxa" w:w="2470"/>
          </w:tcPr>
          <w:p>
            <w:pPr>
              <w:pStyle w:val="Compact"/>
              <w:keepNext/>
              <w:spacing w:after="60" w:before="60" w:line="240" w:lineRule="auto"/>
              <w:jc w:val="left"/>
            </w:pPr>
            <w:r>
              <w:rPr>
                <w:rFonts w:ascii="Times New Roman" w:hAnsi="Times New Roman"/>
                <w:b w:val="0"/>
                <w:sz w:val="19"/>
              </w:rPr>
              <w:t xml:space="preserve">0.65</w:t>
            </w:r>
          </w:p>
        </w:tc>
      </w:tr>
      <w:tr>
        <w:trPr>
          <w:cantSplit/>
        </w:trPr>
        <w:tc>
          <w:tcPr>
            <w:tcW w:type="dxa" w:w="2470"/>
          </w:tcPr>
          <w:p>
            <w:pPr>
              <w:pStyle w:val="Compact"/>
              <w:keepNext/>
              <w:spacing w:after="60" w:before="60" w:line="240" w:lineRule="auto"/>
              <w:jc w:val="left"/>
            </w:pPr>
            <w:r>
              <w:rPr>
                <w:rFonts w:ascii="Times New Roman" w:hAnsi="Times New Roman"/>
                <w:b w:val="0"/>
                <w:sz w:val="19"/>
              </w:rPr>
              <w:t xml:space="preserve">Scheduling</w:t>
            </w:r>
          </w:p>
        </w:tc>
        <w:tc>
          <w:tcPr>
            <w:tcW w:type="dxa" w:w="2470"/>
          </w:tcPr>
          <w:p>
            <w:pPr>
              <w:pStyle w:val="Compact"/>
              <w:keepNext/>
              <w:spacing w:after="60" w:before="60" w:line="240" w:lineRule="auto"/>
              <w:jc w:val="left"/>
            </w:pPr>
            <w:r>
              <w:rPr>
                <w:rFonts w:ascii="Times New Roman" w:hAnsi="Times New Roman"/>
                <w:b w:val="0"/>
                <w:sz w:val="19"/>
              </w:rPr>
              <w:t xml:space="preserve">0.9</w:t>
            </w:r>
          </w:p>
        </w:tc>
        <w:tc>
          <w:tcPr>
            <w:tcW w:type="dxa" w:w="2470"/>
          </w:tcPr>
          <w:p>
            <w:pPr>
              <w:pStyle w:val="Compact"/>
              <w:keepNext/>
              <w:spacing w:after="60" w:before="60" w:line="240" w:lineRule="auto"/>
              <w:jc w:val="left"/>
            </w:pPr>
            <w:r>
              <w:rPr>
                <w:rFonts w:ascii="Times New Roman" w:hAnsi="Times New Roman"/>
                <w:b w:val="0"/>
                <w:sz w:val="19"/>
              </w:rPr>
              <w:t xml:space="preserve">2.9</w:t>
            </w:r>
          </w:p>
        </w:tc>
        <w:tc>
          <w:tcPr>
            <w:tcW w:type="dxa" w:w="2470"/>
          </w:tcPr>
          <w:p>
            <w:pPr>
              <w:pStyle w:val="Compact"/>
              <w:keepNext/>
              <w:spacing w:after="60" w:before="60" w:line="240" w:lineRule="auto"/>
              <w:jc w:val="left"/>
            </w:pPr>
            <w:r>
              <w:rPr>
                <w:rFonts w:ascii="Times New Roman" w:hAnsi="Times New Roman"/>
                <w:b w:val="0"/>
                <w:sz w:val="19"/>
              </w:rPr>
              <w:t xml:space="preserve">0.70</w:t>
            </w:r>
          </w:p>
        </w:tc>
      </w:tr>
      <w:tr>
        <w:trPr>
          <w:cantSplit/>
        </w:trPr>
        <w:tc>
          <w:tcPr>
            <w:tcW w:type="dxa" w:w="2470"/>
          </w:tcPr>
          <w:p>
            <w:pPr>
              <w:pStyle w:val="Compact"/>
              <w:spacing w:after="60" w:before="60" w:line="240" w:lineRule="auto"/>
              <w:jc w:val="left"/>
            </w:pPr>
            <w:r>
              <w:rPr>
                <w:rFonts w:ascii="Times New Roman" w:hAnsi="Times New Roman"/>
                <w:b w:val="0"/>
                <w:sz w:val="19"/>
              </w:rPr>
              <w:t xml:space="preserve">Assembly</w:t>
            </w:r>
          </w:p>
        </w:tc>
        <w:tc>
          <w:tcPr>
            <w:tcW w:type="dxa" w:w="2470"/>
          </w:tcPr>
          <w:p>
            <w:pPr>
              <w:pStyle w:val="Compact"/>
              <w:spacing w:after="60" w:before="60" w:line="240" w:lineRule="auto"/>
              <w:jc w:val="left"/>
            </w:pPr>
            <w:r>
              <w:rPr>
                <w:rFonts w:ascii="Times New Roman" w:hAnsi="Times New Roman"/>
                <w:b w:val="0"/>
                <w:sz w:val="19"/>
              </w:rPr>
              <w:t xml:space="preserve">1.3</w:t>
            </w:r>
          </w:p>
        </w:tc>
        <w:tc>
          <w:tcPr>
            <w:tcW w:type="dxa" w:w="2470"/>
          </w:tcPr>
          <w:p>
            <w:pPr>
              <w:pStyle w:val="Compact"/>
              <w:spacing w:after="60" w:before="60" w:line="240" w:lineRule="auto"/>
              <w:jc w:val="left"/>
            </w:pPr>
            <w:r>
              <w:rPr>
                <w:rFonts w:ascii="Times New Roman" w:hAnsi="Times New Roman"/>
                <w:b w:val="0"/>
                <w:sz w:val="19"/>
              </w:rPr>
              <w:t xml:space="preserve">5.1</w:t>
            </w:r>
          </w:p>
        </w:tc>
        <w:tc>
          <w:tcPr>
            <w:tcW w:type="dxa" w:w="2470"/>
          </w:tcPr>
          <w:p>
            <w:pPr>
              <w:pStyle w:val="Compact"/>
              <w:spacing w:after="60" w:before="60" w:line="240" w:lineRule="auto"/>
              <w:jc w:val="left"/>
            </w:pPr>
            <w:r>
              <w:rPr>
                <w:rFonts w:ascii="Times New Roman" w:hAnsi="Times New Roman"/>
                <w:b w:val="0"/>
                <w:sz w:val="19"/>
              </w:rPr>
              <w:t xml:space="preserve">0.88</w:t>
            </w:r>
          </w:p>
        </w:tc>
      </w:tr>
    </w:tbl>
    <w:p>
      <w:pPr>
        <w:pStyle w:val="BodyText"/>
      </w:pPr>
      <w:r>
        <w:t xml:space="preserve">The three pairs within</w:t>
      </w:r>
      <w:r>
        <w:t xml:space="preserve"> </w:t>
      </w:r>
      <m:oMath>
        <m:r>
          <m:rPr>
            <m:sty m:val="p"/>
          </m:rPr>
          <m:t>{</m:t>
        </m:r>
        <m:r>
          <m:rPr>
            <m:nor/>
            <m:sty m:val="p"/>
          </m:rPr>
          <m:t>telemetry</m:t>
        </m:r>
        <m:r>
          <m:rPr>
            <m:sty m:val="p"/>
          </m:rPr>
          <m:t>,</m:t>
        </m:r>
        <m:r>
          <m:rPr>
            <m:nor/>
            <m:sty m:val="p"/>
          </m:rPr>
          <m:t>quality</m:t>
        </m:r>
        <m:r>
          <m:rPr>
            <m:sty m:val="p"/>
          </m:rPr>
          <m:t>,</m:t>
        </m:r>
        <m:r>
          <m:rPr>
            <m:nor/>
            <m:sty m:val="p"/>
          </m:rPr>
          <m:t>maintenance</m:t>
        </m:r>
        <m:r>
          <m:rPr>
            <m:sty m:val="p"/>
          </m:rPr>
          <m:t>}</m:t>
        </m:r>
      </m:oMath>
      <w:r>
        <w:t xml:space="preserve">, and the scheduling–assembly pair, have overlap 2.0. Every other overlap is zero. These values and Table 1 specify every pair cost through (2).</w:t>
      </w:r>
    </w:p>
    <w:p>
      <w:pPr>
        <w:pStyle w:val="BodyText"/>
        <w:keepNext/>
      </w:pPr>
      <w:r>
        <w:t xml:space="preserve">For example, quality and maintenance together cost</w:t>
      </w:r>
    </w:p>
    <w:p>
      <w:pPr>
        <w:pStyle w:val="BodyText"/>
        <w:keepLines/>
        <w:spacing w:before="60" w:after="120"/>
        <w:jc w:val="center"/>
      </w:pPr>
      <m:oMathPara>
        <m:oMathParaPr>
          <m:jc m:val="center"/>
        </m:oMathParaPr>
        <m:oMath>
          <m:r>
            <m:t>4.7</m:t>
          </m:r>
          <m:r>
            <m:rPr>
              <m:sty m:val="p"/>
            </m:rPr>
            <m:t>+</m:t>
          </m:r>
          <m:r>
            <m:t>4.3</m:t>
          </m:r>
          <m:r>
            <m:rPr>
              <m:sty m:val="p"/>
            </m:rPr>
            <m:t>−</m:t>
          </m:r>
          <m:r>
            <m:t>2.0</m:t>
          </m:r>
          <m:r>
            <m:rPr>
              <m:sty m:val="p"/>
            </m:rPr>
            <m:t>=</m:t>
          </m:r>
          <m:r>
            <m:t>7.0</m:t>
          </m:r>
          <m:r>
            <m:rPr>
              <m:sty m:val="p"/>
            </m:rPr>
            <m:t>.</m:t>
          </m:r>
        </m:oMath>
      </m:oMathPara>
    </w:p>
    <w:p>
      <w:pPr>
        <w:pStyle w:val="FirstParagraph"/>
      </w:pPr>
      <w:r>
        <w:t xml:space="preserve">Adding telemetry costs</w:t>
      </w:r>
      <w:r>
        <w:t xml:space="preserve"> </w:t>
      </w:r>
      <m:oMath>
        <m:r>
          <m:t>3.0</m:t>
        </m:r>
        <m:r>
          <m:rPr>
            <m:sty m:val="p"/>
          </m:rPr>
          <m:t>−</m:t>
        </m:r>
        <m:r>
          <m:t>2.0</m:t>
        </m:r>
        <m:r>
          <m:rPr>
            <m:sty m:val="p"/>
          </m:rPr>
          <m:t>=</m:t>
        </m:r>
        <m:r>
          <m:t>1.0</m:t>
        </m:r>
      </m:oMath>
      <w:r>
        <w:t xml:space="preserve">, giving a three-source total of 8.0. Acquiring all six sources costs 17.4; the sum of standalone costs is 23.4. This difference follows from the assumed accounting rule and is not an empirical manufacturing saving.</w:t>
      </w:r>
    </w:p>
    <w:p>
      <w:pPr>
        <w:pStyle w:val="BodyText"/>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have prior probability</w:t>
      </w:r>
      <w:r>
        <w:t xml:space="preserve"> </w:t>
      </w:r>
      <m:oMath>
        <m:r>
          <m:t>1</m:t>
        </m:r>
        <m:r>
          <m:rPr>
            <m:sty m:val="p"/>
          </m:rPr>
          <m:t>/</m:t>
        </m:r>
        <m:r>
          <m:t>2</m:t>
        </m:r>
      </m:oMath>
      <w:r>
        <w:t xml:space="preserve">. Each source is a binary symmetric channel with the accuracy in Table 1, independently conditional on</w:t>
      </w:r>
      <w:r>
        <w:t xml:space="preserve"> </w:t>
      </w:r>
      <m:oMath>
        <m:r>
          <m:t>X</m:t>
        </m:r>
      </m:oMath>
      <w:r>
        <w:t xml:space="preserve">. The final loss is diagnostic misclassification, and at most four sources may be queried.</w:t>
      </w:r>
    </w:p>
    <w:p>
      <w:pPr>
        <w:pStyle w:val="BodyText"/>
      </w:pPr>
      <w:r>
        <w:t xml:space="preserve">We compare the Bellman-optimal policy with a myopic policy minimizing, at each history,</w:t>
      </w:r>
    </w:p>
    <w:p>
      <w:pPr>
        <w:pStyle w:val="BodyText"/>
        <w:keepLines/>
        <w:spacing w:before="60" w:after="120"/>
        <w:tabs>
          <w:tab w:val="center" w:pos="4939"/>
          <w:tab w:val="right" w:pos="9878"/>
        </w:tabs>
        <w:jc w:val="left"/>
      </w:pPr>
      <w:r>
        <w:tab/>
      </w:r>
      <m:oMath>
        <m:eqArr>
          <m:e>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r>
              <m:t>r</m:t>
            </m:r>
            <m:d>
              <m:dPr>
                <m:begChr m:val="("/>
                <m:endChr m:val=")"/>
                <m:sepChr m:val=""/>
                <m:grow/>
              </m:dPr>
              <m:e>
                <m:sSub>
                  <m:e>
                    <m:r>
                      <m:t>T</m:t>
                    </m:r>
                  </m:e>
                  <m:sub>
                    <m:r>
                      <m:t>i</m:t>
                    </m:r>
                  </m:sub>
                </m:sSub>
                <m:d>
                  <m:dPr>
                    <m:begChr m:val="("/>
                    <m:endChr m:val=")"/>
                    <m:sepChr m:val=""/>
                    <m:grow/>
                  </m:dPr>
                  <m:e>
                    <m:r>
                      <m:t>p</m:t>
                    </m:r>
                    <m:r>
                      <m:rPr>
                        <m:sty m:val="p"/>
                      </m:rPr>
                      <m:t>,</m:t>
                    </m:r>
                    <m:r>
                      <m:t>y</m:t>
                    </m:r>
                  </m:e>
                </m:d>
              </m:e>
            </m:d>
            <m:r>
              <m:rPr>
                <m:sty m:val="p"/>
              </m:rPr>
              <m:t>]</m:t>
            </m:r>
            <m:r>
              <m:rPr>
                <m:sty m:val="p"/>
              </m:rPr>
              <m:t>}</m:t>
            </m:r>
            <m:r>
              <m:rPr>
                <m:sty m:val="p"/>
              </m:rPr>
              <m:t>.</m:t>
            </m:r>
          </m:e>
        </m:eqArr>
      </m:oMath>
      <w:r>
        <w:tab/>
      </w:r>
      <w:r>
        <w:t xml:space="preserve">(21)</w:t>
      </w:r>
    </w:p>
    <w:p>
      <w:pPr>
        <w:pStyle w:val="BodyText"/>
      </w:pPr>
      <w:r>
        <w:t xml:space="preserve">The myopic policy repeats this rule after each observation. Ties favor stopping, then the earliest source in Table 1.</w:t>
      </w:r>
    </w:p>
    <w:bookmarkEnd w:id="40"/>
    <w:bookmarkStart w:id="41" w:name="exact-results"/>
    <w:p>
      <w:pPr>
        <w:pStyle w:val="Heading2"/>
      </w:pPr>
      <w:r>
        <w:t xml:space="preserve">6.2. Exact results</w:t>
      </w:r>
    </w:p>
    <w:p>
      <w:pPr>
        <w:pStyle w:val="FirstParagraph"/>
        <w:keepNext/>
      </w:pPr>
      <w:r>
        <w:rPr>
          <w:bCs/>
          <w:b/>
        </w:rPr>
        <w:t xml:space="preserve">Table 2. Exact policy expectations for the synthetic instance.</w:t>
      </w:r>
    </w:p>
    <w:tbl>
      <w:tblPr>
        <w:tblStyle w:val="Table"/>
        <w:tblW w:type="pct" w:w="5000"/>
        <w:tblLayout w:type="fixed"/>
        <w:tblLook w:firstRow="1" w:lastRow="0" w:firstColumn="0" w:lastColumn="0" w:noHBand="0" w:noVBand="0" w:val="0020"/>
        <w:jc w:val="start"/>
      </w:tblPr>
      <w:tblGrid>
        <w:gridCol w:w="821"/>
        <w:gridCol w:w="1238"/>
        <w:gridCol w:w="1642"/>
        <w:gridCol w:w="2002"/>
        <w:gridCol w:w="1901"/>
        <w:gridCol w:w="2275"/>
      </w:tblGrid>
      <w:tr>
        <w:trPr>
          <w:tblHeader w:val="true"/>
          <w:cantSplit/>
          <w:tblHeader/>
        </w:trPr>
        <w:tc>
          <w:tcPr>
            <w:tcW w:type="dxa" w:w="821"/>
            <w:shd w:fill="EDEDED"/>
          </w:tcPr>
          <w:p>
            <w:pPr>
              <w:pStyle w:val="Compact"/>
              <w:keepNext/>
              <w:spacing w:after="60" w:before="60" w:line="240" w:lineRule="auto"/>
              <w:jc w:val="left"/>
            </w:pPr>
            <m:oMath>
              <m:r>
                <m:t>λ</m:t>
              </m:r>
            </m:oMath>
          </w:p>
        </w:tc>
        <w:tc>
          <w:tcPr>
            <w:tcW w:type="dxa" w:w="1238"/>
            <w:shd w:fill="EDEDED"/>
          </w:tcPr>
          <w:p>
            <w:pPr>
              <w:pStyle w:val="Compact"/>
              <w:keepNext/>
              <w:spacing w:after="60" w:before="60" w:line="240" w:lineRule="auto"/>
              <w:jc w:val="left"/>
            </w:pPr>
            <w:r>
              <w:rPr>
                <w:rFonts w:ascii="Times New Roman" w:hAnsi="Times New Roman"/>
                <w:b/>
                <w:sz w:val="19"/>
              </w:rPr>
              <w:t xml:space="preserve">Policy</w:t>
            </w:r>
          </w:p>
        </w:tc>
        <w:tc>
          <w:tcPr>
            <w:tcW w:type="dxa" w:w="1642"/>
            <w:shd w:fill="EDEDED"/>
          </w:tcPr>
          <w:p>
            <w:pPr>
              <w:pStyle w:val="Compact"/>
              <w:keepNext/>
              <w:spacing w:after="60" w:before="60" w:line="240" w:lineRule="auto"/>
              <w:jc w:val="left"/>
            </w:pPr>
            <w:r>
              <w:rPr>
                <w:rFonts w:ascii="Times New Roman" w:hAnsi="Times New Roman"/>
                <w:b/>
                <w:sz w:val="19"/>
              </w:rPr>
              <w:t xml:space="preserve">Error probability</w:t>
            </w:r>
          </w:p>
        </w:tc>
        <w:tc>
          <w:tcPr>
            <w:tcW w:type="dxa" w:w="2002"/>
            <w:shd w:fill="EDEDED"/>
          </w:tcPr>
          <w:p>
            <w:pPr>
              <w:pStyle w:val="Compact"/>
              <w:keepNext/>
              <w:spacing w:after="60" w:before="60" w:line="240" w:lineRule="auto"/>
              <w:jc w:val="left"/>
            </w:pPr>
            <w:r>
              <w:rPr>
                <w:rFonts w:ascii="Times New Roman" w:hAnsi="Times New Roman"/>
                <w:b/>
                <w:sz w:val="19"/>
              </w:rPr>
              <w:t xml:space="preserve">Expected cost</w:t>
            </w:r>
          </w:p>
        </w:tc>
        <w:tc>
          <w:tcPr>
            <w:tcW w:type="dxa" w:w="1901"/>
            <w:shd w:fill="EDEDED"/>
          </w:tcPr>
          <w:p>
            <w:pPr>
              <w:pStyle w:val="Compact"/>
              <w:keepNext/>
              <w:spacing w:after="60" w:before="60" w:line="240" w:lineRule="auto"/>
              <w:jc w:val="left"/>
            </w:pPr>
            <w:r>
              <w:rPr>
                <w:rFonts w:ascii="Times New Roman" w:hAnsi="Times New Roman"/>
                <w:b/>
                <w:sz w:val="19"/>
              </w:rPr>
              <w:t xml:space="preserve">Expected calls</w:t>
            </w:r>
          </w:p>
        </w:tc>
        <w:tc>
          <w:tcPr>
            <w:tcW w:type="dxa" w:w="2275"/>
            <w:shd w:fill="EDEDED"/>
          </w:tcPr>
          <w:p>
            <w:pPr>
              <w:pStyle w:val="Compact"/>
              <w:keepNext/>
              <w:spacing w:after="60" w:before="60" w:line="240" w:lineRule="auto"/>
              <w:jc w:val="left"/>
            </w:pPr>
            <w:r>
              <w:rPr>
                <w:rFonts w:ascii="Times New Roman" w:hAnsi="Times New Roman"/>
                <w:b/>
                <w:sz w:val="19"/>
              </w:rPr>
              <w:t xml:space="preserve">Objective</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0.005</w:t>
            </w:r>
          </w:p>
        </w:tc>
        <w:tc>
          <w:tcPr>
            <w:tcW w:type="dxa" w:w="1238"/>
          </w:tcPr>
          <w:p>
            <w:pPr>
              <w:pStyle w:val="Compact"/>
              <w:keepNext/>
              <w:spacing w:after="60" w:before="60" w:line="240" w:lineRule="auto"/>
              <w:jc w:val="left"/>
            </w:pPr>
            <w:r>
              <w:rPr>
                <w:rFonts w:ascii="Times New Roman" w:hAnsi="Times New Roman"/>
                <w:b w:val="0"/>
                <w:sz w:val="19"/>
              </w:rPr>
              <w:t xml:space="preserve">Optimal</w:t>
            </w:r>
          </w:p>
        </w:tc>
        <w:tc>
          <w:tcPr>
            <w:tcW w:type="dxa" w:w="1642"/>
          </w:tcPr>
          <w:p>
            <w:pPr>
              <w:pStyle w:val="Compact"/>
              <w:keepNext/>
              <w:spacing w:after="60" w:before="60" w:line="240" w:lineRule="auto"/>
              <w:jc w:val="left"/>
            </w:pPr>
            <w:r>
              <w:rPr>
                <w:rFonts w:ascii="Times New Roman" w:hAnsi="Times New Roman"/>
                <w:b w:val="0"/>
                <w:sz w:val="19"/>
              </w:rPr>
              <w:t xml:space="preserve">0.0792</w:t>
            </w:r>
          </w:p>
        </w:tc>
        <w:tc>
          <w:tcPr>
            <w:tcW w:type="dxa" w:w="2002"/>
          </w:tcPr>
          <w:p>
            <w:pPr>
              <w:pStyle w:val="Compact"/>
              <w:keepNext/>
              <w:spacing w:after="60" w:before="60" w:line="240" w:lineRule="auto"/>
              <w:jc w:val="left"/>
            </w:pPr>
            <w:r>
              <w:rPr>
                <w:rFonts w:ascii="Times New Roman" w:hAnsi="Times New Roman"/>
                <w:b w:val="0"/>
                <w:sz w:val="19"/>
              </w:rPr>
              <w:t xml:space="preserve">7.83012</w:t>
            </w:r>
          </w:p>
        </w:tc>
        <w:tc>
          <w:tcPr>
            <w:tcW w:type="dxa" w:w="1901"/>
          </w:tcPr>
          <w:p>
            <w:pPr>
              <w:pStyle w:val="Compact"/>
              <w:keepNext/>
              <w:spacing w:after="60" w:before="60" w:line="240" w:lineRule="auto"/>
              <w:jc w:val="left"/>
            </w:pPr>
            <w:r>
              <w:rPr>
                <w:rFonts w:ascii="Times New Roman" w:hAnsi="Times New Roman"/>
                <w:b w:val="0"/>
                <w:sz w:val="19"/>
              </w:rPr>
              <w:t xml:space="preserve">2.4716</w:t>
            </w:r>
          </w:p>
        </w:tc>
        <w:tc>
          <w:tcPr>
            <w:tcW w:type="dxa" w:w="2275"/>
          </w:tcPr>
          <w:p>
            <w:pPr>
              <w:pStyle w:val="Compact"/>
              <w:keepNext/>
              <w:spacing w:after="60" w:before="60" w:line="240" w:lineRule="auto"/>
              <w:jc w:val="left"/>
            </w:pPr>
            <w:r>
              <w:rPr>
                <w:rFonts w:ascii="Times New Roman" w:hAnsi="Times New Roman"/>
                <w:b w:val="0"/>
                <w:sz w:val="19"/>
              </w:rPr>
              <w:t xml:space="preserve">0.1183506</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0.005</w:t>
            </w:r>
          </w:p>
        </w:tc>
        <w:tc>
          <w:tcPr>
            <w:tcW w:type="dxa" w:w="1238"/>
          </w:tcPr>
          <w:p>
            <w:pPr>
              <w:pStyle w:val="Compact"/>
              <w:keepNext/>
              <w:spacing w:after="60" w:before="60" w:line="240" w:lineRule="auto"/>
              <w:jc w:val="left"/>
            </w:pPr>
            <w:r>
              <w:rPr>
                <w:rFonts w:ascii="Times New Roman" w:hAnsi="Times New Roman"/>
                <w:b w:val="0"/>
                <w:sz w:val="19"/>
              </w:rPr>
              <w:t xml:space="preserve">Myopic</w:t>
            </w:r>
          </w:p>
        </w:tc>
        <w:tc>
          <w:tcPr>
            <w:tcW w:type="dxa" w:w="1642"/>
          </w:tcPr>
          <w:p>
            <w:pPr>
              <w:pStyle w:val="Compact"/>
              <w:keepNext/>
              <w:spacing w:after="60" w:before="60" w:line="240" w:lineRule="auto"/>
              <w:jc w:val="left"/>
            </w:pPr>
            <w:r>
              <w:rPr>
                <w:rFonts w:ascii="Times New Roman" w:hAnsi="Times New Roman"/>
                <w:b w:val="0"/>
                <w:sz w:val="19"/>
              </w:rPr>
              <w:t xml:space="preserve">0.1200</w:t>
            </w:r>
          </w:p>
        </w:tc>
        <w:tc>
          <w:tcPr>
            <w:tcW w:type="dxa" w:w="2002"/>
          </w:tcPr>
          <w:p>
            <w:pPr>
              <w:pStyle w:val="Compact"/>
              <w:keepNext/>
              <w:spacing w:after="60" w:before="60" w:line="240" w:lineRule="auto"/>
              <w:jc w:val="left"/>
            </w:pPr>
            <w:r>
              <w:rPr>
                <w:rFonts w:ascii="Times New Roman" w:hAnsi="Times New Roman"/>
                <w:b w:val="0"/>
                <w:sz w:val="19"/>
              </w:rPr>
              <w:t xml:space="preserve">5.10000</w:t>
            </w:r>
          </w:p>
        </w:tc>
        <w:tc>
          <w:tcPr>
            <w:tcW w:type="dxa" w:w="1901"/>
          </w:tcPr>
          <w:p>
            <w:pPr>
              <w:pStyle w:val="Compact"/>
              <w:keepNext/>
              <w:spacing w:after="60" w:before="60" w:line="240" w:lineRule="auto"/>
              <w:jc w:val="left"/>
            </w:pPr>
            <w:r>
              <w:rPr>
                <w:rFonts w:ascii="Times New Roman" w:hAnsi="Times New Roman"/>
                <w:b w:val="0"/>
                <w:sz w:val="19"/>
              </w:rPr>
              <w:t xml:space="preserve">1.0000</w:t>
            </w:r>
          </w:p>
        </w:tc>
        <w:tc>
          <w:tcPr>
            <w:tcW w:type="dxa" w:w="2275"/>
          </w:tcPr>
          <w:p>
            <w:pPr>
              <w:pStyle w:val="Compact"/>
              <w:keepNext/>
              <w:spacing w:after="60" w:before="60" w:line="240" w:lineRule="auto"/>
              <w:jc w:val="left"/>
            </w:pPr>
            <w:r>
              <w:rPr>
                <w:rFonts w:ascii="Times New Roman" w:hAnsi="Times New Roman"/>
                <w:b w:val="0"/>
                <w:sz w:val="19"/>
              </w:rPr>
              <w:t xml:space="preserve">0.1455000</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0.010</w:t>
            </w:r>
          </w:p>
        </w:tc>
        <w:tc>
          <w:tcPr>
            <w:tcW w:type="dxa" w:w="1238"/>
          </w:tcPr>
          <w:p>
            <w:pPr>
              <w:pStyle w:val="Compact"/>
              <w:keepNext/>
              <w:spacing w:after="60" w:before="60" w:line="240" w:lineRule="auto"/>
              <w:jc w:val="left"/>
            </w:pPr>
            <w:r>
              <w:rPr>
                <w:rFonts w:ascii="Times New Roman" w:hAnsi="Times New Roman"/>
                <w:b w:val="0"/>
                <w:sz w:val="19"/>
              </w:rPr>
              <w:t xml:space="preserve">Optimal</w:t>
            </w:r>
          </w:p>
        </w:tc>
        <w:tc>
          <w:tcPr>
            <w:tcW w:type="dxa" w:w="1642"/>
          </w:tcPr>
          <w:p>
            <w:pPr>
              <w:pStyle w:val="Compact"/>
              <w:keepNext/>
              <w:spacing w:after="60" w:before="60" w:line="240" w:lineRule="auto"/>
              <w:jc w:val="left"/>
            </w:pPr>
            <w:r>
              <w:rPr>
                <w:rFonts w:ascii="Times New Roman" w:hAnsi="Times New Roman"/>
                <w:b w:val="0"/>
                <w:sz w:val="19"/>
              </w:rPr>
              <w:t xml:space="preserve">0.0828</w:t>
            </w:r>
          </w:p>
        </w:tc>
        <w:tc>
          <w:tcPr>
            <w:tcW w:type="dxa" w:w="2002"/>
          </w:tcPr>
          <w:p>
            <w:pPr>
              <w:pStyle w:val="Compact"/>
              <w:keepNext/>
              <w:spacing w:after="60" w:before="60" w:line="240" w:lineRule="auto"/>
              <w:jc w:val="left"/>
            </w:pPr>
            <w:r>
              <w:rPr>
                <w:rFonts w:ascii="Times New Roman" w:hAnsi="Times New Roman"/>
                <w:b w:val="0"/>
                <w:sz w:val="19"/>
              </w:rPr>
              <w:t xml:space="preserve">7.39230</w:t>
            </w:r>
          </w:p>
        </w:tc>
        <w:tc>
          <w:tcPr>
            <w:tcW w:type="dxa" w:w="1901"/>
          </w:tcPr>
          <w:p>
            <w:pPr>
              <w:pStyle w:val="Compact"/>
              <w:keepNext/>
              <w:spacing w:after="60" w:before="60" w:line="240" w:lineRule="auto"/>
              <w:jc w:val="left"/>
            </w:pPr>
            <w:r>
              <w:rPr>
                <w:rFonts w:ascii="Times New Roman" w:hAnsi="Times New Roman"/>
                <w:b w:val="0"/>
                <w:sz w:val="19"/>
              </w:rPr>
              <w:t xml:space="preserve">2.4770</w:t>
            </w:r>
          </w:p>
        </w:tc>
        <w:tc>
          <w:tcPr>
            <w:tcW w:type="dxa" w:w="2275"/>
          </w:tcPr>
          <w:p>
            <w:pPr>
              <w:pStyle w:val="Compact"/>
              <w:keepNext/>
              <w:spacing w:after="60" w:before="60" w:line="240" w:lineRule="auto"/>
              <w:jc w:val="left"/>
            </w:pPr>
            <w:r>
              <w:rPr>
                <w:rFonts w:ascii="Times New Roman" w:hAnsi="Times New Roman"/>
                <w:b w:val="0"/>
                <w:sz w:val="19"/>
              </w:rPr>
              <w:t xml:space="preserve">0.1567230</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0.010</w:t>
            </w:r>
          </w:p>
        </w:tc>
        <w:tc>
          <w:tcPr>
            <w:tcW w:type="dxa" w:w="1238"/>
          </w:tcPr>
          <w:p>
            <w:pPr>
              <w:pStyle w:val="Compact"/>
              <w:keepNext/>
              <w:spacing w:after="60" w:before="60" w:line="240" w:lineRule="auto"/>
              <w:jc w:val="left"/>
            </w:pPr>
            <w:r>
              <w:rPr>
                <w:rFonts w:ascii="Times New Roman" w:hAnsi="Times New Roman"/>
                <w:b w:val="0"/>
                <w:sz w:val="19"/>
              </w:rPr>
              <w:t xml:space="preserve">Myopic</w:t>
            </w:r>
          </w:p>
        </w:tc>
        <w:tc>
          <w:tcPr>
            <w:tcW w:type="dxa" w:w="1642"/>
          </w:tcPr>
          <w:p>
            <w:pPr>
              <w:pStyle w:val="Compact"/>
              <w:keepNext/>
              <w:spacing w:after="60" w:before="60" w:line="240" w:lineRule="auto"/>
              <w:jc w:val="left"/>
            </w:pPr>
            <w:r>
              <w:rPr>
                <w:rFonts w:ascii="Times New Roman" w:hAnsi="Times New Roman"/>
                <w:b w:val="0"/>
                <w:sz w:val="19"/>
              </w:rPr>
              <w:t xml:space="preserve">0.1200</w:t>
            </w:r>
          </w:p>
        </w:tc>
        <w:tc>
          <w:tcPr>
            <w:tcW w:type="dxa" w:w="2002"/>
          </w:tcPr>
          <w:p>
            <w:pPr>
              <w:pStyle w:val="Compact"/>
              <w:keepNext/>
              <w:spacing w:after="60" w:before="60" w:line="240" w:lineRule="auto"/>
              <w:jc w:val="left"/>
            </w:pPr>
            <w:r>
              <w:rPr>
                <w:rFonts w:ascii="Times New Roman" w:hAnsi="Times New Roman"/>
                <w:b w:val="0"/>
                <w:sz w:val="19"/>
              </w:rPr>
              <w:t xml:space="preserve">5.10000</w:t>
            </w:r>
          </w:p>
        </w:tc>
        <w:tc>
          <w:tcPr>
            <w:tcW w:type="dxa" w:w="1901"/>
          </w:tcPr>
          <w:p>
            <w:pPr>
              <w:pStyle w:val="Compact"/>
              <w:keepNext/>
              <w:spacing w:after="60" w:before="60" w:line="240" w:lineRule="auto"/>
              <w:jc w:val="left"/>
            </w:pPr>
            <w:r>
              <w:rPr>
                <w:rFonts w:ascii="Times New Roman" w:hAnsi="Times New Roman"/>
                <w:b w:val="0"/>
                <w:sz w:val="19"/>
              </w:rPr>
              <w:t xml:space="preserve">1.0000</w:t>
            </w:r>
          </w:p>
        </w:tc>
        <w:tc>
          <w:tcPr>
            <w:tcW w:type="dxa" w:w="2275"/>
          </w:tcPr>
          <w:p>
            <w:pPr>
              <w:pStyle w:val="Compact"/>
              <w:keepNext/>
              <w:spacing w:after="60" w:before="60" w:line="240" w:lineRule="auto"/>
              <w:jc w:val="left"/>
            </w:pPr>
            <w:r>
              <w:rPr>
                <w:rFonts w:ascii="Times New Roman" w:hAnsi="Times New Roman"/>
                <w:b w:val="0"/>
                <w:sz w:val="19"/>
              </w:rPr>
              <w:t xml:space="preserve">0.1710000</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0.020</w:t>
            </w:r>
          </w:p>
        </w:tc>
        <w:tc>
          <w:tcPr>
            <w:tcW w:type="dxa" w:w="1238"/>
          </w:tcPr>
          <w:p>
            <w:pPr>
              <w:pStyle w:val="Compact"/>
              <w:keepNext/>
              <w:spacing w:after="60" w:before="60" w:line="240" w:lineRule="auto"/>
              <w:jc w:val="left"/>
            </w:pPr>
            <w:r>
              <w:rPr>
                <w:rFonts w:ascii="Times New Roman" w:hAnsi="Times New Roman"/>
                <w:b w:val="0"/>
                <w:sz w:val="19"/>
              </w:rPr>
              <w:t xml:space="preserve">Optimal</w:t>
            </w:r>
          </w:p>
        </w:tc>
        <w:tc>
          <w:tcPr>
            <w:tcW w:type="dxa" w:w="1642"/>
          </w:tcPr>
          <w:p>
            <w:pPr>
              <w:pStyle w:val="Compact"/>
              <w:keepNext/>
              <w:spacing w:after="60" w:before="60" w:line="240" w:lineRule="auto"/>
              <w:jc w:val="left"/>
            </w:pPr>
            <w:r>
              <w:rPr>
                <w:rFonts w:ascii="Times New Roman" w:hAnsi="Times New Roman"/>
                <w:b w:val="0"/>
                <w:sz w:val="19"/>
              </w:rPr>
              <w:t xml:space="preserve">0.1200</w:t>
            </w:r>
          </w:p>
        </w:tc>
        <w:tc>
          <w:tcPr>
            <w:tcW w:type="dxa" w:w="2002"/>
          </w:tcPr>
          <w:p>
            <w:pPr>
              <w:pStyle w:val="Compact"/>
              <w:keepNext/>
              <w:spacing w:after="60" w:before="60" w:line="240" w:lineRule="auto"/>
              <w:jc w:val="left"/>
            </w:pPr>
            <w:r>
              <w:rPr>
                <w:rFonts w:ascii="Times New Roman" w:hAnsi="Times New Roman"/>
                <w:b w:val="0"/>
                <w:sz w:val="19"/>
              </w:rPr>
              <w:t xml:space="preserve">5.10000</w:t>
            </w:r>
          </w:p>
        </w:tc>
        <w:tc>
          <w:tcPr>
            <w:tcW w:type="dxa" w:w="1901"/>
          </w:tcPr>
          <w:p>
            <w:pPr>
              <w:pStyle w:val="Compact"/>
              <w:keepNext/>
              <w:spacing w:after="60" w:before="60" w:line="240" w:lineRule="auto"/>
              <w:jc w:val="left"/>
            </w:pPr>
            <w:r>
              <w:rPr>
                <w:rFonts w:ascii="Times New Roman" w:hAnsi="Times New Roman"/>
                <w:b w:val="0"/>
                <w:sz w:val="19"/>
              </w:rPr>
              <w:t xml:space="preserve">1.0000</w:t>
            </w:r>
          </w:p>
        </w:tc>
        <w:tc>
          <w:tcPr>
            <w:tcW w:type="dxa" w:w="2275"/>
          </w:tcPr>
          <w:p>
            <w:pPr>
              <w:pStyle w:val="Compact"/>
              <w:keepNext/>
              <w:spacing w:after="60" w:before="60" w:line="240" w:lineRule="auto"/>
              <w:jc w:val="left"/>
            </w:pPr>
            <w:r>
              <w:rPr>
                <w:rFonts w:ascii="Times New Roman" w:hAnsi="Times New Roman"/>
                <w:b w:val="0"/>
                <w:sz w:val="19"/>
              </w:rPr>
              <w:t xml:space="preserve">0.2220000</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0.020</w:t>
            </w:r>
          </w:p>
        </w:tc>
        <w:tc>
          <w:tcPr>
            <w:tcW w:type="dxa" w:w="1238"/>
          </w:tcPr>
          <w:p>
            <w:pPr>
              <w:pStyle w:val="Compact"/>
              <w:keepNext/>
              <w:spacing w:after="60" w:before="60" w:line="240" w:lineRule="auto"/>
              <w:jc w:val="left"/>
            </w:pPr>
            <w:r>
              <w:rPr>
                <w:rFonts w:ascii="Times New Roman" w:hAnsi="Times New Roman"/>
                <w:b w:val="0"/>
                <w:sz w:val="19"/>
              </w:rPr>
              <w:t xml:space="preserve">Myopic</w:t>
            </w:r>
          </w:p>
        </w:tc>
        <w:tc>
          <w:tcPr>
            <w:tcW w:type="dxa" w:w="1642"/>
          </w:tcPr>
          <w:p>
            <w:pPr>
              <w:pStyle w:val="Compact"/>
              <w:keepNext/>
              <w:spacing w:after="60" w:before="60" w:line="240" w:lineRule="auto"/>
              <w:jc w:val="left"/>
            </w:pPr>
            <w:r>
              <w:rPr>
                <w:rFonts w:ascii="Times New Roman" w:hAnsi="Times New Roman"/>
                <w:b w:val="0"/>
                <w:sz w:val="19"/>
              </w:rPr>
              <w:t xml:space="preserve">0.1200</w:t>
            </w:r>
          </w:p>
        </w:tc>
        <w:tc>
          <w:tcPr>
            <w:tcW w:type="dxa" w:w="2002"/>
          </w:tcPr>
          <w:p>
            <w:pPr>
              <w:pStyle w:val="Compact"/>
              <w:keepNext/>
              <w:spacing w:after="60" w:before="60" w:line="240" w:lineRule="auto"/>
              <w:jc w:val="left"/>
            </w:pPr>
            <w:r>
              <w:rPr>
                <w:rFonts w:ascii="Times New Roman" w:hAnsi="Times New Roman"/>
                <w:b w:val="0"/>
                <w:sz w:val="19"/>
              </w:rPr>
              <w:t xml:space="preserve">5.10000</w:t>
            </w:r>
          </w:p>
        </w:tc>
        <w:tc>
          <w:tcPr>
            <w:tcW w:type="dxa" w:w="1901"/>
          </w:tcPr>
          <w:p>
            <w:pPr>
              <w:pStyle w:val="Compact"/>
              <w:keepNext/>
              <w:spacing w:after="60" w:before="60" w:line="240" w:lineRule="auto"/>
              <w:jc w:val="left"/>
            </w:pPr>
            <w:r>
              <w:rPr>
                <w:rFonts w:ascii="Times New Roman" w:hAnsi="Times New Roman"/>
                <w:b w:val="0"/>
                <w:sz w:val="19"/>
              </w:rPr>
              <w:t xml:space="preserve">1.0000</w:t>
            </w:r>
          </w:p>
        </w:tc>
        <w:tc>
          <w:tcPr>
            <w:tcW w:type="dxa" w:w="2275"/>
          </w:tcPr>
          <w:p>
            <w:pPr>
              <w:pStyle w:val="Compact"/>
              <w:keepNext/>
              <w:spacing w:after="60" w:before="60" w:line="240" w:lineRule="auto"/>
              <w:jc w:val="left"/>
            </w:pPr>
            <w:r>
              <w:rPr>
                <w:rFonts w:ascii="Times New Roman" w:hAnsi="Times New Roman"/>
                <w:b w:val="0"/>
                <w:sz w:val="19"/>
              </w:rPr>
              <w:t xml:space="preserve">0.2220000</w:t>
            </w:r>
          </w:p>
        </w:tc>
      </w:tr>
      <w:tr>
        <w:trPr>
          <w:cantSplit/>
        </w:trPr>
        <w:tc>
          <w:tcPr>
            <w:tcW w:type="dxa" w:w="821"/>
          </w:tcPr>
          <w:p>
            <w:pPr>
              <w:pStyle w:val="Compact"/>
              <w:keepNext/>
              <w:spacing w:after="60" w:before="60" w:line="240" w:lineRule="auto"/>
              <w:jc w:val="left"/>
            </w:pPr>
            <w:r>
              <w:rPr>
                <w:rFonts w:ascii="Times New Roman" w:hAnsi="Times New Roman"/>
                <w:b w:val="0"/>
                <w:sz w:val="19"/>
              </w:rPr>
              <w:t xml:space="preserve">0.040</w:t>
            </w:r>
          </w:p>
        </w:tc>
        <w:tc>
          <w:tcPr>
            <w:tcW w:type="dxa" w:w="1238"/>
          </w:tcPr>
          <w:p>
            <w:pPr>
              <w:pStyle w:val="Compact"/>
              <w:keepNext/>
              <w:spacing w:after="60" w:before="60" w:line="240" w:lineRule="auto"/>
              <w:jc w:val="left"/>
            </w:pPr>
            <w:r>
              <w:rPr>
                <w:rFonts w:ascii="Times New Roman" w:hAnsi="Times New Roman"/>
                <w:b w:val="0"/>
                <w:sz w:val="19"/>
              </w:rPr>
              <w:t xml:space="preserve">Optimal</w:t>
            </w:r>
          </w:p>
        </w:tc>
        <w:tc>
          <w:tcPr>
            <w:tcW w:type="dxa" w:w="1642"/>
          </w:tcPr>
          <w:p>
            <w:pPr>
              <w:pStyle w:val="Compact"/>
              <w:keepNext/>
              <w:spacing w:after="60" w:before="60" w:line="240" w:lineRule="auto"/>
              <w:jc w:val="left"/>
            </w:pPr>
            <w:r>
              <w:rPr>
                <w:rFonts w:ascii="Times New Roman" w:hAnsi="Times New Roman"/>
                <w:b w:val="0"/>
                <w:sz w:val="19"/>
              </w:rPr>
              <w:t xml:space="preserve">0.1200</w:t>
            </w:r>
          </w:p>
        </w:tc>
        <w:tc>
          <w:tcPr>
            <w:tcW w:type="dxa" w:w="2002"/>
          </w:tcPr>
          <w:p>
            <w:pPr>
              <w:pStyle w:val="Compact"/>
              <w:keepNext/>
              <w:spacing w:after="60" w:before="60" w:line="240" w:lineRule="auto"/>
              <w:jc w:val="left"/>
            </w:pPr>
            <w:r>
              <w:rPr>
                <w:rFonts w:ascii="Times New Roman" w:hAnsi="Times New Roman"/>
                <w:b w:val="0"/>
                <w:sz w:val="19"/>
              </w:rPr>
              <w:t xml:space="preserve">5.10000</w:t>
            </w:r>
          </w:p>
        </w:tc>
        <w:tc>
          <w:tcPr>
            <w:tcW w:type="dxa" w:w="1901"/>
          </w:tcPr>
          <w:p>
            <w:pPr>
              <w:pStyle w:val="Compact"/>
              <w:keepNext/>
              <w:spacing w:after="60" w:before="60" w:line="240" w:lineRule="auto"/>
              <w:jc w:val="left"/>
            </w:pPr>
            <w:r>
              <w:rPr>
                <w:rFonts w:ascii="Times New Roman" w:hAnsi="Times New Roman"/>
                <w:b w:val="0"/>
                <w:sz w:val="19"/>
              </w:rPr>
              <w:t xml:space="preserve">1.0000</w:t>
            </w:r>
          </w:p>
        </w:tc>
        <w:tc>
          <w:tcPr>
            <w:tcW w:type="dxa" w:w="2275"/>
          </w:tcPr>
          <w:p>
            <w:pPr>
              <w:pStyle w:val="Compact"/>
              <w:keepNext/>
              <w:spacing w:after="60" w:before="60" w:line="240" w:lineRule="auto"/>
              <w:jc w:val="left"/>
            </w:pPr>
            <w:r>
              <w:rPr>
                <w:rFonts w:ascii="Times New Roman" w:hAnsi="Times New Roman"/>
                <w:b w:val="0"/>
                <w:sz w:val="19"/>
              </w:rPr>
              <w:t xml:space="preserve">0.3240000</w:t>
            </w:r>
          </w:p>
        </w:tc>
      </w:tr>
      <w:tr>
        <w:trPr>
          <w:cantSplit/>
        </w:trPr>
        <w:tc>
          <w:tcPr>
            <w:tcW w:type="dxa" w:w="821"/>
          </w:tcPr>
          <w:p>
            <w:pPr>
              <w:pStyle w:val="Compact"/>
              <w:spacing w:after="60" w:before="60" w:line="240" w:lineRule="auto"/>
              <w:jc w:val="left"/>
            </w:pPr>
            <w:r>
              <w:rPr>
                <w:rFonts w:ascii="Times New Roman" w:hAnsi="Times New Roman"/>
                <w:b w:val="0"/>
                <w:sz w:val="19"/>
              </w:rPr>
              <w:t xml:space="preserve">0.040</w:t>
            </w:r>
          </w:p>
        </w:tc>
        <w:tc>
          <w:tcPr>
            <w:tcW w:type="dxa" w:w="1238"/>
          </w:tcPr>
          <w:p>
            <w:pPr>
              <w:pStyle w:val="Compact"/>
              <w:spacing w:after="60" w:before="60" w:line="240" w:lineRule="auto"/>
              <w:jc w:val="left"/>
            </w:pPr>
            <w:r>
              <w:rPr>
                <w:rFonts w:ascii="Times New Roman" w:hAnsi="Times New Roman"/>
                <w:b w:val="0"/>
                <w:sz w:val="19"/>
              </w:rPr>
              <w:t xml:space="preserve">Myopic</w:t>
            </w:r>
          </w:p>
        </w:tc>
        <w:tc>
          <w:tcPr>
            <w:tcW w:type="dxa" w:w="1642"/>
          </w:tcPr>
          <w:p>
            <w:pPr>
              <w:pStyle w:val="Compact"/>
              <w:spacing w:after="60" w:before="60" w:line="240" w:lineRule="auto"/>
              <w:jc w:val="left"/>
            </w:pPr>
            <w:r>
              <w:rPr>
                <w:rFonts w:ascii="Times New Roman" w:hAnsi="Times New Roman"/>
                <w:b w:val="0"/>
                <w:sz w:val="19"/>
              </w:rPr>
              <w:t xml:space="preserve">0.1200</w:t>
            </w:r>
          </w:p>
        </w:tc>
        <w:tc>
          <w:tcPr>
            <w:tcW w:type="dxa" w:w="2002"/>
          </w:tcPr>
          <w:p>
            <w:pPr>
              <w:pStyle w:val="Compact"/>
              <w:spacing w:after="60" w:before="60" w:line="240" w:lineRule="auto"/>
              <w:jc w:val="left"/>
            </w:pPr>
            <w:r>
              <w:rPr>
                <w:rFonts w:ascii="Times New Roman" w:hAnsi="Times New Roman"/>
                <w:b w:val="0"/>
                <w:sz w:val="19"/>
              </w:rPr>
              <w:t xml:space="preserve">5.10000</w:t>
            </w:r>
          </w:p>
        </w:tc>
        <w:tc>
          <w:tcPr>
            <w:tcW w:type="dxa" w:w="1901"/>
          </w:tcPr>
          <w:p>
            <w:pPr>
              <w:pStyle w:val="Compact"/>
              <w:spacing w:after="60" w:before="60" w:line="240" w:lineRule="auto"/>
              <w:jc w:val="left"/>
            </w:pPr>
            <w:r>
              <w:rPr>
                <w:rFonts w:ascii="Times New Roman" w:hAnsi="Times New Roman"/>
                <w:b w:val="0"/>
                <w:sz w:val="19"/>
              </w:rPr>
              <w:t xml:space="preserve">1.0000</w:t>
            </w:r>
          </w:p>
        </w:tc>
        <w:tc>
          <w:tcPr>
            <w:tcW w:type="dxa" w:w="2275"/>
          </w:tcPr>
          <w:p>
            <w:pPr>
              <w:pStyle w:val="Compact"/>
              <w:spacing w:after="60" w:before="60" w:line="240" w:lineRule="auto"/>
              <w:jc w:val="left"/>
            </w:pPr>
            <w:r>
              <w:rPr>
                <w:rFonts w:ascii="Times New Roman" w:hAnsi="Times New Roman"/>
                <w:b w:val="0"/>
                <w:sz w:val="19"/>
              </w:rPr>
              <w:t xml:space="preserve">0.3240000</w:t>
            </w:r>
          </w:p>
        </w:tc>
      </w:tr>
    </w:tbl>
    <w:p>
      <w:pPr>
        <w:pStyle w:val="BodyText"/>
      </w:pPr>
      <w:r>
        <w:t xml:space="preserve">At the two smaller penalty weights, the optimal policy first queries scheduling, whereas the myopic policy queries assembly and stops. Although assembly has greater assumed standalone accuracy, planning ahead accounts for shared activation and subsequent evidence. At the larger penalty weights, both policies query assembly and stop. These results establish behavior only for the specified finite instance.</w:t>
      </w:r>
    </w:p>
    <w:p>
      <w:pPr>
        <w:pStyle w:val="BodyText"/>
      </w:pPr>
      <w:r>
        <w:t xml:space="preserve">For calibration tolerance</w:t>
      </w:r>
      <w:r>
        <w:t xml:space="preserve"> </w:t>
      </w:r>
      <m:oMath>
        <m:r>
          <m:t>ε</m:t>
        </m:r>
        <m:r>
          <m:rPr>
            <m:sty m:val="p"/>
          </m:rPr>
          <m:t>=</m:t>
        </m:r>
        <m:r>
          <m:t>0.05</m:t>
        </m:r>
      </m:oMath>
      <w:r>
        <w:t xml:space="preserve">, the four-call limit gives</w:t>
      </w:r>
      <w:r>
        <w:t xml:space="preserve"> </w:t>
      </w:r>
      <m:oMath>
        <m:sSub>
          <m:e>
            <m:r>
              <m:t>β</m:t>
            </m:r>
          </m:e>
          <m:sub>
            <m:r>
              <m:t>4</m:t>
            </m:r>
          </m:sub>
        </m:sSub>
        <m:r>
          <m:rPr>
            <m:sty m:val="p"/>
          </m:rPr>
          <m:t>=</m:t>
        </m:r>
        <m:r>
          <m:t>5</m:t>
        </m:r>
      </m:oMath>
      <w:r>
        <w:t xml:space="preserve">. At</w:t>
      </w:r>
      <w:r>
        <w:t xml:space="preserve"> </w:t>
      </w:r>
      <m:oMath>
        <m:r>
          <m:t>λ</m:t>
        </m:r>
        <m:r>
          <m:rPr>
            <m:sty m:val="p"/>
          </m:rPr>
          <m:t>=</m:t>
        </m:r>
        <m:r>
          <m:t>0.01</m:t>
        </m:r>
      </m:oMath>
      <w:r>
        <w:t xml:space="preserve">, Theorem 4.2 bounds the optimal-value error by 0.0025 and the excess objective of the measured-cost policy by 0.005. These are worst-case guarantees under the calibration assumption, rather than observed average errors.</w:t>
      </w:r>
    </w:p>
    <w:p>
      <w:pPr>
        <w:pStyle w:val="BodyText"/>
        <w:keepNext/>
      </w:pPr>
      <w:r>
        <w:t xml:space="preserve">The current reference implementation reproduces these computations using Python Fraction exact rational arithmetic. The Bellman calculation considered 473 partial observation assignments, equal to</w:t>
      </w:r>
    </w:p>
    <w:p>
      <w:pPr>
        <w:pStyle w:val="BodyText"/>
        <w:keepLines/>
        <w:spacing w:before="60" w:after="120"/>
        <w:jc w:val="center"/>
      </w:pPr>
      <m:oMathPara>
        <m:oMathParaPr>
          <m:jc m:val="center"/>
        </m:oMathParaPr>
        <m:oMath>
          <m:nary>
            <m:naryPr>
              <m:chr m:val="∑"/>
              <m:limLoc m:val="undOvr"/>
              <m:subHide m:val="off"/>
              <m:supHide m:val="off"/>
            </m:naryPr>
            <m:sub>
              <m:r>
                <m:t>m</m:t>
              </m:r>
              <m:r>
                <m:rPr>
                  <m:sty m:val="p"/>
                </m:rPr>
                <m:t>=</m:t>
              </m:r>
              <m:r>
                <m:t>0</m:t>
              </m:r>
            </m:sub>
            <m:sup>
              <m:r>
                <m:t>4</m:t>
              </m:r>
            </m:sup>
            <m:e>
              <m:d>
                <m:dPr>
                  <m:begChr m:val="("/>
                  <m:endChr m:val=")"/>
                  <m:sepChr m:val=""/>
                  <m:grow/>
                </m:dPr>
                <m:e>
                  <m:f>
                    <m:fPr>
                      <m:type m:val="noBar"/>
                    </m:fPr>
                    <m:num>
                      <m:r>
                        <m:t>6</m:t>
                      </m:r>
                    </m:num>
                    <m:den>
                      <m:r>
                        <m:t>m</m:t>
                      </m:r>
                    </m:den>
                  </m:f>
                </m:e>
              </m:d>
            </m:e>
          </m:nary>
          <m:sSup>
            <m:e>
              <m:r>
                <m:t>2</m:t>
              </m:r>
            </m:e>
            <m:sup>
              <m:r>
                <m:t>m</m:t>
              </m:r>
            </m:sup>
          </m:sSup>
          <m:r>
            <m:rPr>
              <m:sty m:val="p"/>
            </m:rPr>
            <m:t>.</m:t>
          </m:r>
        </m:oMath>
      </m:oMathPara>
    </w:p>
    <w:p>
      <w:pPr>
        <w:pStyle w:val="FirstParagraph"/>
        <w:keepNext/>
      </w:pPr>
      <w:r>
        <w:t xml:space="preserve">For each policy and penalty, its terminal decision, cost, and query count were independently evaluated by replaying all</w:t>
      </w:r>
    </w:p>
    <w:p>
      <w:pPr>
        <w:pStyle w:val="BodyText"/>
        <w:keepLines/>
        <w:spacing w:before="60" w:after="120"/>
        <w:jc w:val="center"/>
      </w:pPr>
      <m:oMathPara>
        <m:oMathParaPr>
          <m:jc m:val="center"/>
        </m:oMathParaPr>
        <m:oMath>
          <m:r>
            <m:t>2</m:t>
          </m:r>
          <m:r>
            <m:rPr>
              <m:sty m:val="p"/>
            </m:rPr>
            <m:t>×</m:t>
          </m:r>
          <m:sSup>
            <m:e>
              <m:r>
                <m:t>2</m:t>
              </m:r>
            </m:e>
            <m:sup>
              <m:r>
                <m:t>6</m:t>
              </m:r>
            </m:sup>
          </m:sSup>
          <m:r>
            <m:rPr>
              <m:sty m:val="p"/>
            </m:rPr>
            <m:t>=</m:t>
          </m:r>
          <m:r>
            <m:t>128</m:t>
          </m:r>
        </m:oMath>
      </m:oMathPara>
    </w:p>
    <w:p>
      <w:pPr>
        <w:pStyle w:val="FirstParagraph"/>
      </w:pPr>
      <w:r>
        <w:t xml:space="preserve">latent-state/full-observation combinations with their exact probabilities. Across the eight policy cases, all 1,024 replay outcomes reproduced the dynamic-programming expectations exactly. Table 2 reports exact finite-model expectations, rather than Monte Carlo estimates.</w:t>
      </w:r>
    </w:p>
    <w:bookmarkEnd w:id="41"/>
    <w:bookmarkStart w:id="42" w:name="algebraic-implementation-checks"/>
    <w:p>
      <w:pPr>
        <w:pStyle w:val="Heading2"/>
      </w:pPr>
      <w:r>
        <w:t xml:space="preserve">6.3. Algebraic implementation checks</w:t>
      </w:r>
    </w:p>
    <w:p>
      <w:pPr>
        <w:pStyle w:val="FirstParagraph"/>
      </w:pPr>
      <w:r>
        <w:t xml:space="preserve">A separate verification generated 100 rooted trees with six labeled source vertices. Vertex</w:t>
      </w:r>
      <w:r>
        <w:t xml:space="preserve"> </w:t>
      </w:r>
      <m:oMath>
        <m:r>
          <m:t>i</m:t>
        </m:r>
      </m:oMath>
      <w:r>
        <w:t xml:space="preserve"> </w:t>
      </w:r>
      <w:r>
        <w:t xml:space="preserve">selected its parent among</w:t>
      </w:r>
      <w:r>
        <w:t xml:space="preserve"> </w:t>
      </w:r>
      <m:oMath>
        <m:r>
          <m:t>0</m:t>
        </m:r>
        <m:r>
          <m:rPr>
            <m:sty m:val="p"/>
          </m:rPr>
          <m:t>,</m:t>
        </m:r>
        <m:r>
          <m:rPr>
            <m:sty m:val="p"/>
          </m:rPr>
          <m:t>…</m:t>
        </m:r>
        <m:r>
          <m:rPr>
            <m:sty m:val="p"/>
          </m:rPr>
          <m:t>,</m:t>
        </m:r>
        <m:r>
          <m:t>i</m:t>
        </m:r>
        <m:r>
          <m:rPr>
            <m:sty m:val="p"/>
          </m:rPr>
          <m:t>−</m:t>
        </m:r>
        <m:r>
          <m:t>1</m:t>
        </m:r>
      </m:oMath>
      <w:r>
        <w:t xml:space="preserve">, with vertex 0 the root. Edge weights were selected from</w:t>
      </w:r>
      <w:r>
        <w:t xml:space="preserve"> </w:t>
      </w:r>
      <m:oMath>
        <m:r>
          <m:rPr>
            <m:sty m:val="p"/>
          </m:rPr>
          <m:t>{</m:t>
        </m:r>
        <m:r>
          <m:t>0.1</m:t>
        </m:r>
        <m:r>
          <m:rPr>
            <m:sty m:val="p"/>
          </m:rPr>
          <m:t>,</m:t>
        </m:r>
        <m:r>
          <m:t>0.2</m:t>
        </m:r>
        <m:r>
          <m:rPr>
            <m:sty m:val="p"/>
          </m:rPr>
          <m:t>,</m:t>
        </m:r>
        <m:r>
          <m:rPr>
            <m:sty m:val="p"/>
          </m:rPr>
          <m:t>…</m:t>
        </m:r>
        <m:r>
          <m:rPr>
            <m:sty m:val="p"/>
          </m:rPr>
          <m:t>,</m:t>
        </m:r>
        <m:r>
          <m:t>3.0</m:t>
        </m:r>
        <m:r>
          <m:rPr>
            <m:sty m:val="p"/>
          </m:rPr>
          <m:t>}</m:t>
        </m:r>
      </m:oMath>
      <w:r>
        <w:t xml:space="preserve">, and service costs from</w:t>
      </w:r>
      <w:r>
        <w:t xml:space="preserve"> </w:t>
      </w:r>
      <m:oMath>
        <m:r>
          <m:rPr>
            <m:sty m:val="p"/>
          </m:rPr>
          <m:t>{</m:t>
        </m:r>
        <m:r>
          <m:t>0.1</m:t>
        </m:r>
        <m:r>
          <m:rPr>
            <m:sty m:val="p"/>
          </m:rPr>
          <m:t>,</m:t>
        </m:r>
        <m:r>
          <m:t>0.2</m:t>
        </m:r>
        <m:r>
          <m:rPr>
            <m:sty m:val="p"/>
          </m:rPr>
          <m:t>,</m:t>
        </m:r>
        <m:r>
          <m:rPr>
            <m:sty m:val="p"/>
          </m:rPr>
          <m:t>…</m:t>
        </m:r>
        <m:r>
          <m:rPr>
            <m:sty m:val="p"/>
          </m:rPr>
          <m:t>,</m:t>
        </m:r>
        <m:r>
          <m:t>1.0</m:t>
        </m:r>
        <m:r>
          <m:rPr>
            <m:sty m:val="p"/>
          </m:rPr>
          <m:t>}</m:t>
        </m:r>
      </m:oMath>
      <w:r>
        <w:t xml:space="preserve">. A 32-bit linear congruential generator used seed 20260911, multiplier 1664525, and increment 1013904223.</w:t>
      </w:r>
    </w:p>
    <w:p>
      <w:pPr>
        <w:pStyle w:val="BodyText"/>
      </w:pPr>
      <w:r>
        <w:t xml:space="preserve">For each tree, all 64 subsets were checked. Direct unions of root paths agreed exactly with Proposition 2.2 in all 6,400 cases. All 19,200 available source-addition marginals agreed with (4).</w:t>
      </w:r>
    </w:p>
    <w:p>
      <w:pPr>
        <w:pStyle w:val="BodyText"/>
      </w:pPr>
      <w:r>
        <w:t xml:space="preserve">Singleton and pair measurements were perturbed by values in</w:t>
      </w:r>
      <w:r>
        <w:t xml:space="preserve"> </w:t>
      </w:r>
      <m:oMath>
        <m:r>
          <m:rPr>
            <m:sty m:val="p"/>
          </m:rPr>
          <m:t>{</m:t>
        </m:r>
        <m:r>
          <m:rPr>
            <m:sty m:val="p"/>
          </m:rPr>
          <m:t>−</m:t>
        </m:r>
        <m:r>
          <m:t>1</m:t>
        </m:r>
        <m:r>
          <m:rPr>
            <m:sty m:val="p"/>
          </m:rPr>
          <m:t>/</m:t>
        </m:r>
        <m:r>
          <m:t>20</m:t>
        </m:r>
        <m:r>
          <m:rPr>
            <m:sty m:val="p"/>
          </m:rPr>
          <m:t>,</m:t>
        </m:r>
        <m:r>
          <m:t>0</m:t>
        </m:r>
        <m:r>
          <m:rPr>
            <m:sty m:val="p"/>
          </m:rPr>
          <m:t>,</m:t>
        </m:r>
        <m:r>
          <m:t>1</m:t>
        </m:r>
        <m:r>
          <m:rPr>
            <m:sty m:val="p"/>
          </m:rPr>
          <m:t>/</m:t>
        </m:r>
        <m:r>
          <m:t>20</m:t>
        </m:r>
        <m:r>
          <m:rPr>
            <m:sty m:val="p"/>
          </m:rPr>
          <m:t>}</m:t>
        </m:r>
      </m:oMath>
      <w:r>
        <w:t xml:space="preserve">. All 6,400 direct-estimate bounds and all 6,400 repaired-estimate bounds held, and every repaired overlap table satisfied (3). The sharpness construction was additionally checked for</w:t>
      </w:r>
      <w:r>
        <w:t xml:space="preserve"> </w:t>
      </w:r>
      <m:oMath>
        <m:r>
          <m:t>m</m:t>
        </m:r>
        <m:r>
          <m:rPr>
            <m:sty m:val="p"/>
          </m:rPr>
          <m:t>=</m:t>
        </m:r>
        <m:r>
          <m:t>2</m:t>
        </m:r>
        <m:r>
          <m:rPr>
            <m:sty m:val="p"/>
          </m:rPr>
          <m:t>,</m:t>
        </m:r>
        <m:r>
          <m:rPr>
            <m:sty m:val="p"/>
          </m:rPr>
          <m:t>…</m:t>
        </m:r>
        <m:r>
          <m:rPr>
            <m:sty m:val="p"/>
          </m:rPr>
          <m:t>,</m:t>
        </m:r>
        <m:r>
          <m:t>8</m:t>
        </m:r>
      </m:oMath>
      <w:r>
        <w:t xml:space="preserve">.</w:t>
      </w:r>
    </w:p>
    <w:p>
      <w:pPr>
        <w:pStyle w:val="BodyText"/>
      </w:pPr>
      <w:r>
        <w:t xml:space="preserve">These finite checks support implementation consistency. The universal claims and minimax lower bound follow from the proofs.</w:t>
      </w:r>
    </w:p>
    <w:bookmarkEnd w:id="42"/>
    <w:bookmarkEnd w:id="43"/>
    <w:bookmarkStart w:id="44" w:name="discussion-and-concluding-remarks"/>
    <w:p>
      <w:pPr>
        <w:pStyle w:val="Heading1"/>
      </w:pPr>
      <w:r>
        <w:t xml:space="preserve">7. Discussion and concluding remarks</w:t>
      </w:r>
    </w:p>
    <w:p>
      <w:pPr>
        <w:pStyle w:val="FirstParagraph"/>
      </w:pPr>
      <w:r>
        <w:t xml:space="preserve">The mathematical problem separates into identification, estimation, and decision making. Under the rooted-tree assumption, pairwise overlap data determine every acquisition cost. Under bounded measurement error, the cost of an</w:t>
      </w:r>
      <w:r>
        <w:t xml:space="preserve"> </w:t>
      </w:r>
      <m:oMath>
        <m:r>
          <m:t>m</m:t>
        </m:r>
      </m:oMath>
      <w:r>
        <w:t xml:space="preserve">-source group has minimax recovery radius</w:t>
      </w:r>
      <w:r>
        <w:t xml:space="preserve"> </w:t>
      </w:r>
      <m:oMath>
        <m:d>
          <m:dPr>
            <m:begChr m:val="("/>
            <m:endChr m:val=")"/>
            <m:sepChr m:val=""/>
            <m:grow/>
          </m:dPr>
          <m:e>
            <m:r>
              <m:t>2</m:t>
            </m:r>
            <m:r>
              <m:t>m</m:t>
            </m:r>
            <m:r>
              <m:rPr>
                <m:sty m:val="p"/>
              </m:rPr>
              <m:t>−</m:t>
            </m:r>
            <m:r>
              <m:t>3</m:t>
            </m:r>
          </m:e>
        </m:d>
        <m:r>
          <m:t>ε</m:t>
        </m:r>
      </m:oMath>
      <w:r>
        <w:t xml:space="preserve">. This radius quantifies unavoidable amplification of measurement uncertainty, including cases in which the measured table itself is compatible with a tree.</w:t>
      </w:r>
    </w:p>
    <w:p>
      <w:pPr>
        <w:pStyle w:val="BodyText"/>
      </w:pPr>
      <w:r>
        <w:t xml:space="preserve">For sequential decisions, uniform cost recovery transfers directly to optimal-value and policy excess-loss guarantees. The transfer does not depend on a particular diagnostic classifier, but it requires an unchanged observation model and a common call-constrained policy class. Likelihood misspecification, time-varying costs, repeated queries, resource deactivation, and hard monetary budgets require separate analysis.</w:t>
      </w:r>
    </w:p>
    <w:p>
      <w:pPr>
        <w:pStyle w:val="BodyText"/>
      </w:pPr>
      <w:r>
        <w:t xml:space="preserve">The application illustrates how a coordinator can use the theory to choose sources and determine when to stop. It does not establish industrial validity or the performance of an implemented large-language-model system. Exact adaptive optimization remains exponential in the number of sources; scalable approximations need additional structure.</w:t>
      </w:r>
    </w:p>
    <w:p>
      <w:pPr>
        <w:pStyle w:val="BodyText"/>
      </w:pPr>
      <w:r>
        <w:t xml:space="preserve">The counterexample in Section 5 identifies a substantive boundary: pair measurements suffice within the rooted-path class but do not suffice for general shared resources. Extensions to partially observed routing structures, higher-order calibration measurements, and joint uncertainty in costs and likelihoods provide concrete directions for further research.</w:t>
      </w:r>
    </w:p>
    <w:bookmarkEnd w:id="44"/>
    <w:bookmarkStart w:id="73" w:name="references-for-online-resource-1"/>
    <w:p>
      <w:pPr>
        <w:pStyle w:val="Heading1"/>
      </w:pPr>
      <w:r>
        <w:t xml:space="preserve">References for Online Resource 1</w:t>
      </w:r>
    </w:p>
    <w:p>
      <w:pPr>
        <w:pStyle w:val="FirstParagraph"/>
        <w:keepLines/>
        <w:spacing w:after="80"/>
        <w:ind w:left="389" w:hanging="389"/>
      </w:pPr>
      <w:r>
        <w:t xml:space="preserve">[1] A. V. Aho, Y. Sagiv, T. G. Szymanski, and J. D. Ullman,</w:t>
      </w:r>
      <w:r>
        <w:t xml:space="preserve"> </w:t>
      </w:r>
      <w:hyperlink r:id="rId45">
        <w:r>
          <w:rPr>
            <w:rStyle w:val="Hyperlink"/>
          </w:rPr>
          <w:t xml:space="preserve">Inferring a tree from lowest common ancestors with an application to the optimization of relational expressions</w:t>
        </w:r>
      </w:hyperlink>
      <w:r>
        <w:t xml:space="preserve">,</w:t>
      </w:r>
      <w:r>
        <w:t xml:space="preserve"> </w:t>
      </w:r>
      <w:r>
        <w:rPr>
          <w:iCs/>
          <w:i/>
        </w:rPr>
        <w:t xml:space="preserve">SIAM Journal on Computing</w:t>
      </w:r>
      <w:r>
        <w:t xml:space="preserve"> </w:t>
      </w:r>
      <w:r>
        <w:rPr>
          <w:bCs/>
          <w:b/>
        </w:rPr>
        <w:t xml:space="preserve">10</w:t>
      </w:r>
      <w:r>
        <w:t xml:space="preserve"> </w:t>
      </w:r>
      <w:r>
        <w:t xml:space="preserve">(1981), no. 3, 405–421.</w:t>
      </w:r>
      <w:r>
        <w:t xml:space="preserve"> </w:t>
      </w:r>
      <w:hyperlink r:id="rId45">
        <w:r>
          <w:rPr>
            <w:rStyle w:val="Hyperlink"/>
          </w:rPr>
          <w:t xml:space="preserve">https://doi.org/10.1137/0210030</w:t>
        </w:r>
      </w:hyperlink>
      <w:r>
        <w:t xml:space="preserve">.</w:t>
      </w:r>
    </w:p>
    <w:p>
      <w:pPr>
        <w:pStyle w:val="BodyText"/>
        <w:keepLines/>
        <w:spacing w:after="80"/>
        <w:ind w:left="389" w:hanging="389"/>
      </w:pPr>
      <w:r>
        <w:t xml:space="preserve">[2] D. Blackwell,</w:t>
      </w:r>
      <w:r>
        <w:t xml:space="preserve"> </w:t>
      </w:r>
      <w:hyperlink r:id="rId46">
        <w:r>
          <w:rPr>
            <w:rStyle w:val="Hyperlink"/>
          </w:rPr>
          <w:t xml:space="preserve">Equivalent comparisons of experiments</w:t>
        </w:r>
      </w:hyperlink>
      <w:r>
        <w:t xml:space="preserve">,</w:t>
      </w:r>
      <w:r>
        <w:t xml:space="preserve"> </w:t>
      </w:r>
      <w:r>
        <w:rPr>
          <w:iCs/>
          <w:i/>
        </w:rPr>
        <w:t xml:space="preserve">The Annals of Mathematical Statistics</w:t>
      </w:r>
      <w:r>
        <w:t xml:space="preserve"> </w:t>
      </w:r>
      <w:r>
        <w:rPr>
          <w:bCs/>
          <w:b/>
        </w:rPr>
        <w:t xml:space="preserve">24</w:t>
      </w:r>
      <w:r>
        <w:t xml:space="preserve"> </w:t>
      </w:r>
      <w:r>
        <w:t xml:space="preserve">(1953), no. 2, 265–272.</w:t>
      </w:r>
      <w:r>
        <w:t xml:space="preserve"> </w:t>
      </w:r>
      <w:hyperlink r:id="rId46">
        <w:r>
          <w:rPr>
            <w:rStyle w:val="Hyperlink"/>
          </w:rPr>
          <w:t xml:space="preserve">https://doi.org/10.1214/aoms/1177729032</w:t>
        </w:r>
      </w:hyperlink>
      <w:r>
        <w:t xml:space="preserve">.</w:t>
      </w:r>
    </w:p>
    <w:p>
      <w:pPr>
        <w:pStyle w:val="BodyText"/>
        <w:keepLines/>
        <w:spacing w:after="80"/>
        <w:ind w:left="389" w:hanging="389"/>
      </w:pPr>
      <w:r>
        <w:t xml:space="preserve">[3] D. Bryant and P. F. Tupper,</w:t>
      </w:r>
      <w:r>
        <w:t xml:space="preserve"> </w:t>
      </w:r>
      <w:hyperlink r:id="rId47">
        <w:r>
          <w:rPr>
            <w:rStyle w:val="Hyperlink"/>
          </w:rPr>
          <w:t xml:space="preserve">Hyperconvexity and tight-span theory for diversities</w:t>
        </w:r>
      </w:hyperlink>
      <w:r>
        <w:t xml:space="preserve">,</w:t>
      </w:r>
      <w:r>
        <w:t xml:space="preserve"> </w:t>
      </w:r>
      <w:r>
        <w:rPr>
          <w:iCs/>
          <w:i/>
        </w:rPr>
        <w:t xml:space="preserve">Advances in Mathematics</w:t>
      </w:r>
      <w:r>
        <w:t xml:space="preserve"> </w:t>
      </w:r>
      <w:r>
        <w:rPr>
          <w:bCs/>
          <w:b/>
        </w:rPr>
        <w:t xml:space="preserve">231</w:t>
      </w:r>
      <w:r>
        <w:t xml:space="preserve"> </w:t>
      </w:r>
      <w:r>
        <w:t xml:space="preserve">(2012), 3172–3198.</w:t>
      </w:r>
      <w:r>
        <w:t xml:space="preserve"> </w:t>
      </w:r>
      <w:hyperlink r:id="rId48">
        <w:r>
          <w:rPr>
            <w:rStyle w:val="Hyperlink"/>
          </w:rPr>
          <w:t xml:space="preserve">Author preprint</w:t>
        </w:r>
      </w:hyperlink>
      <w:r>
        <w:t xml:space="preserve">.</w:t>
      </w:r>
      <w:r>
        <w:t xml:space="preserve"> </w:t>
      </w:r>
      <w:hyperlink r:id="rId47">
        <w:r>
          <w:rPr>
            <w:rStyle w:val="Hyperlink"/>
          </w:rPr>
          <w:t xml:space="preserve">https://doi.org/10.1016/j.aim.2012.08.008</w:t>
        </w:r>
      </w:hyperlink>
      <w:r>
        <w:t xml:space="preserve">.</w:t>
      </w:r>
    </w:p>
    <w:p>
      <w:pPr>
        <w:pStyle w:val="BodyText"/>
        <w:keepLines/>
        <w:spacing w:after="80"/>
        <w:ind w:left="389" w:hanging="389"/>
      </w:pPr>
      <w:r>
        <w:t xml:space="preserve">[4] P. Buneman,</w:t>
      </w:r>
      <w:r>
        <w:t xml:space="preserve"> </w:t>
      </w:r>
      <w:hyperlink r:id="rId49">
        <w:r>
          <w:rPr>
            <w:rStyle w:val="Hyperlink"/>
          </w:rPr>
          <w:t xml:space="preserve">A note on the metric properties of trees</w:t>
        </w:r>
      </w:hyperlink>
      <w:r>
        <w:t xml:space="preserve">,</w:t>
      </w:r>
      <w:r>
        <w:t xml:space="preserve"> </w:t>
      </w:r>
      <w:r>
        <w:rPr>
          <w:iCs/>
          <w:i/>
        </w:rPr>
        <w:t xml:space="preserve">Journal of Combinatorial Theory, Series B</w:t>
      </w:r>
      <w:r>
        <w:t xml:space="preserve"> </w:t>
      </w:r>
      <w:r>
        <w:rPr>
          <w:bCs/>
          <w:b/>
        </w:rPr>
        <w:t xml:space="preserve">17</w:t>
      </w:r>
      <w:r>
        <w:t xml:space="preserve"> </w:t>
      </w:r>
      <w:r>
        <w:t xml:space="preserve">(1974), no. 1, 48–50.</w:t>
      </w:r>
      <w:r>
        <w:t xml:space="preserve"> </w:t>
      </w:r>
      <w:hyperlink r:id="rId49">
        <w:r>
          <w:rPr>
            <w:rStyle w:val="Hyperlink"/>
          </w:rPr>
          <w:t xml:space="preserve">https://doi.org/10.1016/0095-8956(74)90047-1</w:t>
        </w:r>
      </w:hyperlink>
      <w:r>
        <w:t xml:space="preserve">.</w:t>
      </w:r>
    </w:p>
    <w:p>
      <w:pPr>
        <w:pStyle w:val="BodyText"/>
        <w:keepLines/>
        <w:spacing w:after="80"/>
        <w:ind w:left="389" w:hanging="389"/>
      </w:pPr>
      <w:r>
        <w:t xml:space="preserve">[5] G. Carlsson and F. Mémoli,</w:t>
      </w:r>
      <w:r>
        <w:t xml:space="preserve"> </w:t>
      </w:r>
      <w:hyperlink r:id="rId50">
        <w:r>
          <w:rPr>
            <w:rStyle w:val="Hyperlink"/>
          </w:rPr>
          <w:t xml:space="preserve">Characterization, stability and convergence of hierarchical clustering methods</w:t>
        </w:r>
      </w:hyperlink>
      <w:r>
        <w:t xml:space="preserve">,</w:t>
      </w:r>
      <w:r>
        <w:t xml:space="preserve"> </w:t>
      </w:r>
      <w:r>
        <w:rPr>
          <w:iCs/>
          <w:i/>
        </w:rPr>
        <w:t xml:space="preserve">Journal of Machine Learning Research</w:t>
      </w:r>
      <w:r>
        <w:t xml:space="preserve"> </w:t>
      </w:r>
      <w:r>
        <w:rPr>
          <w:bCs/>
          <w:b/>
        </w:rPr>
        <w:t xml:space="preserve">11</w:t>
      </w:r>
      <w:r>
        <w:t xml:space="preserve"> </w:t>
      </w:r>
      <w:r>
        <w:t xml:space="preserve">(2010), 1425–1470.</w:t>
      </w:r>
    </w:p>
    <w:p>
      <w:pPr>
        <w:pStyle w:val="BodyText"/>
        <w:keepLines/>
        <w:spacing w:after="80"/>
        <w:ind w:left="389" w:hanging="389"/>
      </w:pPr>
      <w:r>
        <w:t xml:space="preserve">[6] H. Chernoff,</w:t>
      </w:r>
      <w:r>
        <w:t xml:space="preserve"> </w:t>
      </w:r>
      <w:hyperlink r:id="rId51">
        <w:r>
          <w:rPr>
            <w:rStyle w:val="Hyperlink"/>
          </w:rPr>
          <w:t xml:space="preserve">Sequential design of experiments</w:t>
        </w:r>
      </w:hyperlink>
      <w:r>
        <w:t xml:space="preserve">,</w:t>
      </w:r>
      <w:r>
        <w:t xml:space="preserve"> </w:t>
      </w:r>
      <w:r>
        <w:rPr>
          <w:iCs/>
          <w:i/>
        </w:rPr>
        <w:t xml:space="preserve">The Annals of Mathematical Statistics</w:t>
      </w:r>
      <w:r>
        <w:t xml:space="preserve"> </w:t>
      </w:r>
      <w:r>
        <w:rPr>
          <w:bCs/>
          <w:b/>
        </w:rPr>
        <w:t xml:space="preserve">30</w:t>
      </w:r>
      <w:r>
        <w:t xml:space="preserve"> </w:t>
      </w:r>
      <w:r>
        <w:t xml:space="preserve">(1959), no. 3, 755–770.</w:t>
      </w:r>
      <w:r>
        <w:t xml:space="preserve"> </w:t>
      </w:r>
      <w:hyperlink r:id="rId51">
        <w:r>
          <w:rPr>
            <w:rStyle w:val="Hyperlink"/>
          </w:rPr>
          <w:t xml:space="preserve">https://doi.org/10.1214/aoms/1177706205</w:t>
        </w:r>
      </w:hyperlink>
      <w:r>
        <w:t xml:space="preserve">.</w:t>
      </w:r>
    </w:p>
    <w:p>
      <w:pPr>
        <w:pStyle w:val="BodyText"/>
        <w:keepLines/>
        <w:spacing w:after="80"/>
        <w:ind w:left="389" w:hanging="389"/>
      </w:pPr>
      <w:r>
        <w:t xml:space="preserve">[7] D. L. Donoho,</w:t>
      </w:r>
      <w:r>
        <w:t xml:space="preserve"> </w:t>
      </w:r>
      <w:hyperlink r:id="rId52">
        <w:r>
          <w:rPr>
            <w:rStyle w:val="Hyperlink"/>
          </w:rPr>
          <w:t xml:space="preserve">Statistical estimation and optimal recovery</w:t>
        </w:r>
      </w:hyperlink>
      <w:r>
        <w:t xml:space="preserve">,</w:t>
      </w:r>
      <w:r>
        <w:t xml:space="preserve"> </w:t>
      </w:r>
      <w:r>
        <w:rPr>
          <w:iCs/>
          <w:i/>
        </w:rPr>
        <w:t xml:space="preserve">The Annals of Statistics</w:t>
      </w:r>
      <w:r>
        <w:t xml:space="preserve"> </w:t>
      </w:r>
      <w:r>
        <w:rPr>
          <w:bCs/>
          <w:b/>
        </w:rPr>
        <w:t xml:space="preserve">22</w:t>
      </w:r>
      <w:r>
        <w:t xml:space="preserve"> </w:t>
      </w:r>
      <w:r>
        <w:t xml:space="preserve">(1994), no. 1, 238–270.</w:t>
      </w:r>
      <w:r>
        <w:t xml:space="preserve"> </w:t>
      </w:r>
      <w:hyperlink r:id="rId52">
        <w:r>
          <w:rPr>
            <w:rStyle w:val="Hyperlink"/>
          </w:rPr>
          <w:t xml:space="preserve">https://doi.org/10.1214/aos/1176325367</w:t>
        </w:r>
      </w:hyperlink>
      <w:r>
        <w:t xml:space="preserve">.</w:t>
      </w:r>
    </w:p>
    <w:p>
      <w:pPr>
        <w:pStyle w:val="BodyText"/>
        <w:keepLines/>
        <w:spacing w:after="80"/>
        <w:ind w:left="389" w:hanging="389"/>
      </w:pPr>
      <w:r>
        <w:t xml:space="preserve">[8] M. Farach, S. Kannan, and T. Warnow,</w:t>
      </w:r>
      <w:r>
        <w:t xml:space="preserve"> </w:t>
      </w:r>
      <w:hyperlink r:id="rId53">
        <w:r>
          <w:rPr>
            <w:rStyle w:val="Hyperlink"/>
          </w:rPr>
          <w:t xml:space="preserve">A robust model for finding optimal evolutionary trees</w:t>
        </w:r>
      </w:hyperlink>
      <w:r>
        <w:t xml:space="preserve">,</w:t>
      </w:r>
      <w:r>
        <w:t xml:space="preserve"> </w:t>
      </w:r>
      <w:r>
        <w:rPr>
          <w:iCs/>
          <w:i/>
        </w:rPr>
        <w:t xml:space="preserve">Algorithmica</w:t>
      </w:r>
      <w:r>
        <w:t xml:space="preserve"> </w:t>
      </w:r>
      <w:r>
        <w:rPr>
          <w:bCs/>
          <w:b/>
        </w:rPr>
        <w:t xml:space="preserve">13</w:t>
      </w:r>
      <w:r>
        <w:t xml:space="preserve"> </w:t>
      </w:r>
      <w:r>
        <w:t xml:space="preserve">(1995), 155–179.</w:t>
      </w:r>
      <w:r>
        <w:t xml:space="preserve"> </w:t>
      </w:r>
      <w:hyperlink r:id="rId53">
        <w:r>
          <w:rPr>
            <w:rStyle w:val="Hyperlink"/>
          </w:rPr>
          <w:t xml:space="preserve">https://doi.org/10.1007/BF01188585</w:t>
        </w:r>
      </w:hyperlink>
      <w:r>
        <w:t xml:space="preserve">.</w:t>
      </w:r>
    </w:p>
    <w:p>
      <w:pPr>
        <w:pStyle w:val="BodyText"/>
        <w:keepLines/>
        <w:spacing w:after="80"/>
        <w:ind w:left="389" w:hanging="389"/>
      </w:pPr>
      <w:r>
        <w:t xml:space="preserve">[9] D. Golovin and A. Krause,</w:t>
      </w:r>
      <w:r>
        <w:t xml:space="preserve"> </w:t>
      </w:r>
      <w:hyperlink r:id="rId54">
        <w:r>
          <w:rPr>
            <w:rStyle w:val="Hyperlink"/>
          </w:rPr>
          <w:t xml:space="preserve">Adaptive submodularity: Theory and applications in active learning and stochastic optimization</w:t>
        </w:r>
      </w:hyperlink>
      <w:r>
        <w:t xml:space="preserve">,</w:t>
      </w:r>
      <w:r>
        <w:t xml:space="preserve"> </w:t>
      </w:r>
      <w:r>
        <w:rPr>
          <w:iCs/>
          <w:i/>
        </w:rPr>
        <w:t xml:space="preserve">Journal of Artificial Intelligence Research</w:t>
      </w:r>
      <w:r>
        <w:t xml:space="preserve"> </w:t>
      </w:r>
      <w:r>
        <w:rPr>
          <w:bCs/>
          <w:b/>
        </w:rPr>
        <w:t xml:space="preserve">42</w:t>
      </w:r>
      <w:r>
        <w:t xml:space="preserve"> </w:t>
      </w:r>
      <w:r>
        <w:t xml:space="preserve">(2011), 427–486.</w:t>
      </w:r>
      <w:r>
        <w:t xml:space="preserve"> </w:t>
      </w:r>
      <w:hyperlink r:id="rId54">
        <w:r>
          <w:rPr>
            <w:rStyle w:val="Hyperlink"/>
          </w:rPr>
          <w:t xml:space="preserve">https://doi.org/10.1613/jair.3278</w:t>
        </w:r>
      </w:hyperlink>
      <w:r>
        <w:t xml:space="preserve">.</w:t>
      </w:r>
    </w:p>
    <w:p>
      <w:pPr>
        <w:pStyle w:val="BodyText"/>
        <w:keepLines/>
        <w:spacing w:after="80"/>
        <w:ind w:left="389" w:hanging="389"/>
      </w:pPr>
      <w:r>
        <w:t xml:space="preserve">[10] J. C. Gower and G. J. S. Ross,</w:t>
      </w:r>
      <w:r>
        <w:t xml:space="preserve"> </w:t>
      </w:r>
      <w:hyperlink r:id="rId55">
        <w:r>
          <w:rPr>
            <w:rStyle w:val="Hyperlink"/>
          </w:rPr>
          <w:t xml:space="preserve">Minimum spanning trees and single linkage cluster analysis</w:t>
        </w:r>
      </w:hyperlink>
      <w:r>
        <w:t xml:space="preserve">,</w:t>
      </w:r>
      <w:r>
        <w:t xml:space="preserve"> </w:t>
      </w:r>
      <w:r>
        <w:rPr>
          <w:iCs/>
          <w:i/>
        </w:rPr>
        <w:t xml:space="preserve">Journal of the Royal Statistical Society, Series C: Applied Statistics</w:t>
      </w:r>
      <w:r>
        <w:t xml:space="preserve"> </w:t>
      </w:r>
      <w:r>
        <w:rPr>
          <w:bCs/>
          <w:b/>
        </w:rPr>
        <w:t xml:space="preserve">18</w:t>
      </w:r>
      <w:r>
        <w:t xml:space="preserve"> </w:t>
      </w:r>
      <w:r>
        <w:t xml:space="preserve">(1969), no. 1, 54–64.</w:t>
      </w:r>
      <w:r>
        <w:t xml:space="preserve"> </w:t>
      </w:r>
      <w:hyperlink r:id="rId55">
        <w:r>
          <w:rPr>
            <w:rStyle w:val="Hyperlink"/>
          </w:rPr>
          <w:t xml:space="preserve">https://doi.org/10.2307/2346439</w:t>
        </w:r>
      </w:hyperlink>
      <w:r>
        <w:t xml:space="preserve">.</w:t>
      </w:r>
    </w:p>
    <w:p>
      <w:pPr>
        <w:pStyle w:val="BodyText"/>
        <w:keepLines/>
        <w:spacing w:after="80"/>
        <w:ind w:left="389" w:hanging="389"/>
      </w:pPr>
      <w:r>
        <w:t xml:space="preserve">[11] D. Granot, M. Maschler, G. Owen, and W. R. Zhu,</w:t>
      </w:r>
      <w:r>
        <w:t xml:space="preserve"> </w:t>
      </w:r>
      <w:hyperlink r:id="rId56">
        <w:r>
          <w:rPr>
            <w:rStyle w:val="Hyperlink"/>
          </w:rPr>
          <w:t xml:space="preserve">The kernel/nucleolus of a standard tree game</w:t>
        </w:r>
      </w:hyperlink>
      <w:r>
        <w:t xml:space="preserve">,</w:t>
      </w:r>
      <w:r>
        <w:t xml:space="preserve"> </w:t>
      </w:r>
      <w:r>
        <w:rPr>
          <w:iCs/>
          <w:i/>
        </w:rPr>
        <w:t xml:space="preserve">International Journal of Game Theory</w:t>
      </w:r>
      <w:r>
        <w:t xml:space="preserve"> </w:t>
      </w:r>
      <w:r>
        <w:rPr>
          <w:bCs/>
          <w:b/>
        </w:rPr>
        <w:t xml:space="preserve">25</w:t>
      </w:r>
      <w:r>
        <w:t xml:space="preserve"> </w:t>
      </w:r>
      <w:r>
        <w:t xml:space="preserve">(1996), 219–244.</w:t>
      </w:r>
      <w:r>
        <w:t xml:space="preserve"> </w:t>
      </w:r>
      <w:hyperlink r:id="rId56">
        <w:r>
          <w:rPr>
            <w:rStyle w:val="Hyperlink"/>
          </w:rPr>
          <w:t xml:space="preserve">https://doi.org/10.1007/BF01247104</w:t>
        </w:r>
      </w:hyperlink>
      <w:r>
        <w:t xml:space="preserve">.</w:t>
      </w:r>
    </w:p>
    <w:p>
      <w:pPr>
        <w:pStyle w:val="BodyText"/>
        <w:keepLines/>
        <w:spacing w:after="80"/>
        <w:ind w:left="389" w:hanging="389"/>
      </w:pPr>
      <w:r>
        <w:t xml:space="preserve">[12] D. Hunter,</w:t>
      </w:r>
      <w:r>
        <w:t xml:space="preserve"> </w:t>
      </w:r>
      <w:hyperlink r:id="rId57">
        <w:r>
          <w:rPr>
            <w:rStyle w:val="Hyperlink"/>
          </w:rPr>
          <w:t xml:space="preserve">An upper bound for the probability of a union</w:t>
        </w:r>
      </w:hyperlink>
      <w:r>
        <w:t xml:space="preserve">,</w:t>
      </w:r>
      <w:r>
        <w:t xml:space="preserve"> </w:t>
      </w:r>
      <w:r>
        <w:rPr>
          <w:iCs/>
          <w:i/>
        </w:rPr>
        <w:t xml:space="preserve">Journal of Applied Probability</w:t>
      </w:r>
      <w:r>
        <w:t xml:space="preserve"> </w:t>
      </w:r>
      <w:r>
        <w:rPr>
          <w:bCs/>
          <w:b/>
        </w:rPr>
        <w:t xml:space="preserve">13</w:t>
      </w:r>
      <w:r>
        <w:t xml:space="preserve"> </w:t>
      </w:r>
      <w:r>
        <w:t xml:space="preserve">(1976), no. 3, 597–603.</w:t>
      </w:r>
      <w:r>
        <w:t xml:space="preserve"> </w:t>
      </w:r>
      <w:hyperlink r:id="rId57">
        <w:r>
          <w:rPr>
            <w:rStyle w:val="Hyperlink"/>
          </w:rPr>
          <w:t xml:space="preserve">https://doi.org/10.2307/3212481</w:t>
        </w:r>
      </w:hyperlink>
      <w:r>
        <w:t xml:space="preserve">.</w:t>
      </w:r>
    </w:p>
    <w:p>
      <w:pPr>
        <w:pStyle w:val="BodyText"/>
        <w:keepLines/>
        <w:spacing w:after="80"/>
        <w:ind w:left="389" w:hanging="389"/>
      </w:pPr>
      <w:r>
        <w:t xml:space="preserve">[13] G. N. Iyengar,</w:t>
      </w:r>
      <w:r>
        <w:t xml:space="preserve"> </w:t>
      </w:r>
      <w:hyperlink r:id="rId58">
        <w:r>
          <w:rPr>
            <w:rStyle w:val="Hyperlink"/>
          </w:rPr>
          <w:t xml:space="preserve">Robust dynamic programming</w:t>
        </w:r>
      </w:hyperlink>
      <w:r>
        <w:t xml:space="preserve">,</w:t>
      </w:r>
      <w:r>
        <w:t xml:space="preserve"> </w:t>
      </w:r>
      <w:r>
        <w:rPr>
          <w:iCs/>
          <w:i/>
        </w:rPr>
        <w:t xml:space="preserve">Mathematics of Operations Research</w:t>
      </w:r>
      <w:r>
        <w:t xml:space="preserve"> </w:t>
      </w:r>
      <w:r>
        <w:rPr>
          <w:bCs/>
          <w:b/>
        </w:rPr>
        <w:t xml:space="preserve">30</w:t>
      </w:r>
      <w:r>
        <w:t xml:space="preserve"> </w:t>
      </w:r>
      <w:r>
        <w:t xml:space="preserve">(2005), no. 2, 257–280.</w:t>
      </w:r>
      <w:r>
        <w:t xml:space="preserve"> </w:t>
      </w:r>
      <w:hyperlink r:id="rId58">
        <w:r>
          <w:rPr>
            <w:rStyle w:val="Hyperlink"/>
          </w:rPr>
          <w:t xml:space="preserve">https://doi.org/10.1287/moor.1040.0129</w:t>
        </w:r>
      </w:hyperlink>
      <w:r>
        <w:t xml:space="preserve">.</w:t>
      </w:r>
    </w:p>
    <w:p>
      <w:pPr>
        <w:pStyle w:val="BodyText"/>
        <w:keepLines/>
        <w:spacing w:after="80"/>
        <w:ind w:left="389" w:hanging="389"/>
      </w:pPr>
      <w:r>
        <w:t xml:space="preserve">[14] L. P. Kaelbling, M. L. Littman, and A. R. Cassandra,</w:t>
      </w:r>
      <w:r>
        <w:t xml:space="preserve"> </w:t>
      </w:r>
      <w:hyperlink r:id="rId59">
        <w:r>
          <w:rPr>
            <w:rStyle w:val="Hyperlink"/>
          </w:rPr>
          <w:t xml:space="preserve">Planning and acting in partially observable stochastic domains</w:t>
        </w:r>
      </w:hyperlink>
      <w:r>
        <w:t xml:space="preserve">,</w:t>
      </w:r>
      <w:r>
        <w:t xml:space="preserve"> </w:t>
      </w:r>
      <w:r>
        <w:rPr>
          <w:iCs/>
          <w:i/>
        </w:rPr>
        <w:t xml:space="preserve">Artificial Intelligence</w:t>
      </w:r>
      <w:r>
        <w:t xml:space="preserve"> </w:t>
      </w:r>
      <w:r>
        <w:rPr>
          <w:bCs/>
          <w:b/>
        </w:rPr>
        <w:t xml:space="preserve">101</w:t>
      </w:r>
      <w:r>
        <w:t xml:space="preserve"> </w:t>
      </w:r>
      <w:r>
        <w:t xml:space="preserve">(1998), nos. 1–2, 99–134.</w:t>
      </w:r>
      <w:r>
        <w:t xml:space="preserve"> </w:t>
      </w:r>
      <w:hyperlink r:id="rId59">
        <w:r>
          <w:rPr>
            <w:rStyle w:val="Hyperlink"/>
          </w:rPr>
          <w:t xml:space="preserve">https://doi.org/10.1016/S0004-3702(98)00023-X</w:t>
        </w:r>
      </w:hyperlink>
      <w:r>
        <w:t xml:space="preserve">.</w:t>
      </w:r>
    </w:p>
    <w:p>
      <w:pPr>
        <w:pStyle w:val="BodyText"/>
        <w:keepLines/>
        <w:spacing w:after="80"/>
        <w:ind w:left="389" w:hanging="389"/>
      </w:pPr>
      <w:r>
        <w:t xml:space="preserve">[15] A. Krause, H. B. McMahan, C. Guestrin, and A. Gupta,</w:t>
      </w:r>
      <w:r>
        <w:t xml:space="preserve"> </w:t>
      </w:r>
      <w:hyperlink r:id="rId60">
        <w:r>
          <w:rPr>
            <w:rStyle w:val="Hyperlink"/>
          </w:rPr>
          <w:t xml:space="preserve">Robust submodular observation selection</w:t>
        </w:r>
      </w:hyperlink>
      <w:r>
        <w:t xml:space="preserve">,</w:t>
      </w:r>
      <w:r>
        <w:t xml:space="preserve"> </w:t>
      </w:r>
      <w:r>
        <w:rPr>
          <w:iCs/>
          <w:i/>
        </w:rPr>
        <w:t xml:space="preserve">Journal of Machine Learning Research</w:t>
      </w:r>
      <w:r>
        <w:t xml:space="preserve"> </w:t>
      </w:r>
      <w:r>
        <w:rPr>
          <w:bCs/>
          <w:b/>
        </w:rPr>
        <w:t xml:space="preserve">9</w:t>
      </w:r>
      <w:r>
        <w:t xml:space="preserve"> </w:t>
      </w:r>
      <w:r>
        <w:t xml:space="preserve">(2008), 2761–2801.</w:t>
      </w:r>
    </w:p>
    <w:p>
      <w:pPr>
        <w:pStyle w:val="BodyText"/>
        <w:keepLines/>
        <w:spacing w:after="80"/>
        <w:ind w:left="389" w:hanging="389"/>
      </w:pPr>
      <w:r>
        <w:t xml:space="preserve">[16] Y. Li and J. Oliva,</w:t>
      </w:r>
      <w:r>
        <w:t xml:space="preserve"> </w:t>
      </w:r>
      <w:hyperlink r:id="rId61">
        <w:r>
          <w:rPr>
            <w:rStyle w:val="Hyperlink"/>
          </w:rPr>
          <w:t xml:space="preserve">Active feature acquisition with generative surrogate models</w:t>
        </w:r>
      </w:hyperlink>
      <w:r>
        <w:t xml:space="preserve">, in</w:t>
      </w:r>
      <w:r>
        <w:t xml:space="preserve"> </w:t>
      </w:r>
      <w:r>
        <w:rPr>
          <w:iCs/>
          <w:i/>
        </w:rPr>
        <w:t xml:space="preserve">Proceedings of the 38th International Conference on Machine Learning</w:t>
      </w:r>
      <w:r>
        <w:t xml:space="preserve">, Proceedings of Machine Learning Research</w:t>
      </w:r>
      <w:r>
        <w:t xml:space="preserve"> </w:t>
      </w:r>
      <w:r>
        <w:rPr>
          <w:bCs/>
          <w:b/>
        </w:rPr>
        <w:t xml:space="preserve">139</w:t>
      </w:r>
      <w:r>
        <w:t xml:space="preserve"> </w:t>
      </w:r>
      <w:r>
        <w:t xml:space="preserve">(2021), 6450–6459.</w:t>
      </w:r>
    </w:p>
    <w:p>
      <w:pPr>
        <w:pStyle w:val="BodyText"/>
        <w:keepLines/>
        <w:spacing w:after="80"/>
        <w:ind w:left="389" w:hanging="389"/>
      </w:pPr>
      <w:r>
        <w:t xml:space="preserve">[17] C. Ma, S. Tschiatschek, K. Palla, J. M. Hernandez-Lobato, S. Nowozin, and C. Zhang,</w:t>
      </w:r>
      <w:r>
        <w:t xml:space="preserve"> </w:t>
      </w:r>
      <w:hyperlink r:id="rId62">
        <w:r>
          <w:rPr>
            <w:rStyle w:val="Hyperlink"/>
          </w:rPr>
          <w:t xml:space="preserve">EDDI: Efficient dynamic discovery of high-value information with partial VAE</w:t>
        </w:r>
      </w:hyperlink>
      <w:r>
        <w:t xml:space="preserve">, in</w:t>
      </w:r>
      <w:r>
        <w:t xml:space="preserve"> </w:t>
      </w:r>
      <w:r>
        <w:rPr>
          <w:iCs/>
          <w:i/>
        </w:rPr>
        <w:t xml:space="preserve">Proceedings of the 36th International Conference on Machine Learning</w:t>
      </w:r>
      <w:r>
        <w:t xml:space="preserve">, Proceedings of Machine Learning Research</w:t>
      </w:r>
      <w:r>
        <w:t xml:space="preserve"> </w:t>
      </w:r>
      <w:r>
        <w:rPr>
          <w:bCs/>
          <w:b/>
        </w:rPr>
        <w:t xml:space="preserve">97</w:t>
      </w:r>
      <w:r>
        <w:t xml:space="preserve"> </w:t>
      </w:r>
      <w:r>
        <w:t xml:space="preserve">(2019), 4234–4243.</w:t>
      </w:r>
    </w:p>
    <w:p>
      <w:pPr>
        <w:pStyle w:val="BodyText"/>
        <w:keepLines/>
        <w:spacing w:after="80"/>
        <w:ind w:left="389" w:hanging="389"/>
      </w:pPr>
      <w:r>
        <w:t xml:space="preserve">[18] J. Márkus, M. Pintér, and A. Radványi,</w:t>
      </w:r>
      <w:r>
        <w:t xml:space="preserve"> </w:t>
      </w:r>
      <w:hyperlink r:id="rId63">
        <w:r>
          <w:rPr>
            <w:rStyle w:val="Hyperlink"/>
          </w:rPr>
          <w:t xml:space="preserve">The Shapley value for airport and irrigation games</w:t>
        </w:r>
      </w:hyperlink>
      <w:r>
        <w:t xml:space="preserve">,</w:t>
      </w:r>
      <w:r>
        <w:t xml:space="preserve"> </w:t>
      </w:r>
      <w:r>
        <w:rPr>
          <w:iCs/>
          <w:i/>
        </w:rPr>
        <w:t xml:space="preserve">Central European Journal of Operations Research</w:t>
      </w:r>
      <w:r>
        <w:t xml:space="preserve"> </w:t>
      </w:r>
      <w:r>
        <w:t xml:space="preserve">(2026), published online 22 August 2026.</w:t>
      </w:r>
      <w:r>
        <w:t xml:space="preserve"> </w:t>
      </w:r>
      <w:hyperlink r:id="rId63">
        <w:r>
          <w:rPr>
            <w:rStyle w:val="Hyperlink"/>
          </w:rPr>
          <w:t xml:space="preserve">https://doi.org/10.1007/s10100-026-01039-5</w:t>
        </w:r>
      </w:hyperlink>
      <w:r>
        <w:t xml:space="preserve">.</w:t>
      </w:r>
    </w:p>
    <w:p>
      <w:pPr>
        <w:pStyle w:val="BodyText"/>
        <w:keepLines/>
        <w:spacing w:after="80"/>
        <w:ind w:left="389" w:hanging="389"/>
      </w:pPr>
      <w:r>
        <w:t xml:space="preserve">[19] M. Naghshvar and T. Javidi,</w:t>
      </w:r>
      <w:r>
        <w:t xml:space="preserve"> </w:t>
      </w:r>
      <w:hyperlink r:id="rId64">
        <w:r>
          <w:rPr>
            <w:rStyle w:val="Hyperlink"/>
          </w:rPr>
          <w:t xml:space="preserve">Active sequential hypothesis testing</w:t>
        </w:r>
      </w:hyperlink>
      <w:r>
        <w:t xml:space="preserve">,</w:t>
      </w:r>
      <w:r>
        <w:t xml:space="preserve"> </w:t>
      </w:r>
      <w:r>
        <w:rPr>
          <w:iCs/>
          <w:i/>
        </w:rPr>
        <w:t xml:space="preserve">The Annals of Statistics</w:t>
      </w:r>
      <w:r>
        <w:t xml:space="preserve"> </w:t>
      </w:r>
      <w:r>
        <w:rPr>
          <w:bCs/>
          <w:b/>
        </w:rPr>
        <w:t xml:space="preserve">41</w:t>
      </w:r>
      <w:r>
        <w:t xml:space="preserve"> </w:t>
      </w:r>
      <w:r>
        <w:t xml:space="preserve">(2013), no. 6, 2703–2738.</w:t>
      </w:r>
      <w:r>
        <w:t xml:space="preserve"> </w:t>
      </w:r>
      <w:hyperlink r:id="rId64">
        <w:r>
          <w:rPr>
            <w:rStyle w:val="Hyperlink"/>
          </w:rPr>
          <w:t xml:space="preserve">https://doi.org/10.1214/13-AOS1144</w:t>
        </w:r>
      </w:hyperlink>
      <w:r>
        <w:t xml:space="preserve">.</w:t>
      </w:r>
    </w:p>
    <w:p>
      <w:pPr>
        <w:pStyle w:val="BodyText"/>
        <w:keepLines/>
        <w:spacing w:after="80"/>
        <w:ind w:left="389" w:hanging="389"/>
      </w:pPr>
      <w:r>
        <w:t xml:space="preserve">[20] G. L. Nemhauser, L. A. Wolsey, and M. L. Fisher,</w:t>
      </w:r>
      <w:r>
        <w:t xml:space="preserve"> </w:t>
      </w:r>
      <w:hyperlink r:id="rId65">
        <w:r>
          <w:rPr>
            <w:rStyle w:val="Hyperlink"/>
          </w:rPr>
          <w:t xml:space="preserve">An analysis of approximations for maximizing submodular set functions—I</w:t>
        </w:r>
      </w:hyperlink>
      <w:r>
        <w:t xml:space="preserve">,</w:t>
      </w:r>
      <w:r>
        <w:t xml:space="preserve"> </w:t>
      </w:r>
      <w:r>
        <w:rPr>
          <w:iCs/>
          <w:i/>
        </w:rPr>
        <w:t xml:space="preserve">Mathematical Programming</w:t>
      </w:r>
      <w:r>
        <w:t xml:space="preserve"> </w:t>
      </w:r>
      <w:r>
        <w:rPr>
          <w:bCs/>
          <w:b/>
        </w:rPr>
        <w:t xml:space="preserve">14</w:t>
      </w:r>
      <w:r>
        <w:t xml:space="preserve"> </w:t>
      </w:r>
      <w:r>
        <w:t xml:space="preserve">(1978), 265–294.</w:t>
      </w:r>
      <w:r>
        <w:t xml:space="preserve"> </w:t>
      </w:r>
      <w:hyperlink r:id="rId65">
        <w:r>
          <w:rPr>
            <w:rStyle w:val="Hyperlink"/>
          </w:rPr>
          <w:t xml:space="preserve">https://doi.org/10.1007/BF01588971</w:t>
        </w:r>
      </w:hyperlink>
      <w:r>
        <w:t xml:space="preserve">.</w:t>
      </w:r>
    </w:p>
    <w:p>
      <w:pPr>
        <w:pStyle w:val="BodyText"/>
        <w:keepLines/>
        <w:spacing w:after="80"/>
        <w:ind w:left="389" w:hanging="389"/>
      </w:pPr>
      <w:r>
        <w:t xml:space="preserve">[21] A. Nilim and L. El Ghaoui,</w:t>
      </w:r>
      <w:r>
        <w:t xml:space="preserve"> </w:t>
      </w:r>
      <w:hyperlink r:id="rId66">
        <w:r>
          <w:rPr>
            <w:rStyle w:val="Hyperlink"/>
          </w:rPr>
          <w:t xml:space="preserve">Robust control of Markov decision processes with uncertain transition matrices</w:t>
        </w:r>
      </w:hyperlink>
      <w:r>
        <w:t xml:space="preserve">,</w:t>
      </w:r>
      <w:r>
        <w:t xml:space="preserve"> </w:t>
      </w:r>
      <w:r>
        <w:rPr>
          <w:iCs/>
          <w:i/>
        </w:rPr>
        <w:t xml:space="preserve">Operations Research</w:t>
      </w:r>
      <w:r>
        <w:t xml:space="preserve"> </w:t>
      </w:r>
      <w:r>
        <w:rPr>
          <w:bCs/>
          <w:b/>
        </w:rPr>
        <w:t xml:space="preserve">53</w:t>
      </w:r>
      <w:r>
        <w:t xml:space="preserve"> </w:t>
      </w:r>
      <w:r>
        <w:t xml:space="preserve">(2005), no. 5, 780–798.</w:t>
      </w:r>
      <w:r>
        <w:t xml:space="preserve"> </w:t>
      </w:r>
      <w:hyperlink r:id="rId66">
        <w:r>
          <w:rPr>
            <w:rStyle w:val="Hyperlink"/>
          </w:rPr>
          <w:t xml:space="preserve">https://doi.org/10.1287/opre.1050.0216</w:t>
        </w:r>
      </w:hyperlink>
      <w:r>
        <w:t xml:space="preserve">.</w:t>
      </w:r>
    </w:p>
    <w:p>
      <w:pPr>
        <w:pStyle w:val="BodyText"/>
        <w:keepLines/>
        <w:spacing w:after="80"/>
        <w:ind w:left="389" w:hanging="389"/>
      </w:pPr>
      <w:r>
        <w:t xml:space="preserve">[22] L. Pachter and D. Speyer,</w:t>
      </w:r>
      <w:r>
        <w:t xml:space="preserve"> </w:t>
      </w:r>
      <w:hyperlink r:id="rId67">
        <w:r>
          <w:rPr>
            <w:rStyle w:val="Hyperlink"/>
          </w:rPr>
          <w:t xml:space="preserve">Reconstructing trees from subtree weights</w:t>
        </w:r>
      </w:hyperlink>
      <w:r>
        <w:t xml:space="preserve">,</w:t>
      </w:r>
      <w:r>
        <w:t xml:space="preserve"> </w:t>
      </w:r>
      <w:r>
        <w:rPr>
          <w:iCs/>
          <w:i/>
        </w:rPr>
        <w:t xml:space="preserve">Applied Mathematics Letters</w:t>
      </w:r>
      <w:r>
        <w:t xml:space="preserve"> </w:t>
      </w:r>
      <w:r>
        <w:rPr>
          <w:bCs/>
          <w:b/>
        </w:rPr>
        <w:t xml:space="preserve">17</w:t>
      </w:r>
      <w:r>
        <w:t xml:space="preserve"> </w:t>
      </w:r>
      <w:r>
        <w:t xml:space="preserve">(2004), no. 6, 615–621. Link provides the authors’ preprint.</w:t>
      </w:r>
    </w:p>
    <w:p>
      <w:pPr>
        <w:pStyle w:val="BodyText"/>
        <w:keepLines/>
        <w:spacing w:after="80"/>
        <w:ind w:left="389" w:hanging="389"/>
      </w:pPr>
      <w:r>
        <w:t xml:space="preserve">[23] Z. Qin and Y. Lu,</w:t>
      </w:r>
      <w:r>
        <w:t xml:space="preserve"> </w:t>
      </w:r>
      <w:hyperlink r:id="rId68">
        <w:r>
          <w:rPr>
            <w:rStyle w:val="Hyperlink"/>
          </w:rPr>
          <w:t xml:space="preserve">Knowledge graph-enhanced multi-agent reinforcement learning for adaptive scheduling in smart manufacturing</w:t>
        </w:r>
      </w:hyperlink>
      <w:r>
        <w:t xml:space="preserve">,</w:t>
      </w:r>
      <w:r>
        <w:t xml:space="preserve"> </w:t>
      </w:r>
      <w:r>
        <w:rPr>
          <w:iCs/>
          <w:i/>
        </w:rPr>
        <w:t xml:space="preserve">Journal of Intelligent Manufacturing</w:t>
      </w:r>
      <w:r>
        <w:t xml:space="preserve"> </w:t>
      </w:r>
      <w:r>
        <w:rPr>
          <w:bCs/>
          <w:b/>
        </w:rPr>
        <w:t xml:space="preserve">36</w:t>
      </w:r>
      <w:r>
        <w:t xml:space="preserve"> </w:t>
      </w:r>
      <w:r>
        <w:t xml:space="preserve">(2025), 5943–5966.</w:t>
      </w:r>
      <w:r>
        <w:t xml:space="preserve"> </w:t>
      </w:r>
      <w:hyperlink r:id="rId68">
        <w:r>
          <w:rPr>
            <w:rStyle w:val="Hyperlink"/>
          </w:rPr>
          <w:t xml:space="preserve">https://doi.org/10.1007/s10845-024-02494-0</w:t>
        </w:r>
      </w:hyperlink>
      <w:r>
        <w:t xml:space="preserve">.</w:t>
      </w:r>
    </w:p>
    <w:p>
      <w:pPr>
        <w:pStyle w:val="BodyText"/>
        <w:keepLines/>
        <w:spacing w:after="80"/>
        <w:ind w:left="389" w:hanging="389"/>
      </w:pPr>
      <w:r>
        <w:t xml:space="preserve">[24] R. D. Smallwood and E. J. Sondik,</w:t>
      </w:r>
      <w:r>
        <w:t xml:space="preserve"> </w:t>
      </w:r>
      <w:hyperlink r:id="rId69">
        <w:r>
          <w:rPr>
            <w:rStyle w:val="Hyperlink"/>
          </w:rPr>
          <w:t xml:space="preserve">The optimal control of partially observable Markov processes over a finite horizon</w:t>
        </w:r>
      </w:hyperlink>
      <w:r>
        <w:t xml:space="preserve">,</w:t>
      </w:r>
      <w:r>
        <w:t xml:space="preserve"> </w:t>
      </w:r>
      <w:r>
        <w:rPr>
          <w:iCs/>
          <w:i/>
        </w:rPr>
        <w:t xml:space="preserve">Operations Research</w:t>
      </w:r>
      <w:r>
        <w:t xml:space="preserve"> </w:t>
      </w:r>
      <w:r>
        <w:rPr>
          <w:bCs/>
          <w:b/>
        </w:rPr>
        <w:t xml:space="preserve">21</w:t>
      </w:r>
      <w:r>
        <w:t xml:space="preserve"> </w:t>
      </w:r>
      <w:r>
        <w:t xml:space="preserve">(1973), no. 5, 1071–1088.</w:t>
      </w:r>
      <w:r>
        <w:t xml:space="preserve"> </w:t>
      </w:r>
      <w:hyperlink r:id="rId69">
        <w:r>
          <w:rPr>
            <w:rStyle w:val="Hyperlink"/>
          </w:rPr>
          <w:t xml:space="preserve">https://doi.org/10.1287/opre.21.5.1071</w:t>
        </w:r>
      </w:hyperlink>
      <w:r>
        <w:t xml:space="preserve">.</w:t>
      </w:r>
    </w:p>
    <w:p>
      <w:pPr>
        <w:pStyle w:val="BodyText"/>
        <w:keepLines/>
        <w:spacing w:after="80"/>
        <w:ind w:left="389" w:hanging="389"/>
      </w:pPr>
      <w:r>
        <w:t xml:space="preserve">[25] M. Steel, A. Mimoto, and A. O. Mooers,</w:t>
      </w:r>
      <w:r>
        <w:t xml:space="preserve"> </w:t>
      </w:r>
      <w:hyperlink r:id="rId70">
        <w:r>
          <w:rPr>
            <w:rStyle w:val="Hyperlink"/>
          </w:rPr>
          <w:t xml:space="preserve">Hedging our bets: The expected contribution of species to future phylogenetic diversity</w:t>
        </w:r>
      </w:hyperlink>
      <w:r>
        <w:t xml:space="preserve">,</w:t>
      </w:r>
      <w:r>
        <w:t xml:space="preserve"> </w:t>
      </w:r>
      <w:r>
        <w:rPr>
          <w:iCs/>
          <w:i/>
        </w:rPr>
        <w:t xml:space="preserve">Evolutionary Bioinformatics</w:t>
      </w:r>
      <w:r>
        <w:t xml:space="preserve"> </w:t>
      </w:r>
      <w:r>
        <w:rPr>
          <w:bCs/>
          <w:b/>
        </w:rPr>
        <w:t xml:space="preserve">3</w:t>
      </w:r>
      <w:r>
        <w:t xml:space="preserve"> </w:t>
      </w:r>
      <w:r>
        <w:t xml:space="preserve">(2007), 237–244.</w:t>
      </w:r>
      <w:r>
        <w:t xml:space="preserve"> </w:t>
      </w:r>
      <w:hyperlink r:id="rId71">
        <w:r>
          <w:rPr>
            <w:rStyle w:val="Hyperlink"/>
          </w:rPr>
          <w:t xml:space="preserve">Author preprint</w:t>
        </w:r>
      </w:hyperlink>
      <w:r>
        <w:t xml:space="preserve">.</w:t>
      </w:r>
      <w:r>
        <w:t xml:space="preserve"> </w:t>
      </w:r>
      <w:hyperlink r:id="rId70">
        <w:r>
          <w:rPr>
            <w:rStyle w:val="Hyperlink"/>
          </w:rPr>
          <w:t xml:space="preserve">https://doi.org/10.1177/117693430700300024</w:t>
        </w:r>
      </w:hyperlink>
      <w:r>
        <w:t xml:space="preserve">.</w:t>
      </w:r>
    </w:p>
    <w:p>
      <w:pPr>
        <w:pStyle w:val="BodyText"/>
        <w:keepLines/>
        <w:spacing w:after="80"/>
        <w:ind w:left="389" w:hanging="389"/>
      </w:pPr>
      <w:r>
        <w:t xml:space="preserve">[26] A. Wald,</w:t>
      </w:r>
      <w:r>
        <w:t xml:space="preserve"> </w:t>
      </w:r>
      <w:hyperlink r:id="rId72">
        <w:r>
          <w:rPr>
            <w:rStyle w:val="Hyperlink"/>
          </w:rPr>
          <w:t xml:space="preserve">Sequential tests of statistical hypotheses</w:t>
        </w:r>
      </w:hyperlink>
      <w:r>
        <w:t xml:space="preserve">,</w:t>
      </w:r>
      <w:r>
        <w:t xml:space="preserve"> </w:t>
      </w:r>
      <w:r>
        <w:rPr>
          <w:iCs/>
          <w:i/>
        </w:rPr>
        <w:t xml:space="preserve">The Annals of Mathematical Statistics</w:t>
      </w:r>
      <w:r>
        <w:t xml:space="preserve"> </w:t>
      </w:r>
      <w:r>
        <w:rPr>
          <w:bCs/>
          <w:b/>
        </w:rPr>
        <w:t xml:space="preserve">16</w:t>
      </w:r>
      <w:r>
        <w:t xml:space="preserve"> </w:t>
      </w:r>
      <w:r>
        <w:t xml:space="preserve">(1945), no. 2, 117–186.</w:t>
      </w:r>
      <w:r>
        <w:t xml:space="preserve"> </w:t>
      </w:r>
      <w:hyperlink r:id="rId72">
        <w:r>
          <w:rPr>
            <w:rStyle w:val="Hyperlink"/>
          </w:rPr>
          <w:t xml:space="preserve">https://doi.org/10.1214/aoms/1177731118</w:t>
        </w:r>
      </w:hyperlink>
      <w:r>
        <w:t xml:space="preserve">.</w:t>
      </w:r>
    </w:p>
    <w:bookmarkEnd w:id="73"/>
    <w:sectPr>
      <w:footerReference w:type="default" r:id="rId9"/>
      <w:pgSz w:w="12240" w:h="15840"/>
      <w:pgMar w:top="1123" w:bottom="1123" w:left="1181" w:right="1181" w:header="461"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0" w:lineRule="auto" w:after="100"/>
    </w:pPr>
    <w:rPr>
      <w:rFonts w:ascii="Times New Roman" w:hAnsi="Times New Roman"/>
      <w:sz w:val="22"/>
    </w:rPr>
  </w:style>
  <w:style w:styleId="BodyText" w:type="paragraph">
    <w:name w:val="Body Text"/>
    <w:basedOn w:val="Normal"/>
    <w:link w:val="BodyTextChar"/>
    <w:pPr>
      <w:spacing w:after="100" w:before="180" w:line="250" w:lineRule="auto"/>
    </w:pPr>
    <w:qFormat/>
    <w:rPr>
      <w:rFonts w:ascii="Times New Roman" w:hAnsi="Times New Roman"/>
      <w:sz w:val="22"/>
    </w:rPr>
  </w:style>
  <w:style w:customStyle="1" w:styleId="FirstParagraph" w:type="paragraph">
    <w:name w:val="First Paragraph"/>
    <w:basedOn w:val="Normal"/>
    <w:next w:val="BodyText"/>
    <w:qFormat/>
    <w:pPr>
      <w:spacing w:line="250" w:lineRule="auto" w:after="100"/>
    </w:pPr>
    <w:rPr>
      <w:rFonts w:ascii="Times New Roman" w:hAnsi="Times New Roman"/>
      <w:sz w:val="22"/>
    </w:rPr>
  </w:style>
  <w:style w:customStyle="1" w:styleId="Compact" w:type="paragraph">
    <w:name w:val="Compact"/>
    <w:basedOn w:val="Normal"/>
    <w:qFormat/>
    <w:pPr>
      <w:spacing w:after="100" w:before="36" w:line="250" w:lineRule="auto"/>
    </w:pPr>
    <w:rPr>
      <w:rFonts w:ascii="Times New Roman" w:hAnsi="Times New Roman"/>
      <w:sz w:val="22"/>
    </w:rPr>
  </w:style>
  <w:style w:styleId="Title" w:type="paragraph">
    <w:name w:val="Title"/>
    <w:basedOn w:val="Normal"/>
    <w:next w:val="BodyText"/>
    <w:qFormat/>
    <w:pPr>
      <w:keepNext/>
      <w:keepLines/>
      <w:spacing w:after="100" w:before="0"/>
      <w:jc w:val="center"/>
    </w:pPr>
    <w:rPr>
      <w:rFonts w:cstheme="majorBidi" w:ascii="Times New Roman" w:hAnsi="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cstheme="majorBidi" w:ascii="Times New Roman" w:hAnsi="Times New Roman"/>
      <w:b/>
      <w:bCs/>
      <w:color w:val="000000"/>
      <w:sz w:val="25"/>
      <w:szCs w:val="32"/>
    </w:rPr>
  </w:style>
  <w:style w:styleId="Heading2" w:type="paragraph">
    <w:name w:val="Heading 2"/>
    <w:basedOn w:val="Normal"/>
    <w:next w:val="BodyText"/>
    <w:uiPriority w:val="9"/>
    <w:unhideWhenUsed/>
    <w:qFormat/>
    <w:pPr>
      <w:keepNext/>
      <w:keepLines/>
      <w:spacing w:after="100" w:before="200"/>
      <w:outlineLvl w:val="1"/>
    </w:pPr>
    <w:rPr>
      <w:rFonts w:cstheme="majorBidi" w:ascii="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100" w:before="200"/>
      <w:outlineLvl w:val="2"/>
    </w:pPr>
    <w:rPr>
      <w:rFonts w:cstheme="majorBid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cstheme="majorBid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1" Type="http://schemas.openxmlformats.org/officeDocument/2006/relationships/hyperlink" Target="https://arxiv.org/abs/0704.2649" TargetMode="External"/><Relationship Id="rId48" Type="http://schemas.openxmlformats.org/officeDocument/2006/relationships/hyperlink" Target="https://arxiv.org/abs/1006.1095" TargetMode="External"/><Relationship Id="rId67" Type="http://schemas.openxmlformats.org/officeDocument/2006/relationships/hyperlink" Target="https://arxiv.org/abs/math/0311156" TargetMode="External"/><Relationship Id="rId53" Type="http://schemas.openxmlformats.org/officeDocument/2006/relationships/hyperlink" Target="https://doi.org/10.1007/BF01188585" TargetMode="External"/><Relationship Id="rId56" Type="http://schemas.openxmlformats.org/officeDocument/2006/relationships/hyperlink" Target="https://doi.org/10.1007/BF01247104" TargetMode="External"/><Relationship Id="rId65" Type="http://schemas.openxmlformats.org/officeDocument/2006/relationships/hyperlink" Target="https://doi.org/10.1007/BF01588971" TargetMode="External"/><Relationship Id="rId63" Type="http://schemas.openxmlformats.org/officeDocument/2006/relationships/hyperlink" Target="https://doi.org/10.1007/s10100-026-01039-5" TargetMode="External"/><Relationship Id="rId68" Type="http://schemas.openxmlformats.org/officeDocument/2006/relationships/hyperlink" Target="https://doi.org/10.1007/s10845-024-02494-0" TargetMode="External"/><Relationship Id="rId49" Type="http://schemas.openxmlformats.org/officeDocument/2006/relationships/hyperlink" Target="https://doi.org/10.1016/0095-8956(74)90047-1" TargetMode="External"/><Relationship Id="rId59" Type="http://schemas.openxmlformats.org/officeDocument/2006/relationships/hyperlink" Target="https://doi.org/10.1016/S0004-3702(98)00023-X" TargetMode="External"/><Relationship Id="rId47" Type="http://schemas.openxmlformats.org/officeDocument/2006/relationships/hyperlink" Target="https://doi.org/10.1016/j.aim.2012.08.008" TargetMode="External"/><Relationship Id="rId45" Type="http://schemas.openxmlformats.org/officeDocument/2006/relationships/hyperlink" Target="https://doi.org/10.1137/0210030" TargetMode="External"/><Relationship Id="rId70" Type="http://schemas.openxmlformats.org/officeDocument/2006/relationships/hyperlink" Target="https://doi.org/10.1177/117693430700300024" TargetMode="External"/><Relationship Id="rId64" Type="http://schemas.openxmlformats.org/officeDocument/2006/relationships/hyperlink" Target="https://doi.org/10.1214/13-AOS1144" TargetMode="External"/><Relationship Id="rId51" Type="http://schemas.openxmlformats.org/officeDocument/2006/relationships/hyperlink" Target="https://doi.org/10.1214/aoms/1177706205" TargetMode="External"/><Relationship Id="rId46" Type="http://schemas.openxmlformats.org/officeDocument/2006/relationships/hyperlink" Target="https://doi.org/10.1214/aoms/1177729032" TargetMode="External"/><Relationship Id="rId72" Type="http://schemas.openxmlformats.org/officeDocument/2006/relationships/hyperlink" Target="https://doi.org/10.1214/aoms/1177731118" TargetMode="External"/><Relationship Id="rId52" Type="http://schemas.openxmlformats.org/officeDocument/2006/relationships/hyperlink" Target="https://doi.org/10.1214/aos/1176325367" TargetMode="External"/><Relationship Id="rId58" Type="http://schemas.openxmlformats.org/officeDocument/2006/relationships/hyperlink" Target="https://doi.org/10.1287/moor.1040.0129" TargetMode="External"/><Relationship Id="rId66" Type="http://schemas.openxmlformats.org/officeDocument/2006/relationships/hyperlink" Target="https://doi.org/10.1287/opre.1050.0216" TargetMode="External"/><Relationship Id="rId69" Type="http://schemas.openxmlformats.org/officeDocument/2006/relationships/hyperlink" Target="https://doi.org/10.1287/opre.21.5.1071" TargetMode="External"/><Relationship Id="rId54" Type="http://schemas.openxmlformats.org/officeDocument/2006/relationships/hyperlink" Target="https://doi.org/10.1613/jair.3278" TargetMode="External"/><Relationship Id="rId55" Type="http://schemas.openxmlformats.org/officeDocument/2006/relationships/hyperlink" Target="https://doi.org/10.2307/2346439" TargetMode="External"/><Relationship Id="rId57" Type="http://schemas.openxmlformats.org/officeDocument/2006/relationships/hyperlink" Target="https://doi.org/10.2307/3212481" TargetMode="External"/><Relationship Id="rId50" Type="http://schemas.openxmlformats.org/officeDocument/2006/relationships/hyperlink" Target="https://jmlr.csail.mit.edu/papers/v11/carlsson10a.html" TargetMode="External"/><Relationship Id="rId60" Type="http://schemas.openxmlformats.org/officeDocument/2006/relationships/hyperlink" Target="https://jmlr.org/papers/v9/krause08b.html" TargetMode="External"/><Relationship Id="rId61" Type="http://schemas.openxmlformats.org/officeDocument/2006/relationships/hyperlink" Target="https://proceedings.mlr.press/v139/li21p.html" TargetMode="External"/><Relationship Id="rId62" Type="http://schemas.openxmlformats.org/officeDocument/2006/relationships/hyperlink" Target="https://proceedings.mlr.press/v97/ma19c.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1" Type="http://schemas.openxmlformats.org/officeDocument/2006/relationships/hyperlink" Target="https://arxiv.org/abs/0704.2649" TargetMode="External"/><Relationship Id="rId48" Type="http://schemas.openxmlformats.org/officeDocument/2006/relationships/hyperlink" Target="https://arxiv.org/abs/1006.1095" TargetMode="External"/><Relationship Id="rId67" Type="http://schemas.openxmlformats.org/officeDocument/2006/relationships/hyperlink" Target="https://arxiv.org/abs/math/0311156" TargetMode="External"/><Relationship Id="rId53" Type="http://schemas.openxmlformats.org/officeDocument/2006/relationships/hyperlink" Target="https://doi.org/10.1007/BF01188585" TargetMode="External"/><Relationship Id="rId56" Type="http://schemas.openxmlformats.org/officeDocument/2006/relationships/hyperlink" Target="https://doi.org/10.1007/BF01247104" TargetMode="External"/><Relationship Id="rId65" Type="http://schemas.openxmlformats.org/officeDocument/2006/relationships/hyperlink" Target="https://doi.org/10.1007/BF01588971" TargetMode="External"/><Relationship Id="rId63" Type="http://schemas.openxmlformats.org/officeDocument/2006/relationships/hyperlink" Target="https://doi.org/10.1007/s10100-026-01039-5" TargetMode="External"/><Relationship Id="rId68" Type="http://schemas.openxmlformats.org/officeDocument/2006/relationships/hyperlink" Target="https://doi.org/10.1007/s10845-024-02494-0" TargetMode="External"/><Relationship Id="rId49" Type="http://schemas.openxmlformats.org/officeDocument/2006/relationships/hyperlink" Target="https://doi.org/10.1016/0095-8956(74)90047-1" TargetMode="External"/><Relationship Id="rId59" Type="http://schemas.openxmlformats.org/officeDocument/2006/relationships/hyperlink" Target="https://doi.org/10.1016/S0004-3702(98)00023-X" TargetMode="External"/><Relationship Id="rId47" Type="http://schemas.openxmlformats.org/officeDocument/2006/relationships/hyperlink" Target="https://doi.org/10.1016/j.aim.2012.08.008" TargetMode="External"/><Relationship Id="rId45" Type="http://schemas.openxmlformats.org/officeDocument/2006/relationships/hyperlink" Target="https://doi.org/10.1137/0210030" TargetMode="External"/><Relationship Id="rId70" Type="http://schemas.openxmlformats.org/officeDocument/2006/relationships/hyperlink" Target="https://doi.org/10.1177/117693430700300024" TargetMode="External"/><Relationship Id="rId64" Type="http://schemas.openxmlformats.org/officeDocument/2006/relationships/hyperlink" Target="https://doi.org/10.1214/13-AOS1144" TargetMode="External"/><Relationship Id="rId51" Type="http://schemas.openxmlformats.org/officeDocument/2006/relationships/hyperlink" Target="https://doi.org/10.1214/aoms/1177706205" TargetMode="External"/><Relationship Id="rId46" Type="http://schemas.openxmlformats.org/officeDocument/2006/relationships/hyperlink" Target="https://doi.org/10.1214/aoms/1177729032" TargetMode="External"/><Relationship Id="rId72" Type="http://schemas.openxmlformats.org/officeDocument/2006/relationships/hyperlink" Target="https://doi.org/10.1214/aoms/1177731118" TargetMode="External"/><Relationship Id="rId52" Type="http://schemas.openxmlformats.org/officeDocument/2006/relationships/hyperlink" Target="https://doi.org/10.1214/aos/1176325367" TargetMode="External"/><Relationship Id="rId58" Type="http://schemas.openxmlformats.org/officeDocument/2006/relationships/hyperlink" Target="https://doi.org/10.1287/moor.1040.0129" TargetMode="External"/><Relationship Id="rId66" Type="http://schemas.openxmlformats.org/officeDocument/2006/relationships/hyperlink" Target="https://doi.org/10.1287/opre.1050.0216" TargetMode="External"/><Relationship Id="rId69" Type="http://schemas.openxmlformats.org/officeDocument/2006/relationships/hyperlink" Target="https://doi.org/10.1287/opre.21.5.1071" TargetMode="External"/><Relationship Id="rId54" Type="http://schemas.openxmlformats.org/officeDocument/2006/relationships/hyperlink" Target="https://doi.org/10.1613/jair.3278" TargetMode="External"/><Relationship Id="rId55" Type="http://schemas.openxmlformats.org/officeDocument/2006/relationships/hyperlink" Target="https://doi.org/10.2307/2346439" TargetMode="External"/><Relationship Id="rId57" Type="http://schemas.openxmlformats.org/officeDocument/2006/relationships/hyperlink" Target="https://doi.org/10.2307/3212481" TargetMode="External"/><Relationship Id="rId50" Type="http://schemas.openxmlformats.org/officeDocument/2006/relationships/hyperlink" Target="https://jmlr.csail.mit.edu/papers/v11/carlsson10a.html" TargetMode="External"/><Relationship Id="rId60" Type="http://schemas.openxmlformats.org/officeDocument/2006/relationships/hyperlink" Target="https://jmlr.org/papers/v9/krause08b.html" TargetMode="External"/><Relationship Id="rId61" Type="http://schemas.openxmlformats.org/officeDocument/2006/relationships/hyperlink" Target="https://proceedings.mlr.press/v139/li21p.html" TargetMode="External"/><Relationship Id="rId62" Type="http://schemas.openxmlformats.org/officeDocument/2006/relationships/hyperlink" Target="https://proceedings.mlr.press/v97/ma19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Foundations and computational details</dc:title>
  <dc:creator/>
  <cp:keywords/>
  <dcterms:created xsi:type="dcterms:W3CDTF">2026-09-13T13:51:19Z</dcterms:created>
  <dcterms:modified xsi:type="dcterms:W3CDTF">2026-09-13T13:51:19Z</dcterms:modified>
</cp:coreProperties>
</file>

<file path=docProps/custom.xml><?xml version="1.0" encoding="utf-8"?>
<Properties xmlns="http://schemas.openxmlformats.org/officeDocument/2006/custom-properties" xmlns:vt="http://schemas.openxmlformats.org/officeDocument/2006/docPropsVTypes"/>
</file>