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Minimax recovery and decision stability for tree-based evidence acquisition</w:t>
      </w:r>
    </w:p>
    <w:p>
      <w:pPr>
        <w:pStyle w:val="BodyText"/>
        <w:spacing w:after="240"/>
        <w:jc w:val="center"/>
      </w:pPr>
      <w:r>
        <w:rPr>
          <w:bCs/>
          <w:b/>
        </w:rPr>
        <w:t xml:space="preserve">Author(s):</w:t>
      </w:r>
      <w:r>
        <w:t xml:space="preserve"> </w:t>
      </w:r>
      <w:r>
        <w:t xml:space="preserve">[Names, affiliations, ORCID identifiers, and corresponding-author email]</w:t>
      </w:r>
    </w:p>
    <w:bookmarkStart w:id="20" w:name="abstract"/>
    <w:p>
      <w:pPr>
        <w:pStyle w:val="Heading1"/>
      </w:pPr>
      <w:r>
        <w:t xml:space="preserve">Abstract</w:t>
      </w:r>
    </w:p>
    <w:p>
      <w:pPr>
        <w:pStyle w:val="FirstParagraph"/>
      </w:pPr>
      <w:r>
        <w:t xml:space="preserve">An autonomous diagnostic coordinator must decide which evidence sources to query and when to stop. When communication routes share activation costs, the cost of a group of queries depends on its network structure. We study the recovery of this cost from measurements of individual and pairwise acquisitions and its use in finite-horizon Bayesian decision making. For a nonnegative weighted rooted tree, we give a self-contained reconstruction formula based on a maximum-weight spanning tree of pairwise overlaps. If every individual and pairwise measurement has absolute error at most</w:t>
      </w:r>
      <w:r>
        <w:t xml:space="preserve"> </w:t>
      </w:r>
      <m:oMath>
        <m:r>
          <m:t>ε</m:t>
        </m:r>
      </m:oMath>
      <w:r>
        <w:t xml:space="preserve">, the resulting estimate of an</w:t>
      </w:r>
      <w:r>
        <w:t xml:space="preserve"> </w:t>
      </w:r>
      <m:oMath>
        <m:r>
          <m:t>m</m:t>
        </m:r>
      </m:oMath>
      <w:r>
        <w:t xml:space="preserve">-source cost has error at most</w:t>
      </w:r>
      <w:r>
        <w:t xml:space="preserve"> </w:t>
      </w:r>
      <m:oMath>
        <m:d>
          <m:dPr>
            <m:begChr m:val="("/>
            <m:endChr m:val=")"/>
            <m:sepChr m:val=""/>
            <m:grow/>
          </m:dPr>
          <m:e>
            <m:r>
              <m:t>2</m:t>
            </m:r>
            <m:r>
              <m:t>m</m:t>
            </m:r>
            <m:r>
              <m:rPr>
                <m:sty m:val="p"/>
              </m:rPr>
              <m:t>−</m:t>
            </m:r>
            <m:r>
              <m:t>3</m:t>
            </m:r>
          </m:e>
        </m:d>
        <m:r>
          <m:t>ε</m:t>
        </m:r>
      </m:oMath>
      <w:r>
        <w:t xml:space="preserve">, for</w:t>
      </w:r>
      <w:r>
        <w:t xml:space="preserve"> </w:t>
      </w:r>
      <m:oMath>
        <m:r>
          <m:t>m</m:t>
        </m:r>
        <m:r>
          <m:rPr>
            <m:sty m:val="p"/>
          </m:rPr>
          <m:t>≥</m:t>
        </m:r>
        <m:r>
          <m:t>2</m:t>
        </m:r>
      </m:oMath>
      <w:r>
        <w:t xml:space="preserve">. A two-point construction proves that this constant is minimax optimal over the stated model class. The estimate induces explicit bounds on optimal decision values and on the excess loss of a policy optimized using measured costs. We also give a feasible repair of inconsistent measurements, characterize universal decision equivalence, and show why pairwise recovery fails for general shared-resource systems. Exact enumeration of a six-source synthetic manufacturing example illustrates the decision model. The results concern mathematical evidence-acquisition policies and do not assume an implemented language-model agent.</w:t>
      </w:r>
    </w:p>
    <w:p>
      <w:pPr>
        <w:pStyle w:val="BodyText"/>
      </w:pPr>
      <w:r>
        <w:rPr>
          <w:bCs/>
          <w:b/>
        </w:rPr>
        <w:t xml:space="preserve">Keywords:</w:t>
      </w:r>
      <w:r>
        <w:t xml:space="preserve"> </w:t>
      </w:r>
      <w:r>
        <w:t xml:space="preserve">rooted tree; minimax estimation; shared acquisition cost; Bayesian sequential decision; agentic manufacturing diagnosis.</w:t>
      </w:r>
    </w:p>
    <w:bookmarkEnd w:id="20"/>
    <w:bookmarkStart w:id="28" w:name="introduction"/>
    <w:p>
      <w:pPr>
        <w:pStyle w:val="Heading1"/>
      </w:pPr>
      <w:r>
        <w:t xml:space="preserve">1. Introduction</w:t>
      </w:r>
    </w:p>
    <w:p>
      <w:pPr>
        <w:pStyle w:val="FirstParagraph"/>
      </w:pPr>
      <w:r>
        <w:t xml:space="preserve">An agentic manufacturing diagnosis system can be viewed as a coordinator that acquires information from specialized sources, updates its belief about a fault, and chooses a final diagnosis. Graph representations already support multi-agent scheduling in manufacturing; for example,</w:t>
      </w:r>
      <w:r>
        <w:t xml:space="preserve"> </w:t>
      </w:r>
      <w:hyperlink r:id="rId21">
        <w:r>
          <w:rPr>
            <w:rStyle w:val="Hyperlink"/>
          </w:rPr>
          <w:t xml:space="preserve">Qin and Lu</w:t>
        </w:r>
      </w:hyperlink>
      <w:r>
        <w:t xml:space="preserve"> </w:t>
      </w:r>
      <w:r>
        <w:t xml:space="preserve">[6] combine knowledge graphs with multi-agent reinforcement learning. The present problem concerns the cost of accessing evidence when several sources share communication or session-activation resources.</w:t>
      </w:r>
    </w:p>
    <w:p>
      <w:pPr>
        <w:pStyle w:val="BodyText"/>
      </w:pPr>
      <w:r>
        <w:t xml:space="preserve">Charging every query its full standalone access cost is appropriate when all communication expenses recur independently. If part of the expense is incurred once per investigation, however, later queries may reuse an activated route. A useful theoretical question is whether individual and pairwise cost measurements determine the cost of every larger group. A second question asks how errors in these measurements affect an optimal sequential diagnostic policy.</w:t>
      </w:r>
    </w:p>
    <w:p>
      <w:pPr>
        <w:pStyle w:val="BodyText"/>
      </w:pPr>
      <w:r>
        <w:t xml:space="preserve">The mathematical ingredients have established antecedents.</w:t>
      </w:r>
      <w:r>
        <w:t xml:space="preserve"> </w:t>
      </w:r>
      <w:hyperlink r:id="rId22">
        <w:r>
          <w:rPr>
            <w:rStyle w:val="Hyperlink"/>
          </w:rPr>
          <w:t xml:space="preserve">Pachter and Speyer</w:t>
        </w:r>
      </w:hyperlink>
      <w:r>
        <w:t xml:space="preserve"> </w:t>
      </w:r>
      <w:r>
        <w:t xml:space="preserve">[5] study reconstruction of trees from subtree weights.</w:t>
      </w:r>
      <w:r>
        <w:t xml:space="preserve"> </w:t>
      </w:r>
      <w:hyperlink r:id="rId23">
        <w:r>
          <w:rPr>
            <w:rStyle w:val="Hyperlink"/>
          </w:rPr>
          <w:t xml:space="preserve">Hunter</w:t>
        </w:r>
      </w:hyperlink>
      <w:r>
        <w:t xml:space="preserve"> </w:t>
      </w:r>
      <w:r>
        <w:t xml:space="preserve">[3] uses spanning trees to optimize bounds on unions from first- and second-order information. Hierarchical representations and their stability are studied by</w:t>
      </w:r>
      <w:r>
        <w:t xml:space="preserve"> </w:t>
      </w:r>
      <w:hyperlink r:id="rId24">
        <w:r>
          <w:rPr>
            <w:rStyle w:val="Hyperlink"/>
          </w:rPr>
          <w:t xml:space="preserve">Carlsson and Mémoli</w:t>
        </w:r>
      </w:hyperlink>
      <w:r>
        <w:t xml:space="preserve"> </w:t>
      </w:r>
      <w:r>
        <w:t xml:space="preserve">[1]. Belief-state dynamic programming follows the finite-horizon partially observed control framework of</w:t>
      </w:r>
      <w:r>
        <w:t xml:space="preserve"> </w:t>
      </w:r>
      <w:hyperlink r:id="rId25">
        <w:r>
          <w:rPr>
            <w:rStyle w:val="Hyperlink"/>
          </w:rPr>
          <w:t xml:space="preserve">Smallwood and Sondik</w:t>
        </w:r>
      </w:hyperlink>
      <w:r>
        <w:t xml:space="preserve"> </w:t>
      </w:r>
      <w:r>
        <w:t xml:space="preserve">[7].</w:t>
      </w:r>
      <w:r>
        <w:t xml:space="preserve"> </w:t>
      </w:r>
      <w:hyperlink r:id="rId26">
        <w:r>
          <w:rPr>
            <w:rStyle w:val="Hyperlink"/>
          </w:rPr>
          <w:t xml:space="preserve">Adaptive submodularity</w:t>
        </w:r>
      </w:hyperlink>
      <w:r>
        <w:t xml:space="preserve"> </w:t>
      </w:r>
      <w:r>
        <w:t xml:space="preserve">[2] and</w:t>
      </w:r>
      <w:r>
        <w:t xml:space="preserve"> </w:t>
      </w:r>
      <w:hyperlink r:id="rId27">
        <w:r>
          <w:rPr>
            <w:rStyle w:val="Hyperlink"/>
          </w:rPr>
          <w:t xml:space="preserve">robust observation selection</w:t>
        </w:r>
      </w:hyperlink>
      <w:r>
        <w:t xml:space="preserve"> </w:t>
      </w:r>
      <w:r>
        <w:t xml:space="preserve">[4] address related acquisition problems under different assumptions and objectives.</w:t>
      </w:r>
    </w:p>
    <w:p>
      <w:pPr>
        <w:pStyle w:val="BodyText"/>
      </w:pPr>
      <w:r>
        <w:t xml:space="preserve">We use these foundations to formulate a precise measurement-to-decision problem. The central result is the exact worst-case recovery radius</w:t>
      </w:r>
      <w:r>
        <w:t xml:space="preserve"> </w:t>
      </w:r>
      <m:oMath>
        <m:d>
          <m:dPr>
            <m:begChr m:val="("/>
            <m:endChr m:val=")"/>
            <m:sepChr m:val=""/>
            <m:grow/>
          </m:dPr>
          <m:e>
            <m:r>
              <m:t>2</m:t>
            </m:r>
            <m:r>
              <m:t>m</m:t>
            </m:r>
            <m:r>
              <m:rPr>
                <m:sty m:val="p"/>
              </m:rPr>
              <m:t>−</m:t>
            </m:r>
            <m:r>
              <m:t>3</m:t>
            </m:r>
          </m:e>
        </m:d>
        <m:r>
          <m:t>ε</m:t>
        </m:r>
      </m:oMath>
      <w:r>
        <w:t xml:space="preserve"> </w:t>
      </w:r>
      <w:r>
        <w:t xml:space="preserve">for the cost of</w:t>
      </w:r>
      <w:r>
        <w:t xml:space="preserve"> </w:t>
      </w:r>
      <m:oMath>
        <m:r>
          <m:t>m</m:t>
        </m:r>
      </m:oMath>
      <w:r>
        <w:t xml:space="preserve"> </w:t>
      </w:r>
      <w:r>
        <w:t xml:space="preserve">sources. Its proof includes a matching lower bound for every estimator using the specified measurements. We then derive decision-value stability, policy excess-loss bounds, and a decision-equivalence characterization. Tree reconstruction and the Bellman principle serve as established foundations.</w:t>
      </w:r>
    </w:p>
    <w:p>
      <w:pPr>
        <w:pStyle w:val="BodyText"/>
      </w:pPr>
      <w:r>
        <w:t xml:space="preserve">The application extends graph-orchestrated manufacturing diagnosis by introducing shared activation costs and optional stopping. These assumptions differ from a model that charges a complete route cost for every query. The numerical illustration is entirely synthetic.</w:t>
      </w:r>
    </w:p>
    <w:bookmarkEnd w:id="28"/>
    <w:bookmarkStart w:id="32" w:name="shared-costs-on-a-rooted-tree"/>
    <w:p>
      <w:pPr>
        <w:pStyle w:val="Heading1"/>
      </w:pPr>
      <w:r>
        <w:t xml:space="preserve">2. Shared costs on a rooted tree</w:t>
      </w:r>
    </w:p>
    <w:bookmarkStart w:id="29" w:name="model-and-notation"/>
    <w:p>
      <w:pPr>
        <w:pStyle w:val="Heading2"/>
      </w:pPr>
      <w:r>
        <w:t xml:space="preserve">2.1. Model and notation</w:t>
      </w:r>
    </w:p>
    <w:p>
      <w:pPr>
        <w:pStyle w:val="FirstParagraph"/>
      </w:pPr>
      <w:r>
        <w:t xml:space="preserve">Let</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label evidence sources, and let</w:t>
      </w:r>
      <w:r>
        <w:t xml:space="preserve"> </w:t>
      </w:r>
      <m:oMath>
        <m:r>
          <m:t>T</m:t>
        </m:r>
      </m:oMath>
      <w:r>
        <w:t xml:space="preserve"> </w:t>
      </w:r>
      <w:r>
        <w:t xml:space="preserve">be a finite tree rooted at a coordinator</w:t>
      </w:r>
      <w:r>
        <w:t xml:space="preserve"> </w:t>
      </w:r>
      <m:oMath>
        <m:r>
          <m:t>r</m:t>
        </m:r>
      </m:oMath>
      <w:r>
        <w:t xml:space="preserve">. Source</w:t>
      </w:r>
      <w:r>
        <w:t xml:space="preserve"> </w:t>
      </w:r>
      <m:oMath>
        <m:r>
          <m:t>i</m:t>
        </m:r>
      </m:oMath>
      <w:r>
        <w:t xml:space="preserve"> </w:t>
      </w:r>
      <w:r>
        <w:t xml:space="preserve">is associated with a vertex and the unique root-to-source path</w:t>
      </w:r>
      <w:r>
        <w:t xml:space="preserve"> </w:t>
      </w:r>
      <m:oMath>
        <m:sSub>
          <m:e>
            <m:r>
              <m:t>P</m:t>
            </m:r>
          </m:e>
          <m:sub>
            <m:r>
              <m:t>i</m:t>
            </m:r>
          </m:sub>
        </m:sSub>
      </m:oMath>
      <w:r>
        <w:t xml:space="preserve">. Each edge</w:t>
      </w:r>
      <w:r>
        <w:t xml:space="preserve"> </w:t>
      </w:r>
      <m:oMath>
        <m:r>
          <m:t>e</m:t>
        </m:r>
      </m:oMath>
      <w:r>
        <w:t xml:space="preserve"> </w:t>
      </w:r>
      <w:r>
        <w:t xml:space="preserve">has activation cost</w:t>
      </w:r>
      <w:r>
        <w:t xml:space="preserve"> </w:t>
      </w:r>
      <m:oMath>
        <m:sSub>
          <m:e>
            <m:r>
              <m:t>a</m:t>
            </m:r>
          </m:e>
          <m:sub>
            <m:r>
              <m:t>e</m:t>
            </m:r>
          </m:sub>
        </m:sSub>
        <m:r>
          <m:rPr>
            <m:sty m:val="p"/>
          </m:rPr>
          <m:t>≥</m:t>
        </m:r>
        <m:r>
          <m:t>0</m:t>
        </m:r>
      </m:oMath>
      <w:r>
        <w:t xml:space="preserve">, and source</w:t>
      </w:r>
      <w:r>
        <w:t xml:space="preserve"> </w:t>
      </w:r>
      <m:oMath>
        <m:r>
          <m:t>i</m:t>
        </m:r>
      </m:oMath>
      <w:r>
        <w:t xml:space="preserve"> </w:t>
      </w:r>
      <w:r>
        <w:t xml:space="preserve">has service cost</w:t>
      </w:r>
      <w:r>
        <w:t xml:space="preserve"> </w:t>
      </w:r>
      <m:oMath>
        <m:sSub>
          <m:e>
            <m:r>
              <m:t>s</m:t>
            </m:r>
          </m:e>
          <m:sub>
            <m:r>
              <m:t>i</m:t>
            </m:r>
          </m:sub>
        </m:sSub>
        <m:r>
          <m:rPr>
            <m:sty m:val="p"/>
          </m:rPr>
          <m:t>≥</m:t>
        </m:r>
        <m:r>
          <m:t>0</m:t>
        </m:r>
      </m:oMath>
      <w:r>
        <w:t xml:space="preserve">.</w:t>
      </w:r>
    </w:p>
    <w:p>
      <w:pPr>
        <w:pStyle w:val="BodyText"/>
      </w:pPr>
      <w:r>
        <w:t xml:space="preserve">Each source is queried at most once during an investigation. An edge is charged when first activated and remains available until the investigation ends.</w:t>
      </w:r>
    </w:p>
    <w:p>
      <w:pPr>
        <w:pStyle w:val="BodyText"/>
        <w:keepNext/>
      </w:pPr>
      <w:r>
        <w:t xml:space="preserve">For</w:t>
      </w:r>
      <w:r>
        <w:t xml:space="preserve"> </w:t>
      </w:r>
      <m:oMath>
        <m:r>
          <m:t>S</m:t>
        </m:r>
        <m:r>
          <m:rPr>
            <m:sty m:val="p"/>
          </m:rPr>
          <m:t>⊆</m:t>
        </m:r>
        <m:r>
          <m:t>N</m:t>
        </m:r>
      </m:oMath>
      <w:r>
        <w:t xml:space="preserve">, define</w:t>
      </w:r>
    </w:p>
    <w:p>
      <w:pPr>
        <w:pStyle w:val="Equation"/>
        <w:tabs>
          <w:tab w:pos="4680" w:val="center"/>
          <w:tab w:pos="9792" w:val="right"/>
        </w:tabs>
        <w:jc w:val="left"/>
      </w:pPr>
      <w:r>
        <w:tab/>
      </w:r>
      <m:oMath>
        <m:r>
          <m:t>F</m:t>
        </m:r>
        <m:d>
          <m:dPr>
            <m:begChr m:val="("/>
            <m:endChr m:val=")"/>
            <m:sepChr m:val=""/>
            <m:grow/>
          </m:dPr>
          <m:e>
            <m:r>
              <m:t>S</m:t>
            </m:r>
          </m:e>
        </m:d>
        <m:r>
          <m:rPr>
            <m:sty m:val="p"/>
          </m:rPr>
          <m:t>=</m:t>
        </m:r>
        <m:nary>
          <m:naryPr>
            <m:chr m:val="∑"/>
            <m:limLoc m:val="undOvr"/>
            <m:subHide m:val="off"/>
            <m:supHide m:val="on"/>
          </m:naryPr>
          <m:sub>
            <m:r>
              <m:t>e</m:t>
            </m:r>
            <m:r>
              <m:rPr>
                <m:sty m:val="p"/>
              </m:rPr>
              <m:t>∈</m:t>
            </m:r>
            <m:limLow>
              <m:e>
                <m:r>
                  <m:rPr>
                    <m:sty m:val="p"/>
                  </m:rPr>
                  <m:t>⋃</m:t>
                </m:r>
              </m:e>
              <m:lim>
                <m:r>
                  <m:t>i</m:t>
                </m:r>
                <m:r>
                  <m:rPr>
                    <m:sty m:val="p"/>
                  </m:rPr>
                  <m:t>∈</m:t>
                </m:r>
                <m:r>
                  <m:t>S</m:t>
                </m:r>
              </m:lim>
            </m:limLow>
            <m:sSub>
              <m:e>
                <m:r>
                  <m:t>P</m:t>
                </m:r>
              </m:e>
              <m:sub>
                <m:r>
                  <m:t>i</m:t>
                </m:r>
              </m:sub>
            </m:sSub>
          </m:sub>
          <m:sup>
            <m:r>
              <m:t>​</m:t>
            </m:r>
          </m:sup>
          <m:e>
            <m:sSub>
              <m:e>
                <m:r>
                  <m:t>a</m:t>
                </m:r>
              </m:e>
              <m:sub>
                <m:r>
                  <m:t>e</m:t>
                </m:r>
              </m:sub>
            </m:sSub>
          </m:e>
        </m:nary>
        <m:r>
          <m:rPr>
            <m:sty m:val="p"/>
          </m:rPr>
          <m:t>+</m:t>
        </m:r>
        <m:nary>
          <m:naryPr>
            <m:chr m:val="∑"/>
            <m:limLoc m:val="undOvr"/>
            <m:subHide m:val="off"/>
            <m:supHide m:val="on"/>
          </m:naryPr>
          <m:sub>
            <m:r>
              <m:t>i</m:t>
            </m:r>
            <m:r>
              <m:rPr>
                <m:sty m:val="p"/>
              </m:rPr>
              <m:t>∈</m:t>
            </m:r>
            <m:r>
              <m:t>S</m:t>
            </m:r>
          </m:sub>
          <m:sup>
            <m:r>
              <m:t>​</m:t>
            </m:r>
          </m:sup>
          <m:e>
            <m:sSub>
              <m:e>
                <m:r>
                  <m:t>s</m:t>
                </m:r>
              </m:e>
              <m:sub>
                <m:r>
                  <m:t>i</m:t>
                </m:r>
              </m:sub>
            </m:sSub>
          </m:e>
        </m:nary>
        <m:r>
          <m:rPr>
            <m:sty m:val="p"/>
          </m:rPr>
          <m:t>,</m:t>
        </m:r>
        <m:r>
          <m:t>  </m:t>
        </m:r>
        <m:r>
          <m:t>F</m:t>
        </m:r>
        <m:d>
          <m:dPr>
            <m:begChr m:val="("/>
            <m:endChr m:val=")"/>
            <m:sepChr m:val=""/>
            <m:grow/>
          </m:dPr>
          <m:e>
            <m:r>
              <m:rPr>
                <m:sty m:val="p"/>
              </m:rPr>
              <m:t>⌀</m:t>
            </m:r>
          </m:e>
        </m:d>
        <m:r>
          <m:rPr>
            <m:sty m:val="p"/>
          </m:rPr>
          <m:t>=</m:t>
        </m:r>
        <m:r>
          <m:t>0</m:t>
        </m:r>
        <m:r>
          <m:rPr>
            <m:sty m:val="p"/>
          </m:rPr>
          <m:t>.</m:t>
        </m:r>
      </m:oMath>
      <w:r>
        <w:tab/>
        <w:t>(1)</w:t>
      </w:r>
    </w:p>
    <w:p>
      <w:pPr>
        <w:pStyle w:val="BodyText"/>
      </w:pPr>
      <w:r>
        <w:t xml:space="preserve">This is a nonnegative, monotone weighted-coverage function. Service costs can be absorbed into private pendant edges of lengths</w:t>
      </w:r>
      <w:r>
        <w:t xml:space="preserve"> </w:t>
      </w:r>
      <m:oMath>
        <m:sSub>
          <m:e>
            <m:r>
              <m:t>s</m:t>
            </m:r>
          </m:e>
          <m:sub>
            <m:r>
              <m:t>i</m:t>
            </m:r>
          </m:sub>
        </m:sSub>
      </m:oMath>
      <w:r>
        <w:t xml:space="preserve">, placing each source label at the new endpoint. Thus all costs may be represented by root-path lengths, allowing zero-length edges.</w:t>
      </w:r>
    </w:p>
    <w:p>
      <w:pPr>
        <w:pStyle w:val="BodyText"/>
        <w:keepNext/>
      </w:pPr>
      <w:r>
        <w:t xml:space="preserve">Write</w:t>
      </w:r>
    </w:p>
    <w:p>
      <w:pPr>
        <w:pStyle w:val="Equation"/>
        <w:tabs>
          <w:tab w:pos="4680" w:val="center"/>
          <w:tab w:pos="9792" w:val="right"/>
        </w:tabs>
        <w:jc w:val="left"/>
      </w:pPr>
      <w:r>
        <w:tab/>
      </w:r>
      <m:oMath>
        <m:sSub>
          <m:e>
            <m:r>
              <m:t>c</m:t>
            </m:r>
          </m:e>
          <m:sub>
            <m:r>
              <m:t>i</m:t>
            </m:r>
          </m:sub>
        </m:sSub>
        <m:r>
          <m:rPr>
            <m:sty m:val="p"/>
          </m:rPr>
          <m:t>=</m:t>
        </m:r>
        <m:r>
          <m:t>F</m:t>
        </m:r>
        <m:d>
          <m:dPr>
            <m:begChr m:val="("/>
            <m:endChr m:val=")"/>
            <m:sepChr m:val=""/>
            <m:grow/>
          </m:dPr>
          <m:e>
            <m:r>
              <m:rPr>
                <m:sty m:val="p"/>
              </m:rPr>
              <m:t>{</m:t>
            </m:r>
            <m:r>
              <m:t>i</m:t>
            </m:r>
            <m:r>
              <m:rPr>
                <m:sty m:val="p"/>
              </m:rPr>
              <m:t>}</m:t>
            </m:r>
          </m:e>
        </m:d>
        <m:r>
          <m:rPr>
            <m:sty m:val="p"/>
          </m:rPr>
          <m:t>,</m:t>
        </m:r>
        <m:r>
          <m:t>  </m:t>
        </m:r>
        <m:sSub>
          <m:e>
            <m:r>
              <m:t>c</m:t>
            </m:r>
          </m:e>
          <m:sub>
            <m:r>
              <m:t>i</m:t>
            </m:r>
            <m:r>
              <m:t>j</m:t>
            </m:r>
          </m:sub>
        </m:sSub>
        <m:r>
          <m:rPr>
            <m:sty m:val="p"/>
          </m:rPr>
          <m:t>=</m:t>
        </m:r>
        <m:r>
          <m:t>F</m:t>
        </m:r>
        <m:d>
          <m:dPr>
            <m:begChr m:val="("/>
            <m:endChr m:val=")"/>
            <m:sepChr m:val=""/>
            <m:grow/>
          </m:dPr>
          <m:e>
            <m:r>
              <m:rPr>
                <m:sty m:val="p"/>
              </m:rPr>
              <m:t>{</m:t>
            </m:r>
            <m:r>
              <m:t>i</m:t>
            </m:r>
            <m:r>
              <m:rPr>
                <m:sty m:val="p"/>
              </m:rPr>
              <m:t>,</m:t>
            </m:r>
            <m:r>
              <m:t>j</m:t>
            </m:r>
            <m:r>
              <m:rPr>
                <m:sty m:val="p"/>
              </m:rPr>
              <m:t>}</m:t>
            </m:r>
          </m:e>
        </m:d>
        <m:r>
          <m:rPr>
            <m:sty m:val="p"/>
          </m:rPr>
          <m:t>,</m:t>
        </m:r>
        <m:r>
          <m:t>  </m:t>
        </m:r>
        <m:sSub>
          <m:e>
            <m:r>
              <m:t>o</m:t>
            </m:r>
          </m:e>
          <m:sub>
            <m:r>
              <m:t>i</m:t>
            </m:r>
            <m:r>
              <m:t>j</m:t>
            </m:r>
          </m:sub>
        </m:sSub>
        <m:r>
          <m:rPr>
            <m:sty m:val="p"/>
          </m:rPr>
          <m:t>=</m:t>
        </m:r>
        <m:sSub>
          <m:e>
            <m:r>
              <m:t>c</m:t>
            </m:r>
          </m:e>
          <m:sub>
            <m:r>
              <m:t>i</m:t>
            </m:r>
          </m:sub>
        </m:sSub>
        <m:r>
          <m:rPr>
            <m:sty m:val="p"/>
          </m:rPr>
          <m:t>+</m:t>
        </m:r>
        <m:sSub>
          <m:e>
            <m:r>
              <m:t>c</m:t>
            </m:r>
          </m:e>
          <m:sub>
            <m:r>
              <m:t>j</m:t>
            </m:r>
          </m:sub>
        </m:sSub>
        <m:r>
          <m:rPr>
            <m:sty m:val="p"/>
          </m:rPr>
          <m:t>−</m:t>
        </m:r>
        <m:sSub>
          <m:e>
            <m:r>
              <m:t>c</m:t>
            </m:r>
          </m:e>
          <m:sub>
            <m:r>
              <m:t>i</m:t>
            </m:r>
            <m:r>
              <m:t>j</m:t>
            </m:r>
          </m:sub>
        </m:sSub>
        <m:r>
          <m:rPr>
            <m:sty m:val="p"/>
          </m:rPr>
          <m:t>,</m:t>
        </m:r>
        <m:r>
          <m:t> </m:t>
        </m:r>
        <m:r>
          <m:t>i</m:t>
        </m:r>
        <m:r>
          <m:rPr>
            <m:sty m:val="p"/>
          </m:rPr>
          <m:t>≠</m:t>
        </m:r>
        <m:r>
          <m:t>j</m:t>
        </m:r>
        <m:r>
          <m:rPr>
            <m:sty m:val="p"/>
          </m:rPr>
          <m:t>.</m:t>
        </m:r>
      </m:oMath>
      <w:r>
        <w:tab/>
        <w:t>(2)</w:t>
      </w:r>
    </w:p>
    <w:p>
      <w:pPr>
        <w:pStyle w:val="BodyText"/>
      </w:pPr>
      <w:r>
        <w:t xml:space="preserve">The quantity</w:t>
      </w:r>
      <w:r>
        <w:t xml:space="preserve"> </w:t>
      </w:r>
      <m:oMath>
        <m:sSub>
          <m:e>
            <m:r>
              <m:t>o</m:t>
            </m:r>
          </m:e>
          <m:sub>
            <m:r>
              <m:t>i</m:t>
            </m:r>
            <m:r>
              <m:t>j</m:t>
            </m:r>
          </m:sub>
        </m:sSub>
      </m:oMath>
      <w:r>
        <w:t xml:space="preserve"> </w:t>
      </w:r>
      <w:r>
        <w:t xml:space="preserve">is the cost of the common prefix of the two root paths. Service costs cancel from this overlap. Let</w:t>
      </w:r>
      <w:r>
        <w:t xml:space="preserve"> </w:t>
      </w:r>
      <m:oMath>
        <m:r>
          <m:rPr>
            <m:sty m:val="p"/>
          </m:rPr>
          <m:t>𝒯</m:t>
        </m:r>
        <m:d>
          <m:dPr>
            <m:begChr m:val="("/>
            <m:endChr m:val=")"/>
            <m:sepChr m:val=""/>
            <m:grow/>
          </m:dPr>
          <m:e>
            <m:r>
              <m:t>S</m:t>
            </m:r>
          </m:e>
        </m:d>
      </m:oMath>
      <w:r>
        <w:t xml:space="preserve"> </w:t>
      </w:r>
      <w:r>
        <w:t xml:space="preserve">denote the spanning trees of the complete graph on</w:t>
      </w:r>
      <w:r>
        <w:t xml:space="preserve"> </w:t>
      </w:r>
      <m:oMath>
        <m:r>
          <m:t>S</m:t>
        </m:r>
      </m:oMath>
      <w:r>
        <w:t xml:space="preserve">, when</w:t>
      </w:r>
      <w:r>
        <w:t xml:space="preserve"> </w:t>
      </w:r>
      <m:oMath>
        <m:box>
          <m:e>
            <m:r>
              <m:rPr>
                <m:sty m:val="p"/>
              </m:rPr>
              <m:t>|</m:t>
            </m:r>
            <m:r>
              <m:t>S</m:t>
            </m:r>
            <m:r>
              <m:rPr>
                <m:sty m:val="p"/>
              </m:rPr>
              <m:t>|</m:t>
            </m:r>
          </m:e>
        </m:box>
        <m:r>
          <m:rPr>
            <m:sty m:val="p"/>
          </m:rPr>
          <m:t>≥</m:t>
        </m:r>
        <m:r>
          <m:t>2</m:t>
        </m:r>
      </m:oMath>
      <w:r>
        <w:t xml:space="preserve">.</w:t>
      </w:r>
    </w:p>
    <w:p>
      <w:pPr>
        <w:pStyle w:val="BodyText"/>
      </w:pPr>
      <w:r>
        <w:t xml:space="preserve">The model describes shared activation or setup expenses. These expenses need not equal packet traffic, inference tokens, or wall-clock latency.</w:t>
      </w:r>
    </w:p>
    <w:bookmarkEnd w:id="29"/>
    <w:bookmarkStart w:id="30" w:name="compatibility-and-marginal-costs"/>
    <w:p>
      <w:pPr>
        <w:pStyle w:val="Heading2"/>
      </w:pPr>
      <w:r>
        <w:t xml:space="preserve">2.2. Compatibility and marginal costs</w:t>
      </w:r>
    </w:p>
    <w:p>
      <w:pPr>
        <w:pStyle w:val="FirstParagraph"/>
        <w:keepNext/>
        <w:spacing w:before="140" w:after="100"/>
      </w:pPr>
      <w:r>
        <w:rPr>
          <w:bCs/>
          <w:b/>
        </w:rPr>
        <w:t xml:space="preserve">Proposition 2.1 — Rooted-tree compatibility.</w:t>
      </w:r>
      <w:r>
        <w:t xml:space="preserve"> </w:t>
      </w:r>
      <w:r>
        <w:t xml:space="preserve">A singleton and pair table admits a representation of the form (1) if and only if</w:t>
      </w:r>
      <w:r>
        <w:t xml:space="preserve"> </w:t>
      </w:r>
      <m:oMath>
        <m:sSub>
          <m:e>
            <m:r>
              <m:t>c</m:t>
            </m:r>
          </m:e>
          <m:sub>
            <m:r>
              <m:t>i</m:t>
            </m:r>
          </m:sub>
        </m:sSub>
        <m:r>
          <m:rPr>
            <m:sty m:val="p"/>
          </m:rPr>
          <m:t>≥</m:t>
        </m:r>
        <m:r>
          <m:t>0</m:t>
        </m:r>
      </m:oMath>
      <w:r>
        <w:t xml:space="preserve">, the overlaps are symmetric, and</w:t>
      </w:r>
    </w:p>
    <w:p>
      <w:pPr>
        <w:pStyle w:val="Equation"/>
        <w:tabs>
          <w:tab w:pos="4680" w:val="center"/>
          <w:tab w:pos="9792" w:val="right"/>
        </w:tabs>
        <w:jc w:val="left"/>
      </w:pPr>
      <w:r>
        <w:tab/>
      </w:r>
      <m:oMath>
        <m:r>
          <m:t>0</m:t>
        </m:r>
        <m:r>
          <m:rPr>
            <m:sty m:val="p"/>
          </m:rPr>
          <m:t>≤</m:t>
        </m:r>
        <m:sSub>
          <m:e>
            <m:r>
              <m:t>o</m:t>
            </m:r>
          </m:e>
          <m:sub>
            <m:r>
              <m:t>i</m:t>
            </m:r>
            <m:r>
              <m:t>j</m:t>
            </m:r>
          </m:sub>
        </m:sSub>
        <m:r>
          <m:rPr>
            <m:sty m:val="p"/>
          </m:rPr>
          <m:t>≤</m:t>
        </m:r>
        <m:r>
          <m:rPr>
            <m:sty m:val="p"/>
            <m:nor/>
          </m:rPr>
          <m:t>min</m:t>
        </m:r>
        <m:d>
          <m:dPr>
            <m:begChr m:val="("/>
            <m:endChr m:val=")"/>
            <m:sepChr m:val=""/>
            <m:grow/>
          </m:dPr>
          <m:e>
            <m:sSub>
              <m:e>
                <m:r>
                  <m:t>c</m:t>
                </m:r>
              </m:e>
              <m:sub>
                <m:r>
                  <m:t>i</m:t>
                </m:r>
              </m:sub>
            </m:sSub>
            <m:r>
              <m:rPr>
                <m:sty m:val="p"/>
              </m:rPr>
              <m:t>,</m:t>
            </m:r>
            <m:sSub>
              <m:e>
                <m:r>
                  <m:t>c</m:t>
                </m:r>
              </m:e>
              <m:sub>
                <m:r>
                  <m:t>j</m:t>
                </m:r>
              </m:sub>
            </m:sSub>
          </m:e>
        </m:d>
        <m:r>
          <m:rPr>
            <m:sty m:val="p"/>
          </m:rPr>
          <m:t>,</m:t>
        </m:r>
        <m:r>
          <m:t>  </m:t>
        </m:r>
        <m:sSub>
          <m:e>
            <m:r>
              <m:t>o</m:t>
            </m:r>
          </m:e>
          <m:sub>
            <m:r>
              <m:t>i</m:t>
            </m:r>
            <m:r>
              <m:t>j</m:t>
            </m:r>
          </m:sub>
        </m:sSub>
        <m:r>
          <m:rPr>
            <m:sty m:val="p"/>
          </m:rPr>
          <m:t>≥</m:t>
        </m:r>
        <m:r>
          <m:rPr>
            <m:sty m:val="p"/>
            <m:nor/>
          </m:rPr>
          <m:t>min</m:t>
        </m:r>
        <m:d>
          <m:dPr>
            <m:begChr m:val="("/>
            <m:endChr m:val=")"/>
            <m:sepChr m:val=""/>
            <m:grow/>
          </m:dPr>
          <m:e>
            <m:sSub>
              <m:e>
                <m:r>
                  <m:t>o</m:t>
                </m:r>
              </m:e>
              <m:sub>
                <m:r>
                  <m:t>i</m:t>
                </m:r>
                <m:r>
                  <m:t>k</m:t>
                </m:r>
              </m:sub>
            </m:sSub>
            <m:r>
              <m:rPr>
                <m:sty m:val="p"/>
              </m:rPr>
              <m:t>,</m:t>
            </m:r>
            <m:sSub>
              <m:e>
                <m:r>
                  <m:t>o</m:t>
                </m:r>
              </m:e>
              <m:sub>
                <m:r>
                  <m:t>j</m:t>
                </m:r>
                <m:r>
                  <m:t>k</m:t>
                </m:r>
              </m:sub>
            </m:sSub>
          </m:e>
        </m:d>
      </m:oMath>
      <w:r>
        <w:tab/>
        <w:t>(3)</w:t>
      </w:r>
    </w:p>
    <w:p>
      <w:pPr>
        <w:pStyle w:val="BodyText"/>
        <w:keepNext/>
      </w:pPr>
      <w:r>
        <w:t xml:space="preserve">for distinct relevant indices. Under these conditions,</w:t>
      </w:r>
    </w:p>
    <w:p>
      <w:pPr>
        <w:pStyle w:val="Equation"/>
        <w:tabs>
          <w:tab w:pos="4680" w:val="center"/>
          <w:tab w:pos="9792" w:val="right"/>
        </w:tabs>
        <w:jc w:val="left"/>
      </w:pPr>
      <w:r>
        <w:tab/>
      </w:r>
      <m:oMath>
        <m:r>
          <m:t>F</m:t>
        </m:r>
        <m:d>
          <m:dPr>
            <m:begChr m:val="("/>
            <m:endChr m:val=")"/>
            <m:sepChr m:val=""/>
            <m:grow/>
          </m:dPr>
          <m:e>
            <m:r>
              <m:t>A</m:t>
            </m:r>
            <m:r>
              <m:rPr>
                <m:sty m:val="p"/>
              </m:rPr>
              <m:t>∪</m:t>
            </m:r>
            <m:r>
              <m:rPr>
                <m:sty m:val="p"/>
              </m:rPr>
              <m:t>{</m:t>
            </m:r>
            <m:r>
              <m:t>j</m:t>
            </m:r>
            <m:r>
              <m:rPr>
                <m:sty m:val="p"/>
              </m:rPr>
              <m:t>}</m:t>
            </m:r>
          </m:e>
        </m:d>
        <m:r>
          <m:rPr>
            <m:sty m:val="p"/>
          </m:rPr>
          <m:t>−</m:t>
        </m:r>
        <m:r>
          <m:t>F</m:t>
        </m:r>
        <m:d>
          <m:dPr>
            <m:begChr m:val="("/>
            <m:endChr m:val=")"/>
            <m:sepChr m:val=""/>
            <m:grow/>
          </m:dPr>
          <m:e>
            <m:r>
              <m:t>A</m:t>
            </m:r>
          </m:e>
        </m:d>
        <m:r>
          <m:rPr>
            <m:sty m:val="p"/>
          </m:rPr>
          <m:t>=</m:t>
        </m:r>
        <m:sSub>
          <m:e>
            <m:r>
              <m:t>c</m:t>
            </m:r>
          </m:e>
          <m:sub>
            <m:r>
              <m:t>j</m:t>
            </m:r>
          </m:sub>
        </m:sSub>
        <m:r>
          <m:rPr>
            <m:sty m:val="p"/>
          </m:rPr>
          <m:t>−</m:t>
        </m:r>
        <m:limLow>
          <m:e>
            <m:r>
              <m:rPr>
                <m:sty m:val="p"/>
                <m:nor/>
              </m:rPr>
              <m:t>max</m:t>
            </m:r>
          </m:e>
          <m:lim>
            <m:r>
              <m:t>i</m:t>
            </m:r>
            <m:r>
              <m:rPr>
                <m:sty m:val="p"/>
              </m:rPr>
              <m:t>∈</m:t>
            </m:r>
            <m:r>
              <m:t>A</m:t>
            </m:r>
          </m:lim>
        </m:limLow>
        <m:sSub>
          <m:e>
            <m:r>
              <m:t>o</m:t>
            </m:r>
          </m:e>
          <m:sub>
            <m:r>
              <m:t>i</m:t>
            </m:r>
            <m:r>
              <m:t>j</m:t>
            </m:r>
          </m:sub>
        </m:sSub>
        <m:r>
          <m:rPr>
            <m:sty m:val="p"/>
          </m:rPr>
          <m:t>,</m:t>
        </m:r>
        <m:r>
          <m:t>  </m:t>
        </m:r>
        <m:r>
          <m:t>j</m:t>
        </m:r>
        <m:r>
          <m:rPr>
            <m:sty m:val="p"/>
          </m:rPr>
          <m:t>∉</m:t>
        </m:r>
        <m:r>
          <m:t>A</m:t>
        </m:r>
        <m:r>
          <m:rPr>
            <m:sty m:val="p"/>
          </m:rPr>
          <m:t>,</m:t>
        </m:r>
      </m:oMath>
      <w:r>
        <w:tab/>
        <w:t>(4)</w:t>
      </w:r>
    </w:p>
    <w:p>
      <w:pPr>
        <w:pStyle w:val="BodyText"/>
      </w:pPr>
      <w:r>
        <w:t xml:space="preserve">where the maximum over the empty set is zero.</w:t>
      </w:r>
    </w:p>
    <w:p>
      <w:pPr>
        <w:pStyle w:val="BodyText"/>
      </w:pPr>
      <w:r>
        <w:rPr>
          <w:iCs/>
          <w:i/>
        </w:rPr>
        <w:t xml:space="preserve">Proof.</w:t>
      </w:r>
      <w:r>
        <w:t xml:space="preserve"> </w:t>
      </w:r>
      <w:r>
        <w:t xml:space="preserve">In a rooted tree, intersections of root paths are common prefixes. Their lengths give the bounds in (3). If the paths to</w:t>
      </w:r>
      <w:r>
        <w:t xml:space="preserve"> </w:t>
      </w:r>
      <m:oMath>
        <m:r>
          <m:t>i</m:t>
        </m:r>
      </m:oMath>
      <w:r>
        <w:t xml:space="preserve"> </w:t>
      </w:r>
      <w:r>
        <w:t xml:space="preserve">and</w:t>
      </w:r>
      <w:r>
        <w:t xml:space="preserve"> </w:t>
      </w:r>
      <m:oMath>
        <m:r>
          <m:t>k</m:t>
        </m:r>
      </m:oMath>
      <w:r>
        <w:t xml:space="preserve"> </w:t>
      </w:r>
      <w:r>
        <w:t xml:space="preserve">agree to depth</w:t>
      </w:r>
      <w:r>
        <w:t xml:space="preserve"> </w:t>
      </w:r>
      <m:oMath>
        <m:r>
          <m:t>u</m:t>
        </m:r>
      </m:oMath>
      <w:r>
        <w:t xml:space="preserve">, and those to</w:t>
      </w:r>
      <w:r>
        <w:t xml:space="preserve"> </w:t>
      </w:r>
      <m:oMath>
        <m:r>
          <m:t>j</m:t>
        </m:r>
      </m:oMath>
      <w:r>
        <w:t xml:space="preserve"> </w:t>
      </w:r>
      <w:r>
        <w:t xml:space="preserve">and</w:t>
      </w:r>
      <w:r>
        <w:t xml:space="preserve"> </w:t>
      </w:r>
      <m:oMath>
        <m:r>
          <m:t>k</m:t>
        </m:r>
      </m:oMath>
      <w:r>
        <w:t xml:space="preserve"> </w:t>
      </w:r>
      <w:r>
        <w:t xml:space="preserve">agree to depth</w:t>
      </w:r>
      <w:r>
        <w:t xml:space="preserve"> </w:t>
      </w:r>
      <m:oMath>
        <m:r>
          <m:t>v</m:t>
        </m:r>
      </m:oMath>
      <w:r>
        <w:t xml:space="preserve">, the paths to</w:t>
      </w:r>
      <w:r>
        <w:t xml:space="preserve"> </w:t>
      </w:r>
      <m:oMath>
        <m:r>
          <m:t>i</m:t>
        </m:r>
      </m:oMath>
      <w:r>
        <w:t xml:space="preserve"> </w:t>
      </w:r>
      <w:r>
        <w:t xml:space="preserve">and</w:t>
      </w:r>
      <w:r>
        <w:t xml:space="preserve"> </w:t>
      </w:r>
      <m:oMath>
        <m:r>
          <m:t>j</m:t>
        </m:r>
      </m:oMath>
      <w:r>
        <w:t xml:space="preserve"> </w:t>
      </w:r>
      <w:r>
        <w:t xml:space="preserve">agree to depth at least</w:t>
      </w:r>
      <w:r>
        <w:t xml:space="preserve"> </w:t>
      </w:r>
      <m:oMath>
        <m:r>
          <m:rPr>
            <m:sty m:val="p"/>
            <m:nor/>
          </m:rPr>
          <m:t>min</m:t>
        </m:r>
        <m:d>
          <m:dPr>
            <m:begChr m:val="("/>
            <m:endChr m:val=")"/>
            <m:sepChr m:val=""/>
            <m:grow/>
          </m:dPr>
          <m:e>
            <m:r>
              <m:t>u</m:t>
            </m:r>
            <m:r>
              <m:rPr>
                <m:sty m:val="p"/>
              </m:rPr>
              <m:t>,</m:t>
            </m:r>
            <m:r>
              <m:t>v</m:t>
            </m:r>
          </m:e>
        </m:d>
      </m:oMath>
      <w:r>
        <w:t xml:space="preserve">. This proves the last inequality.</w:t>
      </w:r>
    </w:p>
    <w:p>
      <w:pPr>
        <w:pStyle w:val="BodyText"/>
      </w:pPr>
      <w:r>
        <w:t xml:space="preserve">Conversely, at height</w:t>
      </w:r>
      <w:r>
        <w:t xml:space="preserve"> </w:t>
      </w:r>
      <m:oMath>
        <m:r>
          <m:t>t</m:t>
        </m:r>
        <m:r>
          <m:rPr>
            <m:sty m:val="p"/>
          </m:rPr>
          <m:t>≥</m:t>
        </m:r>
        <m:r>
          <m:t>0</m:t>
        </m:r>
      </m:oMath>
      <w:r>
        <w:t xml:space="preserve">, group distinct labels satisfying</w:t>
      </w:r>
      <w:r>
        <w:t xml:space="preserve"> </w:t>
      </w:r>
      <m:oMath>
        <m:sSub>
          <m:e>
            <m:r>
              <m:t>o</m:t>
            </m:r>
          </m:e>
          <m:sub>
            <m:r>
              <m:t>i</m:t>
            </m:r>
            <m:r>
              <m:t>j</m:t>
            </m:r>
          </m:sub>
        </m:sSub>
        <m:r>
          <m:rPr>
            <m:sty m:val="p"/>
          </m:rPr>
          <m:t>≥</m:t>
        </m:r>
        <m:r>
          <m:t>t</m:t>
        </m:r>
      </m:oMath>
      <w:r>
        <w:t xml:space="preserve">, retaining each label as equivalent to itself. The last inequality in (3) makes these groups equivalence classes. As</w:t>
      </w:r>
      <w:r>
        <w:t xml:space="preserve"> </w:t>
      </w:r>
      <m:oMath>
        <m:r>
          <m:t>t</m:t>
        </m:r>
      </m:oMath>
      <w:r>
        <w:t xml:space="preserve"> </w:t>
      </w:r>
      <w:r>
        <w:t xml:space="preserve">increases, the classes refine and form a hierarchy.</w:t>
      </w:r>
    </w:p>
    <w:p>
      <w:pPr>
        <w:pStyle w:val="BodyText"/>
      </w:pPr>
      <w:r>
        <w:t xml:space="preserve">Realize this hierarchy as a rooted tree whose branching depths are the distinct overlap values, with root depth zero. Place label</w:t>
      </w:r>
      <w:r>
        <w:t xml:space="preserve"> </w:t>
      </w:r>
      <m:oMath>
        <m:r>
          <m:t>i</m:t>
        </m:r>
      </m:oMath>
      <w:r>
        <w:t xml:space="preserve"> </w:t>
      </w:r>
      <w:r>
        <w:t xml:space="preserve">at depth</w:t>
      </w:r>
      <w:r>
        <w:t xml:space="preserve"> </w:t>
      </w:r>
      <m:oMath>
        <m:sSub>
          <m:e>
            <m:r>
              <m:t>c</m:t>
            </m:r>
          </m:e>
          <m:sub>
            <m:r>
              <m:t>i</m:t>
            </m:r>
          </m:sub>
        </m:sSub>
      </m:oMath>
      <w:r>
        <w:t xml:space="preserve">. Every nontrivial class containing</w:t>
      </w:r>
      <w:r>
        <w:t xml:space="preserve"> </w:t>
      </w:r>
      <m:oMath>
        <m:r>
          <m:t>i</m:t>
        </m:r>
      </m:oMath>
      <w:r>
        <w:t xml:space="preserve"> </w:t>
      </w:r>
      <w:r>
        <w:t xml:space="preserve">occurs at depth at most</w:t>
      </w:r>
      <w:r>
        <w:t xml:space="preserve"> </w:t>
      </w:r>
      <m:oMath>
        <m:sSub>
          <m:e>
            <m:r>
              <m:t>c</m:t>
            </m:r>
          </m:e>
          <m:sub>
            <m:r>
              <m:t>i</m:t>
            </m:r>
          </m:sub>
        </m:sSub>
      </m:oMath>
      <w:r>
        <w:t xml:space="preserve">, so all edge lengths are nonnegative. Zero-length edges accommodate tied depths. The resulting common-prefix depths are exactly</w:t>
      </w:r>
      <w:r>
        <w:t xml:space="preserve"> </w:t>
      </w:r>
      <m:oMath>
        <m:sSub>
          <m:e>
            <m:r>
              <m:t>o</m:t>
            </m:r>
          </m:e>
          <m:sub>
            <m:r>
              <m:t>i</m:t>
            </m:r>
            <m:r>
              <m:t>j</m:t>
            </m:r>
          </m:sub>
        </m:sSub>
      </m:oMath>
      <w:r>
        <w:t xml:space="preserve">, giving the prescribed individual and pair costs.</w:t>
      </w:r>
    </w:p>
    <w:p>
      <w:pPr>
        <w:pStyle w:val="BodyText"/>
      </w:pPr>
      <w:r>
        <w:t xml:space="preserve">Finally, the intersection of</w:t>
      </w:r>
      <w:r>
        <w:t xml:space="preserve"> </w:t>
      </w:r>
      <m:oMath>
        <m:sSub>
          <m:e>
            <m:r>
              <m:t>P</m:t>
            </m:r>
          </m:e>
          <m:sub>
            <m:r>
              <m:t>j</m:t>
            </m:r>
          </m:sub>
        </m:sSub>
      </m:oMath>
      <w:r>
        <w:t xml:space="preserve"> </w:t>
      </w:r>
      <w:r>
        <w:t xml:space="preserve">with the union of previously activated paths is its longest common prefix with those paths. Subtracting this already-paid length from</w:t>
      </w:r>
      <w:r>
        <w:t xml:space="preserve"> </w:t>
      </w:r>
      <m:oMath>
        <m:sSub>
          <m:e>
            <m:r>
              <m:t>c</m:t>
            </m:r>
          </m:e>
          <m:sub>
            <m:r>
              <m:t>j</m:t>
            </m:r>
          </m:sub>
        </m:sSub>
      </m:oMath>
      <w:r>
        <w:t xml:space="preserve"> </w:t>
      </w:r>
      <w:r>
        <w:t xml:space="preserve">proves (4).</w:t>
      </w:r>
      <w:r>
        <w:t xml:space="preserve"> </w:t>
      </w:r>
      <m:oMath>
        <m:r>
          <m:rPr>
            <m:sty m:val="p"/>
          </m:rPr>
          <m:t>▫</m:t>
        </m:r>
      </m:oMath>
    </w:p>
    <w:p>
      <w:pPr>
        <w:pStyle w:val="BodyText"/>
      </w:pPr>
      <w:r>
        <w:t xml:space="preserve">This construction uses the established correspondence between hierarchical similarities and rooted trees [1,5]. It identifies the set-cost function. A physical subdivision of edges, or a separate decomposition into service and communication expenses, need not be identifiable.</w:t>
      </w:r>
    </w:p>
    <w:bookmarkEnd w:id="30"/>
    <w:bookmarkStart w:id="31" w:name="reconstruction-from-pairs"/>
    <w:p>
      <w:pPr>
        <w:pStyle w:val="Heading2"/>
      </w:pPr>
      <w:r>
        <w:t xml:space="preserve">2.3. Reconstruction from pairs</w:t>
      </w:r>
    </w:p>
    <w:p>
      <w:pPr>
        <w:pStyle w:val="FirstParagraph"/>
        <w:keepNext/>
        <w:spacing w:before="140" w:after="100"/>
      </w:pPr>
      <w:r>
        <w:rPr>
          <w:bCs/>
          <w:b/>
        </w:rPr>
        <w:t xml:space="preserve">Proposition 2.2 — Spanning-tree reconstruction.</w:t>
      </w:r>
      <w:r>
        <w:t xml:space="preserve"> </w:t>
      </w:r>
      <w:r>
        <w:t xml:space="preserve">For every</w:t>
      </w:r>
      <w:r>
        <w:t xml:space="preserve"> </w:t>
      </w:r>
      <m:oMath>
        <m:r>
          <m:t>S</m:t>
        </m:r>
        <m:r>
          <m:rPr>
            <m:sty m:val="p"/>
          </m:rPr>
          <m:t>⊆</m:t>
        </m:r>
        <m:r>
          <m:t>N</m:t>
        </m:r>
      </m:oMath>
      <w:r>
        <w:t xml:space="preserve"> </w:t>
      </w:r>
      <w:r>
        <w:t xml:space="preserve">with</w:t>
      </w:r>
      <w:r>
        <w:t xml:space="preserve"> </w:t>
      </w:r>
      <m:oMath>
        <m:r>
          <m:t>m</m:t>
        </m:r>
        <m:r>
          <m:rPr>
            <m:sty m:val="p"/>
          </m:rPr>
          <m:t>=</m:t>
        </m:r>
        <m:box>
          <m:e>
            <m:r>
              <m:rPr>
                <m:sty m:val="p"/>
              </m:rPr>
              <m:t>|</m:t>
            </m:r>
            <m:r>
              <m:t>S</m:t>
            </m:r>
            <m:r>
              <m:rPr>
                <m:sty m:val="p"/>
              </m:rPr>
              <m:t>|</m:t>
            </m:r>
          </m:e>
        </m:box>
        <m:r>
          <m:rPr>
            <m:sty m:val="p"/>
          </m:rPr>
          <m:t>≥</m:t>
        </m:r>
        <m:r>
          <m:t>2</m:t>
        </m:r>
      </m:oMath>
      <w:r>
        <w:t xml:space="preserve">,</w:t>
      </w:r>
    </w:p>
    <w:p>
      <w:pPr>
        <w:pStyle w:val="Equation"/>
        <w:tabs>
          <w:tab w:pos="4680" w:val="center"/>
          <w:tab w:pos="9792" w:val="right"/>
        </w:tabs>
        <w:jc w:val="left"/>
      </w:pPr>
      <w:r>
        <w:tab/>
      </w:r>
      <m:oMath>
        <m:r>
          <m:t>F</m:t>
        </m:r>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sSub>
              <m:e>
                <m:r>
                  <m:t>c</m:t>
                </m:r>
              </m:e>
              <m:sub>
                <m:r>
                  <m:t>i</m:t>
                </m:r>
              </m:sub>
            </m:sSub>
          </m:e>
        </m:nary>
        <m:r>
          <m:rPr>
            <m:sty m:val="p"/>
          </m:rPr>
          <m:t>−</m:t>
        </m:r>
        <m:limLow>
          <m:e>
            <m:r>
              <m:rPr>
                <m:sty m:val="p"/>
                <m:nor/>
              </m:rPr>
              <m:t>max</m:t>
            </m:r>
          </m:e>
          <m:lim>
            <m:r>
              <m:t>M</m:t>
            </m:r>
            <m:r>
              <m:rPr>
                <m:sty m:val="p"/>
              </m:rPr>
              <m:t>∈</m:t>
            </m:r>
            <m:r>
              <m:rPr>
                <m:sty m:val="p"/>
              </m:rPr>
              <m:t>𝒯</m:t>
            </m:r>
            <m:d>
              <m:dPr>
                <m:begChr m:val="("/>
                <m:endChr m:val=")"/>
                <m:sepChr m:val=""/>
                <m:grow/>
              </m:dPr>
              <m:e>
                <m:r>
                  <m:t>S</m:t>
                </m:r>
              </m:e>
            </m:d>
          </m:lim>
        </m:limLow>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o</m:t>
                </m:r>
              </m:e>
              <m:sub>
                <m:r>
                  <m:t>i</m:t>
                </m:r>
                <m:r>
                  <m:t>j</m:t>
                </m:r>
              </m:sub>
            </m:sSub>
          </m:e>
        </m:nary>
        <m:r>
          <m:rPr>
            <m:sty m:val="p"/>
          </m:rPr>
          <m:t>.</m:t>
        </m:r>
      </m:oMath>
      <w:r>
        <w:tab/>
        <w:t>(5)</w:t>
      </w:r>
    </w:p>
    <w:p>
      <w:pPr>
        <w:pStyle w:val="BodyText"/>
        <w:keepNext/>
      </w:pPr>
      <w:r>
        <w:t xml:space="preserve">Equivalently,</w:t>
      </w:r>
    </w:p>
    <w:p>
      <w:pPr>
        <w:pStyle w:val="Equation"/>
        <w:tabs>
          <w:tab w:pos="4680" w:val="center"/>
          <w:tab w:pos="9792" w:val="right"/>
        </w:tabs>
        <w:jc w:val="left"/>
      </w:pPr>
      <w:r>
        <w:tab/>
      </w:r>
      <m:oMath>
        <m:r>
          <m:t>F</m:t>
        </m:r>
        <m:d>
          <m:dPr>
            <m:begChr m:val="("/>
            <m:endChr m:val=")"/>
            <m:sepChr m:val=""/>
            <m:grow/>
          </m:dPr>
          <m:e>
            <m:r>
              <m:t>S</m:t>
            </m:r>
          </m:e>
        </m:d>
        <m:r>
          <m:rPr>
            <m:sty m:val="p"/>
          </m:rPr>
          <m:t>=</m:t>
        </m:r>
        <m:limLow>
          <m:e>
            <m:r>
              <m:rPr>
                <m:sty m:val="p"/>
                <m:nor/>
              </m:rPr>
              <m:t>min</m:t>
            </m:r>
          </m:e>
          <m:lim>
            <m:r>
              <m:t>M</m:t>
            </m:r>
            <m:r>
              <m:rPr>
                <m:sty m:val="p"/>
              </m:rPr>
              <m:t>∈</m:t>
            </m:r>
            <m:r>
              <m:rPr>
                <m:sty m:val="p"/>
              </m:rPr>
              <m:t>𝒯</m:t>
            </m:r>
            <m:d>
              <m:dPr>
                <m:begChr m:val="("/>
                <m:endChr m:val=")"/>
                <m:sepChr m:val=""/>
                <m:grow/>
              </m:dPr>
              <m:e>
                <m:r>
                  <m:t>S</m:t>
                </m:r>
              </m:e>
            </m:d>
          </m:lim>
        </m:limLow>
        <m:box>
          <m:e>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c</m:t>
                    </m:r>
                  </m:e>
                  <m:sub>
                    <m:r>
                      <m:t>i</m:t>
                    </m:r>
                    <m:r>
                      <m:t>j</m:t>
                    </m:r>
                  </m:sub>
                </m:sSub>
              </m:e>
            </m:nary>
            <m:r>
              <m:rPr>
                <m:sty m:val="p"/>
              </m:rPr>
              <m:t>−</m:t>
            </m:r>
            <m:nary>
              <m:naryPr>
                <m:chr m:val="∑"/>
                <m:limLoc m:val="undOvr"/>
                <m:subHide m:val="off"/>
                <m:supHide m:val="on"/>
              </m:naryPr>
              <m:sub>
                <m:r>
                  <m:t>i</m:t>
                </m:r>
                <m:r>
                  <m:rPr>
                    <m:sty m:val="p"/>
                  </m:rPr>
                  <m:t>∈</m:t>
                </m:r>
                <m:r>
                  <m:t>S</m:t>
                </m:r>
              </m:sub>
              <m:sup>
                <m:r>
                  <m:t>​</m:t>
                </m:r>
              </m:sup>
              <m:e>
                <m:r>
                  <m:rPr>
                    <m:sty m:val="p"/>
                  </m:rPr>
                  <m:t>(</m:t>
                </m:r>
              </m:e>
            </m:nary>
            <m:sSub>
              <m:e>
                <m:r>
                  <m:rPr>
                    <m:sty m:val="p"/>
                    <m:nor/>
                  </m:rPr>
                  <m:t>deg</m:t>
                </m:r>
              </m:e>
              <m:sub>
                <m:r>
                  <m:t>M</m:t>
                </m:r>
              </m:sub>
            </m:sSub>
            <m:d>
              <m:dPr>
                <m:begChr m:val="("/>
                <m:endChr m:val=")"/>
                <m:sepChr m:val=""/>
                <m:grow/>
              </m:dPr>
              <m:e>
                <m:r>
                  <m:t>i</m:t>
                </m:r>
              </m:e>
            </m:d>
            <m:r>
              <m:rPr>
                <m:sty m:val="p"/>
              </m:rPr>
              <m:t>−</m:t>
            </m:r>
            <m:r>
              <m:t>1</m:t>
            </m:r>
            <m:r>
              <m:rPr>
                <m:sty m:val="p"/>
              </m:rPr>
              <m:t>)</m:t>
            </m:r>
            <m:sSub>
              <m:e>
                <m:r>
                  <m:t>c</m:t>
                </m:r>
              </m:e>
              <m:sub>
                <m:r>
                  <m:t>i</m:t>
                </m:r>
              </m:sub>
            </m:sSub>
            <m:r>
              <m:rPr>
                <m:sty m:val="p"/>
              </m:rPr>
              <m:t>]</m:t>
            </m:r>
          </m:e>
        </m:box>
        <m:r>
          <m:rPr>
            <m:sty m:val="p"/>
          </m:rPr>
          <m:t>.</m:t>
        </m:r>
      </m:oMath>
      <w:r>
        <w:tab/>
        <w:t>(6)</w:t>
      </w:r>
    </w:p>
    <w:p>
      <w:pPr>
        <w:pStyle w:val="BodyText"/>
        <w:keepNext/>
      </w:pPr>
      <w:r>
        <w:rPr>
          <w:iCs/>
          <w:i/>
        </w:rPr>
        <w:t xml:space="preserve">Proof.</w:t>
      </w:r>
      <w:r>
        <w:t xml:space="preserve"> </w:t>
      </w:r>
      <w:r>
        <w:t xml:space="preserve">Let</w:t>
      </w:r>
      <w:r>
        <w:t xml:space="preserve"> </w:t>
      </w:r>
      <m:oMath>
        <m:r>
          <m:t>W</m:t>
        </m:r>
        <m:d>
          <m:dPr>
            <m:begChr m:val="("/>
            <m:endChr m:val=")"/>
            <m:sepChr m:val=""/>
            <m:grow/>
          </m:dPr>
          <m:e>
            <m:r>
              <m:t>S</m:t>
            </m:r>
          </m:e>
        </m:d>
      </m:oMath>
      <w:r>
        <w:t xml:space="preserve"> </w:t>
      </w:r>
      <w:r>
        <w:t xml:space="preserve">be the maximum spanning-tree weight in (5). Choose a pair</w:t>
      </w:r>
      <w:r>
        <w:t xml:space="preserve"> </w:t>
      </w:r>
      <m:oMath>
        <m:r>
          <m:t>i</m:t>
        </m:r>
        <m:r>
          <m:rPr>
            <m:sty m:val="p"/>
          </m:rPr>
          <m:t>,</m:t>
        </m:r>
        <m:r>
          <m:t>j</m:t>
        </m:r>
      </m:oMath>
      <w:r>
        <w:t xml:space="preserve"> </w:t>
      </w:r>
      <w:r>
        <w:t xml:space="preserve">of maximum overlap</w:t>
      </w:r>
      <w:r>
        <w:t xml:space="preserve"> </w:t>
      </w:r>
      <m:oMath>
        <m:r>
          <m:t>h</m:t>
        </m:r>
      </m:oMath>
      <w:r>
        <w:t xml:space="preserve"> </w:t>
      </w:r>
      <w:r>
        <w:t xml:space="preserve">in</w:t>
      </w:r>
      <w:r>
        <w:t xml:space="preserve"> </w:t>
      </w:r>
      <m:oMath>
        <m:r>
          <m:t>S</m:t>
        </m:r>
      </m:oMath>
      <w:r>
        <w:t xml:space="preserve">. Equation (4) gives</w:t>
      </w:r>
    </w:p>
    <w:p>
      <w:pPr>
        <w:pStyle w:val="Equation"/>
        <w:jc w:val="center"/>
      </w:pPr>
      <m:oMathPara>
        <m:oMathParaPr>
          <m:jc m:val="center"/>
        </m:oMathParaPr>
        <m:oMath>
          <m:r>
            <m:t>F</m:t>
          </m:r>
          <m:d>
            <m:dPr>
              <m:begChr m:val="("/>
              <m:endChr m:val=")"/>
              <m:sepChr m:val=""/>
              <m:grow/>
            </m:dPr>
            <m:e>
              <m:r>
                <m:t>S</m:t>
              </m:r>
            </m:e>
          </m:d>
          <m:r>
            <m:rPr>
              <m:sty m:val="p"/>
            </m:rPr>
            <m:t>=</m:t>
          </m:r>
          <m:r>
            <m:t>F</m:t>
          </m:r>
          <m:d>
            <m:dPr>
              <m:begChr m:val="("/>
              <m:endChr m:val=")"/>
              <m:sepChr m:val=""/>
              <m:grow/>
            </m:dPr>
            <m:e>
              <m:r>
                <m:t>S</m:t>
              </m:r>
              <m:r>
                <m:rPr>
                  <m:sty m:val="p"/>
                </m:rPr>
                <m:t>∖</m:t>
              </m:r>
              <m:r>
                <m:rPr>
                  <m:sty m:val="p"/>
                </m:rPr>
                <m:t>{</m:t>
              </m:r>
              <m:r>
                <m:t>j</m:t>
              </m:r>
              <m:r>
                <m:rPr>
                  <m:sty m:val="p"/>
                </m:rPr>
                <m:t>}</m:t>
              </m:r>
            </m:e>
          </m:d>
          <m:r>
            <m:rPr>
              <m:sty m:val="p"/>
            </m:rPr>
            <m:t>+</m:t>
          </m:r>
          <m:sSub>
            <m:e>
              <m:r>
                <m:t>c</m:t>
              </m:r>
            </m:e>
            <m:sub>
              <m:r>
                <m:t>j</m:t>
              </m:r>
            </m:sub>
          </m:sSub>
          <m:r>
            <m:rPr>
              <m:sty m:val="p"/>
            </m:rPr>
            <m:t>−</m:t>
          </m:r>
          <m:r>
            <m:t>h</m:t>
          </m:r>
          <m:r>
            <m:rPr>
              <m:sty m:val="p"/>
            </m:rPr>
            <m:t>.</m:t>
          </m:r>
        </m:oMath>
      </m:oMathPara>
    </w:p>
    <w:p>
      <w:pPr>
        <w:pStyle w:val="FirstParagraph"/>
      </w:pPr>
      <w:r>
        <w:t xml:space="preserve">There is a maximum-weight spanning tree containing edge</w:t>
      </w:r>
      <w:r>
        <w:t xml:space="preserve"> </w:t>
      </w:r>
      <m:oMath>
        <m:r>
          <m:t>i</m:t>
        </m:r>
        <m:r>
          <m:t>j</m:t>
        </m:r>
      </m:oMath>
      <w:r>
        <w:t xml:space="preserve">: adding this globally maximum-weight edge to a maximum tree and removing an edge from the resulting cycle cannot decrease its weight.</w:t>
      </w:r>
    </w:p>
    <w:p>
      <w:pPr>
        <w:pStyle w:val="BodyText"/>
        <w:keepNext/>
      </w:pPr>
      <w:r>
        <w:t xml:space="preserve">Moreover, (3) implies</w:t>
      </w:r>
      <w:r>
        <w:t xml:space="preserve"> </w:t>
      </w:r>
      <m:oMath>
        <m:sSub>
          <m:e>
            <m:r>
              <m:t>o</m:t>
            </m:r>
          </m:e>
          <m:sub>
            <m:r>
              <m:t>i</m:t>
            </m:r>
            <m:r>
              <m:t>k</m:t>
            </m:r>
          </m:sub>
        </m:sSub>
        <m:r>
          <m:rPr>
            <m:sty m:val="p"/>
          </m:rPr>
          <m:t>≥</m:t>
        </m:r>
        <m:sSub>
          <m:e>
            <m:r>
              <m:t>o</m:t>
            </m:r>
          </m:e>
          <m:sub>
            <m:r>
              <m:t>j</m:t>
            </m:r>
            <m:r>
              <m:t>k</m:t>
            </m:r>
          </m:sub>
        </m:sSub>
      </m:oMath>
      <w:r>
        <w:t xml:space="preserve"> </w:t>
      </w:r>
      <w:r>
        <w:t xml:space="preserve">for every</w:t>
      </w:r>
      <w:r>
        <w:t xml:space="preserve"> </w:t>
      </w:r>
      <m:oMath>
        <m:r>
          <m:t>k</m:t>
        </m:r>
        <m:r>
          <m:rPr>
            <m:sty m:val="p"/>
          </m:rPr>
          <m:t>∉</m:t>
        </m:r>
        <m:r>
          <m:rPr>
            <m:sty m:val="p"/>
          </m:rPr>
          <m:t>{</m:t>
        </m:r>
        <m:r>
          <m:t>i</m:t>
        </m:r>
        <m:r>
          <m:rPr>
            <m:sty m:val="p"/>
          </m:rPr>
          <m:t>,</m:t>
        </m:r>
        <m:r>
          <m:t>j</m:t>
        </m:r>
        <m:r>
          <m:rPr>
            <m:sty m:val="p"/>
          </m:rPr>
          <m:t>}</m:t>
        </m:r>
      </m:oMath>
      <w:r>
        <w:t xml:space="preserve">, since</w:t>
      </w:r>
      <w:r>
        <w:t xml:space="preserve"> </w:t>
      </w:r>
      <m:oMath>
        <m:r>
          <m:t>h</m:t>
        </m:r>
        <m:r>
          <m:rPr>
            <m:sty m:val="p"/>
          </m:rPr>
          <m:t>≥</m:t>
        </m:r>
        <m:sSub>
          <m:e>
            <m:r>
              <m:t>o</m:t>
            </m:r>
          </m:e>
          <m:sub>
            <m:r>
              <m:t>j</m:t>
            </m:r>
            <m:r>
              <m:t>k</m:t>
            </m:r>
          </m:sub>
        </m:sSub>
      </m:oMath>
      <w:r>
        <w:t xml:space="preserve">. In a maximum tree containing</w:t>
      </w:r>
      <w:r>
        <w:t xml:space="preserve"> </w:t>
      </w:r>
      <m:oMath>
        <m:r>
          <m:t>i</m:t>
        </m:r>
        <m:r>
          <m:t>j</m:t>
        </m:r>
      </m:oMath>
      <w:r>
        <w:t xml:space="preserve">, replace every other edge</w:t>
      </w:r>
      <w:r>
        <w:t xml:space="preserve"> </w:t>
      </w:r>
      <m:oMath>
        <m:r>
          <m:t>j</m:t>
        </m:r>
        <m:r>
          <m:t>k</m:t>
        </m:r>
      </m:oMath>
      <w:r>
        <w:t xml:space="preserve"> </w:t>
      </w:r>
      <w:r>
        <w:t xml:space="preserve">by</w:t>
      </w:r>
      <w:r>
        <w:t xml:space="preserve"> </w:t>
      </w:r>
      <m:oMath>
        <m:r>
          <m:t>i</m:t>
        </m:r>
        <m:r>
          <m:t>k</m:t>
        </m:r>
      </m:oMath>
      <w:r>
        <w:t xml:space="preserve">. The result remains a spanning tree, its weight does not decrease, and</w:t>
      </w:r>
      <w:r>
        <w:t xml:space="preserve"> </w:t>
      </w:r>
      <m:oMath>
        <m:r>
          <m:t>j</m:t>
        </m:r>
      </m:oMath>
      <w:r>
        <w:t xml:space="preserve"> </w:t>
      </w:r>
      <w:r>
        <w:t xml:space="preserve">becomes a leaf. Its restriction to</w:t>
      </w:r>
      <w:r>
        <w:t xml:space="preserve"> </w:t>
      </w:r>
      <m:oMath>
        <m:r>
          <m:t>S</m:t>
        </m:r>
        <m:r>
          <m:rPr>
            <m:sty m:val="p"/>
          </m:rPr>
          <m:t>∖</m:t>
        </m:r>
        <m:r>
          <m:rPr>
            <m:sty m:val="p"/>
          </m:rPr>
          <m:t>{</m:t>
        </m:r>
        <m:r>
          <m:t>j</m:t>
        </m:r>
        <m:r>
          <m:rPr>
            <m:sty m:val="p"/>
          </m:rPr>
          <m:t>}</m:t>
        </m:r>
      </m:oMath>
      <w:r>
        <w:t xml:space="preserve"> </w:t>
      </w:r>
      <w:r>
        <w:t xml:space="preserve">must also be maximum. Consequently,</w:t>
      </w:r>
    </w:p>
    <w:p>
      <w:pPr>
        <w:pStyle w:val="Equation"/>
        <w:jc w:val="center"/>
      </w:pPr>
      <m:oMathPara>
        <m:oMathParaPr>
          <m:jc m:val="center"/>
        </m:oMathParaPr>
        <m:oMath>
          <m:r>
            <m:t>W</m:t>
          </m:r>
          <m:d>
            <m:dPr>
              <m:begChr m:val="("/>
              <m:endChr m:val=")"/>
              <m:sepChr m:val=""/>
              <m:grow/>
            </m:dPr>
            <m:e>
              <m:r>
                <m:t>S</m:t>
              </m:r>
            </m:e>
          </m:d>
          <m:r>
            <m:rPr>
              <m:sty m:val="p"/>
            </m:rPr>
            <m:t>=</m:t>
          </m:r>
          <m:r>
            <m:t>W</m:t>
          </m:r>
          <m:d>
            <m:dPr>
              <m:begChr m:val="("/>
              <m:endChr m:val=")"/>
              <m:sepChr m:val=""/>
              <m:grow/>
            </m:dPr>
            <m:e>
              <m:r>
                <m:t>S</m:t>
              </m:r>
              <m:r>
                <m:rPr>
                  <m:sty m:val="p"/>
                </m:rPr>
                <m:t>∖</m:t>
              </m:r>
              <m:r>
                <m:rPr>
                  <m:sty m:val="p"/>
                </m:rPr>
                <m:t>{</m:t>
              </m:r>
              <m:r>
                <m:t>j</m:t>
              </m:r>
              <m:r>
                <m:rPr>
                  <m:sty m:val="p"/>
                </m:rPr>
                <m:t>}</m:t>
              </m:r>
            </m:e>
          </m:d>
          <m:r>
            <m:rPr>
              <m:sty m:val="p"/>
            </m:rPr>
            <m:t>+</m:t>
          </m:r>
          <m:r>
            <m:t>h</m:t>
          </m:r>
          <m:r>
            <m:rPr>
              <m:sty m:val="p"/>
            </m:rPr>
            <m:t>.</m:t>
          </m:r>
        </m:oMath>
      </m:oMathPara>
    </w:p>
    <w:p>
      <w:pPr>
        <w:pStyle w:val="FirstParagraph"/>
      </w:pPr>
      <w:r>
        <w:t xml:space="preserve">Induction, beginning with a singleton of spanning-tree weight zero, proves (5). Substituting (2) and collecting singleton coefficients proves (6).</w:t>
      </w:r>
      <w:r>
        <w:t xml:space="preserve"> </w:t>
      </w:r>
      <m:oMath>
        <m:r>
          <m:rPr>
            <m:sty m:val="p"/>
          </m:rPr>
          <m:t>▫</m:t>
        </m:r>
      </m:oMath>
    </w:p>
    <w:p>
      <w:pPr>
        <w:pStyle w:val="BodyText"/>
      </w:pPr>
      <w:r>
        <w:t xml:space="preserve">The expression has the same spanning-tree structure as Hunter’s union bound [3]; rooted-path structure makes it exact. A dense maximum-spanning-tree algorithm evaluates a specified</w:t>
      </w:r>
      <w:r>
        <w:t xml:space="preserve"> </w:t>
      </w:r>
      <m:oMath>
        <m:r>
          <m:t>m</m:t>
        </m:r>
      </m:oMath>
      <w:r>
        <w:t xml:space="preserve">-source cost in</w:t>
      </w:r>
      <w:r>
        <w:t xml:space="preserve"> </w:t>
      </w:r>
      <m:oMath>
        <m:r>
          <m:t>O</m:t>
        </m:r>
        <m:d>
          <m:dPr>
            <m:begChr m:val="("/>
            <m:endChr m:val=")"/>
            <m:sepChr m:val=""/>
            <m:grow/>
          </m:dPr>
          <m:e>
            <m:sSup>
              <m:e>
                <m:r>
                  <m:t>m</m:t>
                </m:r>
              </m:e>
              <m:sup>
                <m:r>
                  <m:t>2</m:t>
                </m:r>
              </m:sup>
            </m:sSup>
          </m:e>
        </m:d>
      </m:oMath>
      <w:r>
        <w:t xml:space="preserve"> </w:t>
      </w:r>
      <w:r>
        <w:t xml:space="preserve">arithmetic operations. All subset costs are represented by</w:t>
      </w:r>
      <w:r>
        <w:t xml:space="preserve"> </w:t>
      </w:r>
      <m:oMath>
        <m:r>
          <m:t>O</m:t>
        </m:r>
        <m:d>
          <m:dPr>
            <m:begChr m:val="("/>
            <m:endChr m:val=")"/>
            <m:sepChr m:val=""/>
            <m:grow/>
          </m:dPr>
          <m:e>
            <m:sSup>
              <m:e>
                <m:r>
                  <m:t>n</m:t>
                </m:r>
              </m:e>
              <m:sup>
                <m:r>
                  <m:t>2</m:t>
                </m:r>
              </m:sup>
            </m:sSup>
          </m:e>
        </m:d>
      </m:oMath>
      <w:r>
        <w:t xml:space="preserve"> </w:t>
      </w:r>
      <w:r>
        <w:t xml:space="preserve">measurements, although explicitly listing them requires exponential space.</w:t>
      </w:r>
    </w:p>
    <w:bookmarkEnd w:id="31"/>
    <w:bookmarkEnd w:id="32"/>
    <w:bookmarkStart w:id="35" w:name="minimax-recovery-under-measurement-error"/>
    <w:p>
      <w:pPr>
        <w:pStyle w:val="Heading1"/>
      </w:pPr>
      <w:r>
        <w:t xml:space="preserve">3. Minimax recovery under measurement error</w:t>
      </w:r>
    </w:p>
    <w:p>
      <w:pPr>
        <w:pStyle w:val="FirstParagraph"/>
        <w:keepNext/>
      </w:pPr>
      <w:r>
        <w:t xml:space="preserve">Suppose measurements satisfy</w:t>
      </w:r>
    </w:p>
    <w:p>
      <w:pPr>
        <w:pStyle w:val="Equation"/>
        <w:tabs>
          <w:tab w:pos="4680" w:val="center"/>
          <w:tab w:pos="9792" w:val="right"/>
        </w:tabs>
        <w:jc w:val="left"/>
      </w:pPr>
      <w:r>
        <w:tab/>
      </w:r>
      <m:oMath>
        <m:box>
          <m:e>
            <m:r>
              <m:rPr>
                <m:sty m:val="p"/>
              </m:rPr>
              <m:t>|</m:t>
            </m:r>
            <m:sSub>
              <m:e>
                <m:acc>
                  <m:accPr>
                    <m:chr m:val="̃"/>
                  </m:accPr>
                  <m:e>
                    <m:r>
                      <m:t>c</m:t>
                    </m:r>
                  </m:e>
                </m:acc>
              </m:e>
              <m:sub>
                <m:r>
                  <m:t>i</m:t>
                </m:r>
              </m:sub>
            </m:sSub>
            <m:r>
              <m:rPr>
                <m:sty m:val="p"/>
              </m:rPr>
              <m:t>−</m:t>
            </m:r>
            <m:sSub>
              <m:e>
                <m:r>
                  <m:t>c</m:t>
                </m:r>
              </m:e>
              <m:sub>
                <m:r>
                  <m:t>i</m:t>
                </m:r>
              </m:sub>
            </m:sSub>
            <m:r>
              <m:rPr>
                <m:sty m:val="p"/>
              </m:rPr>
              <m:t>|</m:t>
            </m:r>
          </m:e>
        </m:box>
        <m:r>
          <m:rPr>
            <m:sty m:val="p"/>
          </m:rPr>
          <m:t>≤</m:t>
        </m:r>
        <m:r>
          <m:t>ε</m:t>
        </m:r>
        <m:r>
          <m:rPr>
            <m:sty m:val="p"/>
          </m:rPr>
          <m:t>,</m:t>
        </m:r>
        <m:r>
          <m:t>  </m:t>
        </m:r>
        <m:box>
          <m:e>
            <m:r>
              <m:rPr>
                <m:sty m:val="p"/>
              </m:rPr>
              <m:t>|</m:t>
            </m:r>
            <m:sSub>
              <m:e>
                <m:acc>
                  <m:accPr>
                    <m:chr m:val="̃"/>
                  </m:accPr>
                  <m:e>
                    <m:r>
                      <m:t>c</m:t>
                    </m:r>
                  </m:e>
                </m:acc>
              </m:e>
              <m:sub>
                <m:r>
                  <m:t>i</m:t>
                </m:r>
                <m:r>
                  <m:t>j</m:t>
                </m:r>
              </m:sub>
            </m:sSub>
            <m:r>
              <m:rPr>
                <m:sty m:val="p"/>
              </m:rPr>
              <m:t>−</m:t>
            </m:r>
            <m:sSub>
              <m:e>
                <m:r>
                  <m:t>c</m:t>
                </m:r>
              </m:e>
              <m:sub>
                <m:r>
                  <m:t>i</m:t>
                </m:r>
                <m:r>
                  <m:t>j</m:t>
                </m:r>
              </m:sub>
            </m:sSub>
            <m:r>
              <m:rPr>
                <m:sty m:val="p"/>
              </m:rPr>
              <m:t>|</m:t>
            </m:r>
          </m:e>
        </m:box>
        <m:r>
          <m:rPr>
            <m:sty m:val="p"/>
          </m:rPr>
          <m:t>≤</m:t>
        </m:r>
        <m:r>
          <m:t>ε</m:t>
        </m:r>
        <m:r>
          <m:rPr>
            <m:sty m:val="p"/>
          </m:rPr>
          <m:t>.</m:t>
        </m:r>
      </m:oMath>
      <w:r>
        <w:tab/>
        <w:t>(7)</w:t>
      </w:r>
    </w:p>
    <w:p>
      <w:pPr>
        <w:pStyle w:val="BodyText"/>
      </w:pPr>
      <w:r>
        <w:t xml:space="preserve">The measured table need not satisfy (3). Define</w:t>
      </w:r>
      <w:r>
        <w:t xml:space="preserve"> </w:t>
      </w:r>
      <m:oMath>
        <m:r>
          <m:t>H</m:t>
        </m:r>
        <m:d>
          <m:dPr>
            <m:begChr m:val="("/>
            <m:endChr m:val=")"/>
            <m:sepChr m:val=""/>
            <m:grow/>
          </m:dPr>
          <m:e>
            <m:r>
              <m:rPr>
                <m:sty m:val="p"/>
              </m:rPr>
              <m:t>⌀</m:t>
            </m:r>
          </m:e>
        </m:d>
        <m:r>
          <m:rPr>
            <m:sty m:val="p"/>
          </m:rPr>
          <m:t>=</m:t>
        </m:r>
        <m:r>
          <m:t>0</m:t>
        </m:r>
      </m:oMath>
      <w:r>
        <w:t xml:space="preserve">,</w:t>
      </w:r>
      <w:r>
        <w:t xml:space="preserve"> </w:t>
      </w:r>
      <m:oMath>
        <m:r>
          <m:t>H</m:t>
        </m:r>
        <m:d>
          <m:dPr>
            <m:begChr m:val="("/>
            <m:endChr m:val=")"/>
            <m:sepChr m:val=""/>
            <m:grow/>
          </m:dPr>
          <m:e>
            <m:r>
              <m:rPr>
                <m:sty m:val="p"/>
              </m:rPr>
              <m:t>{</m:t>
            </m:r>
            <m:r>
              <m:t>i</m:t>
            </m:r>
            <m:r>
              <m:rPr>
                <m:sty m:val="p"/>
              </m:rPr>
              <m:t>}</m:t>
            </m:r>
          </m:e>
        </m:d>
        <m:r>
          <m:rPr>
            <m:sty m:val="p"/>
          </m:rPr>
          <m:t>=</m:t>
        </m:r>
        <m:sSub>
          <m:e>
            <m:acc>
              <m:accPr>
                <m:chr m:val="̃"/>
              </m:accPr>
              <m:e>
                <m:r>
                  <m:t>c</m:t>
                </m:r>
              </m:e>
            </m:acc>
          </m:e>
          <m:sub>
            <m:r>
              <m:t>i</m:t>
            </m:r>
          </m:sub>
        </m:sSub>
      </m:oMath>
      <w:r>
        <w:t xml:space="preserve">, and, for</w:t>
      </w:r>
      <w:r>
        <w:t xml:space="preserve"> </w:t>
      </w:r>
      <m:oMath>
        <m:box>
          <m:e>
            <m:r>
              <m:rPr>
                <m:sty m:val="p"/>
              </m:rPr>
              <m:t>|</m:t>
            </m:r>
            <m:r>
              <m:t>S</m:t>
            </m:r>
            <m:r>
              <m:rPr>
                <m:sty m:val="p"/>
              </m:rPr>
              <m:t>|</m:t>
            </m:r>
          </m:e>
        </m:box>
        <m:r>
          <m:rPr>
            <m:sty m:val="p"/>
          </m:rPr>
          <m:t>≥</m:t>
        </m:r>
        <m:r>
          <m:t>2</m:t>
        </m:r>
      </m:oMath>
      <w:r>
        <w:t xml:space="preserve">, define</w:t>
      </w:r>
      <w:r>
        <w:t xml:space="preserve"> </w:t>
      </w:r>
      <m:oMath>
        <m:r>
          <m:t>H</m:t>
        </m:r>
        <m:d>
          <m:dPr>
            <m:begChr m:val="("/>
            <m:endChr m:val=")"/>
            <m:sepChr m:val=""/>
            <m:grow/>
          </m:dPr>
          <m:e>
            <m:r>
              <m:t>S</m:t>
            </m:r>
          </m:e>
        </m:d>
      </m:oMath>
      <w:r>
        <w:t xml:space="preserve"> </w:t>
      </w:r>
      <w:r>
        <w:t xml:space="preserve">by the right side of (6) using measured values.</w:t>
      </w:r>
    </w:p>
    <w:bookmarkStart w:id="33" w:name="exact-recovery-radius"/>
    <w:p>
      <w:pPr>
        <w:pStyle w:val="Heading2"/>
      </w:pPr>
      <w:r>
        <w:t xml:space="preserve">3.1. Exact recovery radius</w:t>
      </w:r>
    </w:p>
    <w:p>
      <w:pPr>
        <w:pStyle w:val="FirstParagraph"/>
        <w:keepNext/>
        <w:spacing w:before="140" w:after="100"/>
      </w:pPr>
      <w:r>
        <w:rPr>
          <w:bCs/>
          <w:b/>
        </w:rPr>
        <w:t xml:space="preserve">Theorem 3.1 — Sharp error bound and minimax optimality.</w:t>
      </w:r>
      <w:r>
        <w:t xml:space="preserve"> </w:t>
      </w:r>
      <w:r>
        <w:t xml:space="preserve">Set</w:t>
      </w:r>
    </w:p>
    <w:p>
      <w:pPr>
        <w:pStyle w:val="Equation"/>
        <w:jc w:val="center"/>
      </w:pPr>
      <m:oMathPara>
        <m:oMathParaPr>
          <m:jc m:val="center"/>
        </m:oMathParaPr>
        <m:oMath>
          <m:sSub>
            <m:e>
              <m:r>
                <m:t>α</m:t>
              </m:r>
            </m:e>
            <m:sub>
              <m:r>
                <m:t>0</m:t>
              </m:r>
            </m:sub>
          </m:sSub>
          <m:r>
            <m:rPr>
              <m:sty m:val="p"/>
            </m:rPr>
            <m:t>=</m:t>
          </m:r>
          <m:r>
            <m:t>0</m:t>
          </m:r>
          <m:r>
            <m:rPr>
              <m:sty m:val="p"/>
            </m:rPr>
            <m:t>,</m:t>
          </m:r>
          <m:r>
            <m:t>  </m:t>
          </m:r>
          <m:sSub>
            <m:e>
              <m:r>
                <m:t>α</m:t>
              </m:r>
            </m:e>
            <m:sub>
              <m:r>
                <m:t>1</m:t>
              </m:r>
            </m:sub>
          </m:sSub>
          <m:r>
            <m:rPr>
              <m:sty m:val="p"/>
            </m:rPr>
            <m:t>=</m:t>
          </m:r>
          <m:r>
            <m:t>1</m:t>
          </m:r>
          <m:r>
            <m:rPr>
              <m:sty m:val="p"/>
            </m:rPr>
            <m:t>,</m:t>
          </m:r>
          <m:r>
            <m:t>  </m:t>
          </m:r>
          <m:sSub>
            <m:e>
              <m:r>
                <m:t>α</m:t>
              </m:r>
            </m:e>
            <m:sub>
              <m:r>
                <m:t>m</m:t>
              </m:r>
            </m:sub>
          </m:sSub>
          <m:r>
            <m:rPr>
              <m:sty m:val="p"/>
            </m:rPr>
            <m:t>=</m:t>
          </m:r>
          <m:r>
            <m:t>2</m:t>
          </m:r>
          <m:r>
            <m:t>m</m:t>
          </m:r>
          <m:r>
            <m:rPr>
              <m:sty m:val="p"/>
            </m:rPr>
            <m:t>−</m:t>
          </m:r>
          <m:r>
            <m:t>3</m:t>
          </m:r>
          <m:r>
            <m:t> </m:t>
          </m:r>
          <m:d>
            <m:dPr>
              <m:begChr m:val="("/>
              <m:endChr m:val=")"/>
              <m:sepChr m:val=""/>
              <m:grow/>
            </m:dPr>
            <m:e>
              <m:r>
                <m:t>m</m:t>
              </m:r>
              <m:r>
                <m:rPr>
                  <m:sty m:val="p"/>
                </m:rPr>
                <m:t>≥</m:t>
              </m:r>
              <m:r>
                <m:t>2</m:t>
              </m:r>
            </m:e>
          </m:d>
          <m:r>
            <m:rPr>
              <m:sty m:val="p"/>
            </m:rPr>
            <m:t>.</m:t>
          </m:r>
        </m:oMath>
      </m:oMathPara>
    </w:p>
    <w:p>
      <w:pPr>
        <w:pStyle w:val="FirstParagraph"/>
        <w:keepNext/>
      </w:pPr>
      <w:r>
        <w:t xml:space="preserve">Then</w:t>
      </w:r>
    </w:p>
    <w:p>
      <w:pPr>
        <w:pStyle w:val="Equation"/>
        <w:tabs>
          <w:tab w:pos="4680" w:val="center"/>
          <w:tab w:pos="9792" w:val="right"/>
        </w:tabs>
        <w:jc w:val="left"/>
      </w:pPr>
      <w:r>
        <w:tab/>
      </w:r>
      <m:oMath>
        <m:box>
          <m:e>
            <m:r>
              <m:rPr>
                <m:sty m:val="p"/>
              </m:rPr>
              <m:t>|</m:t>
            </m:r>
            <m:r>
              <m:t>H</m:t>
            </m:r>
            <m:d>
              <m:dPr>
                <m:begChr m:val="("/>
                <m:endChr m:val=")"/>
                <m:sepChr m:val=""/>
                <m:grow/>
              </m:dPr>
              <m:e>
                <m:r>
                  <m:t>S</m:t>
                </m:r>
              </m:e>
            </m:d>
            <m:r>
              <m:rPr>
                <m:sty m:val="p"/>
              </m:rPr>
              <m:t>−</m:t>
            </m:r>
            <m:r>
              <m:t>F</m:t>
            </m:r>
            <m:d>
              <m:dPr>
                <m:begChr m:val="("/>
                <m:endChr m:val=")"/>
                <m:sepChr m:val=""/>
                <m:grow/>
              </m:dPr>
              <m:e>
                <m:r>
                  <m:t>S</m:t>
                </m:r>
              </m:e>
            </m:d>
            <m:r>
              <m:rPr>
                <m:sty m:val="p"/>
              </m:rPr>
              <m:t>|</m:t>
            </m:r>
          </m:e>
        </m:box>
        <m:r>
          <m:rPr>
            <m:sty m:val="p"/>
          </m:rPr>
          <m:t>≤</m:t>
        </m:r>
        <m:sSub>
          <m:e>
            <m:r>
              <m:t>α</m:t>
            </m:r>
          </m:e>
          <m:sub>
            <m:box>
              <m:e>
                <m:r>
                  <m:rPr>
                    <m:sty m:val="p"/>
                  </m:rPr>
                  <m:t>|</m:t>
                </m:r>
                <m:r>
                  <m:t>S</m:t>
                </m:r>
                <m:r>
                  <m:rPr>
                    <m:sty m:val="p"/>
                  </m:rPr>
                  <m:t>|</m:t>
                </m:r>
              </m:e>
            </m:box>
          </m:sub>
        </m:sSub>
        <m:r>
          <m:t>ε</m:t>
        </m:r>
        <m:r>
          <m:rPr>
            <m:sty m:val="p"/>
          </m:rPr>
          <m:t>.</m:t>
        </m:r>
      </m:oMath>
      <w:r>
        <w:tab/>
        <w:t>(8)</w:t>
      </w:r>
    </w:p>
    <w:p>
      <w:pPr>
        <w:pStyle w:val="BodyText"/>
      </w:pPr>
      <w:r>
        <w:t xml:space="preserve">For each</w:t>
      </w:r>
      <w:r>
        <w:t xml:space="preserve"> </w:t>
      </w:r>
      <m:oMath>
        <m:r>
          <m:t>m</m:t>
        </m:r>
        <m:r>
          <m:rPr>
            <m:sty m:val="p"/>
          </m:rPr>
          <m:t>≥</m:t>
        </m:r>
        <m:r>
          <m:t>2</m:t>
        </m:r>
      </m:oMath>
      <w:r>
        <w:t xml:space="preserve">, the coefficient</w:t>
      </w:r>
      <w:r>
        <w:t xml:space="preserve"> </w:t>
      </w:r>
      <m:oMath>
        <m:r>
          <m:t>2</m:t>
        </m:r>
        <m:r>
          <m:t>m</m:t>
        </m:r>
        <m:r>
          <m:rPr>
            <m:sty m:val="p"/>
          </m:rPr>
          <m:t>−</m:t>
        </m:r>
        <m:r>
          <m:t>3</m:t>
        </m:r>
      </m:oMath>
      <w:r>
        <w:t xml:space="preserve"> </w:t>
      </w:r>
      <w:r>
        <w:t xml:space="preserve">cannot be reduced by replacing</w:t>
      </w:r>
      <w:r>
        <w:t xml:space="preserve"> </w:t>
      </w:r>
      <m:oMath>
        <m:r>
          <m:t>H</m:t>
        </m:r>
      </m:oMath>
      <w:r>
        <w:t xml:space="preserve"> </w:t>
      </w:r>
      <w:r>
        <w:t xml:space="preserve">with any other estimator based only on the individual and pairwise measurements.</w:t>
      </w:r>
    </w:p>
    <w:p>
      <w:pPr>
        <w:pStyle w:val="BodyText"/>
        <w:keepNext/>
      </w:pPr>
      <w:r>
        <w:rPr>
          <w:iCs/>
          <w:i/>
        </w:rPr>
        <w:t xml:space="preserve">Proof.</w:t>
      </w:r>
      <w:r>
        <w:t xml:space="preserve"> </w:t>
      </w:r>
      <w:r>
        <w:t xml:space="preserve">Fix</w:t>
      </w:r>
      <w:r>
        <w:t xml:space="preserve"> </w:t>
      </w:r>
      <m:oMath>
        <m:r>
          <m:t>S</m:t>
        </m:r>
      </m:oMath>
      <w:r>
        <w:t xml:space="preserve"> </w:t>
      </w:r>
      <w:r>
        <w:t xml:space="preserve">of size</w:t>
      </w:r>
      <w:r>
        <w:t xml:space="preserve"> </w:t>
      </w:r>
      <m:oMath>
        <m:r>
          <m:t>m</m:t>
        </m:r>
        <m:r>
          <m:rPr>
            <m:sty m:val="p"/>
          </m:rPr>
          <m:t>≥</m:t>
        </m:r>
        <m:r>
          <m:t>2</m:t>
        </m:r>
      </m:oMath>
      <w:r>
        <w:t xml:space="preserve">. Each spanning-tree expression in (6) contains</w:t>
      </w:r>
      <w:r>
        <w:t xml:space="preserve"> </w:t>
      </w:r>
      <m:oMath>
        <m:r>
          <m:t>m</m:t>
        </m:r>
        <m:r>
          <m:rPr>
            <m:sty m:val="p"/>
          </m:rPr>
          <m:t>−</m:t>
        </m:r>
        <m:r>
          <m:t>1</m:t>
        </m:r>
      </m:oMath>
      <w:r>
        <w:t xml:space="preserve"> </w:t>
      </w:r>
      <w:r>
        <w:t xml:space="preserve">pair terms with coefficient</w:t>
      </w:r>
      <w:r>
        <w:t xml:space="preserve"> </w:t>
      </w:r>
      <m:oMath>
        <m:r>
          <m:rPr>
            <m:sty m:val="p"/>
          </m:rPr>
          <m:t>+</m:t>
        </m:r>
        <m:r>
          <m:t>1</m:t>
        </m:r>
      </m:oMath>
      <w:r>
        <w:t xml:space="preserve">. Since every vertex has degree at least one,</w:t>
      </w:r>
    </w:p>
    <w:p>
      <w:pPr>
        <w:pStyle w:val="Equation"/>
        <w:jc w:val="center"/>
      </w:pPr>
      <m:oMathPara>
        <m:oMathParaPr>
          <m:jc m:val="center"/>
        </m:oMathParaPr>
        <m:oMath>
          <m:nary>
            <m:naryPr>
              <m:chr m:val="∑"/>
              <m:limLoc m:val="undOvr"/>
              <m:subHide m:val="off"/>
              <m:supHide m:val="on"/>
            </m:naryPr>
            <m:sub>
              <m:r>
                <m:t>i</m:t>
              </m:r>
              <m:r>
                <m:rPr>
                  <m:sty m:val="p"/>
                </m:rPr>
                <m:t>∈</m:t>
              </m:r>
              <m:r>
                <m:t>S</m:t>
              </m:r>
            </m:sub>
            <m:sup>
              <m:r>
                <m:t>​</m:t>
              </m:r>
            </m:sup>
            <m:e>
              <m:box>
                <m:e>
                  <m:r>
                    <m:rPr>
                      <m:sty m:val="p"/>
                    </m:rPr>
                    <m:t>|</m:t>
                  </m:r>
                  <m:sSub>
                    <m:e>
                      <m:r>
                        <m:rPr>
                          <m:sty m:val="p"/>
                          <m:nor/>
                        </m:rPr>
                        <m:t>deg</m:t>
                      </m:r>
                    </m:e>
                    <m:sub>
                      <m:r>
                        <m:t>M</m:t>
                      </m:r>
                    </m:sub>
                  </m:sSub>
                  <m:d>
                    <m:dPr>
                      <m:begChr m:val="("/>
                      <m:endChr m:val=")"/>
                      <m:sepChr m:val=""/>
                      <m:grow/>
                    </m:dPr>
                    <m:e>
                      <m:r>
                        <m:t>i</m:t>
                      </m:r>
                    </m:e>
                  </m:d>
                  <m:r>
                    <m:rPr>
                      <m:sty m:val="p"/>
                    </m:rPr>
                    <m:t>−</m:t>
                  </m:r>
                  <m:r>
                    <m:t>1</m:t>
                  </m:r>
                  <m:r>
                    <m:rPr>
                      <m:sty m:val="p"/>
                    </m:rPr>
                    <m:t>|</m:t>
                  </m:r>
                </m:e>
              </m:box>
            </m:e>
          </m:nary>
          <m:r>
            <m:rPr>
              <m:sty m:val="p"/>
            </m:rPr>
            <m:t>=</m:t>
          </m:r>
          <m:r>
            <m:t>2</m:t>
          </m:r>
          <m:d>
            <m:dPr>
              <m:begChr m:val="("/>
              <m:endChr m:val=")"/>
              <m:sepChr m:val=""/>
              <m:grow/>
            </m:dPr>
            <m:e>
              <m:r>
                <m:t>m</m:t>
              </m:r>
              <m:r>
                <m:rPr>
                  <m:sty m:val="p"/>
                </m:rPr>
                <m:t>−</m:t>
              </m:r>
              <m:r>
                <m:t>1</m:t>
              </m:r>
            </m:e>
          </m:d>
          <m:r>
            <m:rPr>
              <m:sty m:val="p"/>
            </m:rPr>
            <m:t>−</m:t>
          </m:r>
          <m:r>
            <m:t>m</m:t>
          </m:r>
          <m:r>
            <m:rPr>
              <m:sty m:val="p"/>
            </m:rPr>
            <m:t>=</m:t>
          </m:r>
          <m:r>
            <m:t>m</m:t>
          </m:r>
          <m:r>
            <m:rPr>
              <m:sty m:val="p"/>
            </m:rPr>
            <m:t>−</m:t>
          </m:r>
          <m:r>
            <m:t>2</m:t>
          </m:r>
          <m:r>
            <m:rPr>
              <m:sty m:val="p"/>
            </m:rPr>
            <m:t>.</m:t>
          </m:r>
        </m:oMath>
      </m:oMathPara>
    </w:p>
    <w:p>
      <w:pPr>
        <w:pStyle w:val="FirstParagraph"/>
        <w:keepNext/>
      </w:pPr>
      <w:r>
        <w:t xml:space="preserve">Thus each expression changes by at most</w:t>
      </w:r>
    </w:p>
    <w:p>
      <w:pPr>
        <w:pStyle w:val="Equation"/>
        <w:jc w:val="center"/>
      </w:pPr>
      <m:oMathPara>
        <m:oMathParaPr>
          <m:jc m:val="center"/>
        </m:oMathParaPr>
        <m:oMath>
          <m:d>
            <m:dPr>
              <m:begChr m:val="("/>
              <m:endChr m:val=")"/>
              <m:sepChr m:val=""/>
              <m:grow/>
            </m:dPr>
            <m:e>
              <m:r>
                <m:t>m</m:t>
              </m:r>
              <m:r>
                <m:rPr>
                  <m:sty m:val="p"/>
                </m:rPr>
                <m:t>−</m:t>
              </m:r>
              <m:r>
                <m:t>1</m:t>
              </m:r>
            </m:e>
          </m:d>
          <m:r>
            <m:t>ε</m:t>
          </m:r>
          <m:r>
            <m:rPr>
              <m:sty m:val="p"/>
            </m:rPr>
            <m:t>+</m:t>
          </m:r>
          <m:d>
            <m:dPr>
              <m:begChr m:val="("/>
              <m:endChr m:val=")"/>
              <m:sepChr m:val=""/>
              <m:grow/>
            </m:dPr>
            <m:e>
              <m:r>
                <m:t>m</m:t>
              </m:r>
              <m:r>
                <m:rPr>
                  <m:sty m:val="p"/>
                </m:rPr>
                <m:t>−</m:t>
              </m:r>
              <m:r>
                <m:t>2</m:t>
              </m:r>
            </m:e>
          </m:d>
          <m:r>
            <m:t>ε</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If every member of a finite family of real numbers changes by at most</w:t>
      </w:r>
      <w:r>
        <w:t xml:space="preserve"> </w:t>
      </w:r>
      <m:oMath>
        <m:r>
          <m:t>d</m:t>
        </m:r>
      </m:oMath>
      <w:r>
        <w:t xml:space="preserve">, its minimum changes by at most</w:t>
      </w:r>
      <w:r>
        <w:t xml:space="preserve"> </w:t>
      </w:r>
      <m:oMath>
        <m:r>
          <m:t>d</m:t>
        </m:r>
      </m:oMath>
      <w:r>
        <w:t xml:space="preserve">. Applying this fact to (6) proves (8). The empty and singleton cases are immediate.</w:t>
      </w:r>
    </w:p>
    <w:p>
      <w:pPr>
        <w:pStyle w:val="BodyText"/>
        <w:keepNext/>
      </w:pPr>
      <w:r>
        <w:t xml:space="preserve">For the lower bound, consider</w:t>
      </w:r>
      <w:r>
        <w:t xml:space="preserve"> </w:t>
      </w:r>
      <m:oMath>
        <m:r>
          <m:t>m</m:t>
        </m:r>
      </m:oMath>
      <w:r>
        <w:t xml:space="preserve"> </w:t>
      </w:r>
      <w:r>
        <w:t xml:space="preserve">leaves sharing a trunk of length</w:t>
      </w:r>
      <w:r>
        <w:t xml:space="preserve"> </w:t>
      </w:r>
      <m:oMath>
        <m:r>
          <m:t>a</m:t>
        </m:r>
        <m:r>
          <m:rPr>
            <m:sty m:val="p"/>
          </m:rPr>
          <m:t>&gt;</m:t>
        </m:r>
        <m:r>
          <m:t>3</m:t>
        </m:r>
        <m:r>
          <m:t>ε</m:t>
        </m:r>
      </m:oMath>
      <w:r>
        <w:t xml:space="preserve">, with each pendant edge of length</w:t>
      </w:r>
      <w:r>
        <w:t xml:space="preserve"> </w:t>
      </w:r>
      <m:oMath>
        <m:r>
          <m:t>b</m:t>
        </m:r>
        <m:r>
          <m:rPr>
            <m:sty m:val="p"/>
          </m:rPr>
          <m:t>&gt;</m:t>
        </m:r>
        <m:r>
          <m:t>2</m:t>
        </m:r>
        <m:r>
          <m:t>ε</m:t>
        </m:r>
      </m:oMath>
      <w:r>
        <w:t xml:space="preserve">. Let the measured table be that of this central tree:</w:t>
      </w:r>
    </w:p>
    <w:p>
      <w:pPr>
        <w:pStyle w:val="Equation"/>
        <w:jc w:val="center"/>
      </w:pPr>
      <m:oMathPara>
        <m:oMathParaPr>
          <m:jc m:val="center"/>
        </m:oMathParaPr>
        <m:oMath>
          <m:sSub>
            <m:e>
              <m:acc>
                <m:accPr>
                  <m:chr m:val="̃"/>
                </m:accPr>
                <m:e>
                  <m:r>
                    <m:t>c</m:t>
                  </m:r>
                </m:e>
              </m:acc>
            </m:e>
            <m:sub>
              <m:r>
                <m:t>i</m:t>
              </m:r>
            </m:sub>
          </m:sSub>
          <m:r>
            <m:rPr>
              <m:sty m:val="p"/>
            </m:rPr>
            <m:t>=</m:t>
          </m:r>
          <m:r>
            <m:t>a</m:t>
          </m:r>
          <m:r>
            <m:rPr>
              <m:sty m:val="p"/>
            </m:rPr>
            <m:t>+</m:t>
          </m:r>
          <m:r>
            <m:t>b</m:t>
          </m:r>
          <m:r>
            <m:rPr>
              <m:sty m:val="p"/>
            </m:rPr>
            <m:t>,</m:t>
          </m:r>
          <m:r>
            <m:t>  </m:t>
          </m:r>
          <m:sSub>
            <m:e>
              <m:acc>
                <m:accPr>
                  <m:chr m:val="̃"/>
                </m:accPr>
                <m:e>
                  <m:r>
                    <m:t>c</m:t>
                  </m:r>
                </m:e>
              </m:acc>
            </m:e>
            <m:sub>
              <m:r>
                <m:t>i</m:t>
              </m:r>
              <m:r>
                <m:t>j</m:t>
              </m:r>
            </m:sub>
          </m:sSub>
          <m:r>
            <m:rPr>
              <m:sty m:val="p"/>
            </m:rPr>
            <m:t>=</m:t>
          </m:r>
          <m:r>
            <m:t>a</m:t>
          </m:r>
          <m:r>
            <m:rPr>
              <m:sty m:val="p"/>
            </m:rPr>
            <m:t>+</m:t>
          </m:r>
          <m:r>
            <m:t>2</m:t>
          </m:r>
          <m:r>
            <m:t>b</m:t>
          </m:r>
          <m:r>
            <m:rPr>
              <m:sty m:val="p"/>
            </m:rPr>
            <m:t>.</m:t>
          </m:r>
        </m:oMath>
      </m:oMathPara>
    </w:p>
    <w:p>
      <w:pPr>
        <w:pStyle w:val="FirstParagraph"/>
        <w:keepNext/>
      </w:pPr>
      <w:r>
        <w:t xml:space="preserve">Two possible true trees have trunk and pendant lengths</w:t>
      </w:r>
    </w:p>
    <w:p>
      <w:pPr>
        <w:pStyle w:val="Equation"/>
        <w:keepNext/>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Equation"/>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FirstParagraph"/>
      </w:pPr>
      <w:r>
        <w:t xml:space="preserve">All edge lengths are nonnegative. In the first tree, every singleton is lower than its measurement by</w:t>
      </w:r>
      <w:r>
        <w:t xml:space="preserve"> </w:t>
      </w:r>
      <m:oMath>
        <m:r>
          <m:t>ε</m:t>
        </m:r>
      </m:oMath>
      <w:r>
        <w:t xml:space="preserve">, while every pair is higher by</w:t>
      </w:r>
      <w:r>
        <w:t xml:space="preserve"> </w:t>
      </w:r>
      <m:oMath>
        <m:r>
          <m:t>ε</m:t>
        </m:r>
      </m:oMath>
      <w:r>
        <w:t xml:space="preserve">. The signs are reversed in the second tree. Both trees satisfy (7) for the same observed table.</w:t>
      </w:r>
    </w:p>
    <w:p>
      <w:pPr>
        <w:pStyle w:val="BodyText"/>
        <w:keepNext/>
      </w:pPr>
      <w:r>
        <w:t xml:space="preserve">Their full-set costs are</w:t>
      </w:r>
    </w:p>
    <w:p>
      <w:pPr>
        <w:pStyle w:val="Equation"/>
        <w:keepNext/>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Equation"/>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An estimator receives identical input in these two cases. Its largest error must be at least half the distance between the two possible costs, namely</w:t>
      </w:r>
      <w:r>
        <w:t xml:space="preserve"> </w:t>
      </w:r>
      <m:oMath>
        <m:d>
          <m:dPr>
            <m:begChr m:val="("/>
            <m:endChr m:val=")"/>
            <m:sepChr m:val=""/>
            <m:grow/>
          </m:dPr>
          <m:e>
            <m:r>
              <m:t>2</m:t>
            </m:r>
            <m:r>
              <m:t>m</m:t>
            </m:r>
            <m:r>
              <m:rPr>
                <m:sty m:val="p"/>
              </m:rPr>
              <m:t>−</m:t>
            </m:r>
            <m:r>
              <m:t>3</m:t>
            </m:r>
          </m:e>
        </m:d>
        <m:r>
          <m:t>ε</m:t>
        </m:r>
      </m:oMath>
      <w:r>
        <w:t xml:space="preserve">. Together with (8), this proves minimax optimality.</w:t>
      </w:r>
      <w:r>
        <w:t xml:space="preserve"> </w:t>
      </w:r>
      <m:oMath>
        <m:r>
          <m:rPr>
            <m:sty m:val="p"/>
          </m:rPr>
          <m:t>▫</m:t>
        </m:r>
      </m:oMath>
    </w:p>
    <w:p>
      <w:pPr>
        <w:pStyle w:val="BodyText"/>
        <w:keepNext/>
      </w:pPr>
      <w:r>
        <w:t xml:space="preserve">Formally, let</w:t>
      </w:r>
      <w:r>
        <w:t xml:space="preserve"> </w:t>
      </w:r>
      <m:oMath>
        <m:sSub>
          <m:e>
            <m:r>
              <m:rPr>
                <m:sty m:val="p"/>
              </m:rPr>
              <m:t>𝒞</m:t>
            </m:r>
          </m:e>
          <m:sub>
            <m:r>
              <m:t>m</m:t>
            </m:r>
          </m:sub>
        </m:sSub>
      </m:oMath>
      <w:r>
        <w:t xml:space="preserve"> </w:t>
      </w:r>
      <w:r>
        <w:t xml:space="preserve">be the class of nonnegative rooted-tree cost functions on</w:t>
      </w:r>
      <w:r>
        <w:t xml:space="preserve"> </w:t>
      </w:r>
      <m:oMath>
        <m:r>
          <m:t>m</m:t>
        </m:r>
      </m:oMath>
      <w:r>
        <w:t xml:space="preserve"> </w:t>
      </w:r>
      <w:r>
        <w:t xml:space="preserve">labels, and let</w:t>
      </w:r>
      <w:r>
        <w:t xml:space="preserve"> </w:t>
      </w:r>
      <m:oMath>
        <m:r>
          <m:t>D</m:t>
        </m:r>
        <m:d>
          <m:dPr>
            <m:begChr m:val="("/>
            <m:endChr m:val=")"/>
            <m:sepChr m:val=""/>
            <m:grow/>
          </m:dPr>
          <m:e>
            <m:r>
              <m:t>F</m:t>
            </m:r>
          </m:e>
        </m:d>
      </m:oMath>
      <w:r>
        <w:t xml:space="preserve"> </w:t>
      </w:r>
      <w:r>
        <w:t xml:space="preserve">be the vector of singleton and pair costs. Then</w:t>
      </w:r>
    </w:p>
    <w:p>
      <w:pPr>
        <w:pStyle w:val="Equation"/>
        <w:tabs>
          <w:tab w:pos="4680" w:val="center"/>
          <w:tab w:pos="9792" w:val="right"/>
        </w:tabs>
        <w:jc w:val="left"/>
      </w:pPr>
      <w:r>
        <w:tab/>
      </w:r>
      <m:oMath>
        <m:limLow>
          <m:e>
            <m:r>
              <m:rPr>
                <m:sty m:val="p"/>
                <m:nor/>
              </m:rPr>
              <m:t>inf</m:t>
            </m:r>
          </m:e>
          <m:lim>
            <m:r>
              <m:t>R</m:t>
            </m:r>
          </m:lim>
        </m:limLow>
        <m:limLow>
          <m:e>
            <m:r>
              <m:rPr>
                <m:sty m:val="p"/>
                <m:nor/>
              </m:rPr>
              <m:t>sup</m:t>
            </m:r>
          </m:e>
          <m:lim>
            <m:m>
              <m:mPr>
                <m:baseJc m:val="center"/>
                <m:plcHide m:val="on"/>
                <m:mcs>
                  <m:mc>
                    <m:mcPr>
                      <m:mcJc m:val="center"/>
                      <m:count m:val="1"/>
                    </m:mcPr>
                  </m:mc>
                </m:mcs>
              </m:mPr>
              <m:mr>
                <m:e>
                  <m:r>
                    <m:t>F</m:t>
                  </m:r>
                  <m:r>
                    <m:rPr>
                      <m:sty m:val="p"/>
                    </m:rPr>
                    <m:t>∈</m:t>
                  </m:r>
                  <m:sSub>
                    <m:e>
                      <m:r>
                        <m:rPr>
                          <m:sty m:val="p"/>
                        </m:rPr>
                        <m:t>𝒞</m:t>
                      </m:r>
                    </m:e>
                    <m:sub>
                      <m:r>
                        <m:t>m</m:t>
                      </m:r>
                    </m:sub>
                  </m:sSub>
                  <m:r>
                    <m:rPr>
                      <m:sty m:val="p"/>
                    </m:rPr>
                    <m:t>,</m:t>
                  </m:r>
                  <m:r>
                    <m:t> </m:t>
                  </m:r>
                  <m:r>
                    <m:t>z</m:t>
                  </m:r>
                </m:e>
              </m:mr>
              <m:mr>
                <m:e>
                  <m:r>
                    <m:rPr>
                      <m:sty m:val="p"/>
                    </m:rPr>
                    <m:t>∥</m:t>
                  </m:r>
                  <m:r>
                    <m:t>z</m:t>
                  </m:r>
                  <m:r>
                    <m:rPr>
                      <m:sty m:val="p"/>
                    </m:rPr>
                    <m:t>−</m:t>
                  </m:r>
                  <m:r>
                    <m:t>D</m:t>
                  </m:r>
                  <m:d>
                    <m:dPr>
                      <m:begChr m:val="("/>
                      <m:endChr m:val=")"/>
                      <m:sepChr m:val=""/>
                      <m:grow/>
                    </m:dPr>
                    <m:e>
                      <m:r>
                        <m:t>F</m:t>
                      </m:r>
                    </m:e>
                  </m:d>
                  <m:sSub>
                    <m:e>
                      <m:r>
                        <m:rPr>
                          <m:sty m:val="p"/>
                        </m:rPr>
                        <m:t>∥</m:t>
                      </m:r>
                    </m:e>
                    <m:sub>
                      <m:r>
                        <m:rPr>
                          <m:sty m:val="p"/>
                        </m:rPr>
                        <m:t>∞</m:t>
                      </m:r>
                    </m:sub>
                  </m:sSub>
                  <m:r>
                    <m:rPr>
                      <m:sty m:val="p"/>
                    </m:rPr>
                    <m:t>≤</m:t>
                  </m:r>
                  <m:r>
                    <m:t>ε</m:t>
                  </m:r>
                </m:e>
              </m:mr>
            </m:m>
          </m:lim>
        </m:limLow>
        <m:box>
          <m:e>
            <m:r>
              <m:rPr>
                <m:sty m:val="p"/>
              </m:rPr>
              <m:t>|</m:t>
            </m:r>
            <m:r>
              <m:t>R</m:t>
            </m:r>
            <m:d>
              <m:dPr>
                <m:begChr m:val="("/>
                <m:endChr m:val=")"/>
                <m:sepChr m:val=""/>
                <m:grow/>
              </m:dPr>
              <m:e>
                <m:r>
                  <m:t>z</m:t>
                </m:r>
              </m:e>
            </m:d>
            <m:r>
              <m:rPr>
                <m:sty m:val="p"/>
              </m:rPr>
              <m:t>−</m:t>
            </m:r>
            <m:r>
              <m:t>F</m:t>
            </m:r>
            <m:d>
              <m:dPr>
                <m:begChr m:val="("/>
                <m:endChr m:val=")"/>
                <m:sepChr m:val=""/>
                <m:grow/>
              </m:dPr>
              <m:e>
                <m:r>
                  <m:t>N</m:t>
                </m:r>
              </m:e>
            </m:d>
            <m:r>
              <m:rPr>
                <m:sty m:val="p"/>
              </m:rPr>
              <m:t>|</m:t>
            </m:r>
          </m:e>
        </m:box>
        <m:r>
          <m:rPr>
            <m:sty m:val="p"/>
          </m:rPr>
          <m:t>=</m:t>
        </m:r>
        <m:d>
          <m:dPr>
            <m:begChr m:val="("/>
            <m:endChr m:val=")"/>
            <m:sepChr m:val=""/>
            <m:grow/>
          </m:dPr>
          <m:e>
            <m:r>
              <m:t>2</m:t>
            </m:r>
            <m:r>
              <m:t>m</m:t>
            </m:r>
            <m:r>
              <m:rPr>
                <m:sty m:val="p"/>
              </m:rPr>
              <m:t>−</m:t>
            </m:r>
            <m:r>
              <m:t>3</m:t>
            </m:r>
          </m:e>
        </m:d>
        <m:r>
          <m:t>ε</m:t>
        </m:r>
        <m:r>
          <m:rPr>
            <m:sty m:val="p"/>
          </m:rPr>
          <m:t>,</m:t>
        </m:r>
        <m:r>
          <m:t>  </m:t>
        </m:r>
        <m:r>
          <m:t>m</m:t>
        </m:r>
        <m:r>
          <m:rPr>
            <m:sty m:val="p"/>
          </m:rPr>
          <m:t>≥</m:t>
        </m:r>
        <m:r>
          <m:t>2</m:t>
        </m:r>
        <m:r>
          <m:rPr>
            <m:sty m:val="p"/>
          </m:rPr>
          <m:t>.</m:t>
        </m:r>
      </m:oMath>
      <w:r>
        <w:tab/>
        <w:t>(9)</w:t>
      </w:r>
    </w:p>
    <w:p>
      <w:pPr>
        <w:pStyle w:val="BodyText"/>
      </w:pPr>
      <w:r>
        <w:t xml:space="preserve">The infimum ranges over estimators</w:t>
      </w:r>
      <w:r>
        <w:t xml:space="preserve"> </w:t>
      </w:r>
      <m:oMath>
        <m:r>
          <m:t>R</m:t>
        </m:r>
      </m:oMath>
      <w:r>
        <w:t xml:space="preserve">.</w:t>
      </w:r>
    </w:p>
    <w:p>
      <w:pPr>
        <w:pStyle w:val="BodyText"/>
        <w:keepNext/>
      </w:pPr>
      <w:r>
        <w:t xml:space="preserve">If singleton errors are bounded by</w:t>
      </w:r>
      <w:r>
        <w:t xml:space="preserve"> </w:t>
      </w:r>
      <m:oMath>
        <m:sSub>
          <m:e>
            <m:r>
              <m:t>ε</m:t>
            </m:r>
          </m:e>
          <m:sub>
            <m:r>
              <m:t>1</m:t>
            </m:r>
          </m:sub>
        </m:sSub>
      </m:oMath>
      <w:r>
        <w:t xml:space="preserve"> </w:t>
      </w:r>
      <w:r>
        <w:t xml:space="preserve">and pair errors by</w:t>
      </w:r>
      <w:r>
        <w:t xml:space="preserve"> </w:t>
      </w:r>
      <m:oMath>
        <m:sSub>
          <m:e>
            <m:r>
              <m:t>ε</m:t>
            </m:r>
          </m:e>
          <m:sub>
            <m:r>
              <m:t>2</m:t>
            </m:r>
          </m:sub>
        </m:sSub>
      </m:oMath>
      <w:r>
        <w:t xml:space="preserve">, the same argument gives the sharp radius</w:t>
      </w:r>
    </w:p>
    <w:p>
      <w:pPr>
        <w:pStyle w:val="Equation"/>
        <w:jc w:val="center"/>
      </w:pPr>
      <m:oMathPara>
        <m:oMathParaPr>
          <m:jc m:val="center"/>
        </m:oMathParaPr>
        <m:oMath>
          <m:d>
            <m:dPr>
              <m:begChr m:val="("/>
              <m:endChr m:val=")"/>
              <m:sepChr m:val=""/>
              <m:grow/>
            </m:dPr>
            <m:e>
              <m:r>
                <m:t>m</m:t>
              </m:r>
              <m:r>
                <m:rPr>
                  <m:sty m:val="p"/>
                </m:rPr>
                <m:t>−</m:t>
              </m:r>
              <m:r>
                <m:t>2</m:t>
              </m:r>
            </m:e>
          </m:d>
          <m:sSub>
            <m:e>
              <m:r>
                <m:t>ε</m:t>
              </m:r>
            </m:e>
            <m:sub>
              <m:r>
                <m:t>1</m:t>
              </m:r>
            </m:sub>
          </m:sSub>
          <m:r>
            <m:rPr>
              <m:sty m:val="p"/>
            </m:rPr>
            <m:t>+</m:t>
          </m:r>
          <m:d>
            <m:dPr>
              <m:begChr m:val="("/>
              <m:endChr m:val=")"/>
              <m:sepChr m:val=""/>
              <m:grow/>
            </m:dPr>
            <m:e>
              <m:r>
                <m:t>m</m:t>
              </m:r>
              <m:r>
                <m:rPr>
                  <m:sty m:val="p"/>
                </m:rPr>
                <m:t>−</m:t>
              </m:r>
              <m:r>
                <m:t>1</m:t>
              </m:r>
            </m:e>
          </m:d>
          <m:sSub>
            <m:e>
              <m:r>
                <m:t>ε</m:t>
              </m:r>
            </m:e>
            <m:sub>
              <m:r>
                <m:t>2</m:t>
              </m:r>
            </m:sub>
          </m:sSub>
          <m:r>
            <m:rPr>
              <m:sty m:val="p"/>
            </m:rPr>
            <m:t>.</m:t>
          </m:r>
        </m:oMath>
      </m:oMathPara>
    </w:p>
    <w:p>
      <w:pPr>
        <w:pStyle w:val="FirstParagraph"/>
      </w:pPr>
      <w:r>
        <w:t xml:space="preserve">For the lower bound, perturb the trunk by opposite amounts</w:t>
      </w:r>
      <w:r>
        <w:t xml:space="preserve"> </w:t>
      </w:r>
      <m:oMath>
        <m:r>
          <m:t>2</m:t>
        </m:r>
        <m:sSub>
          <m:e>
            <m:r>
              <m:t>ε</m:t>
            </m:r>
          </m:e>
          <m:sub>
            <m:r>
              <m:t>1</m:t>
            </m:r>
          </m:sub>
        </m:sSub>
        <m:r>
          <m:rPr>
            <m:sty m:val="p"/>
          </m:rPr>
          <m:t>+</m:t>
        </m:r>
        <m:sSub>
          <m:e>
            <m:r>
              <m:t>ε</m:t>
            </m:r>
          </m:e>
          <m:sub>
            <m:r>
              <m:t>2</m:t>
            </m:r>
          </m:sub>
        </m:sSub>
      </m:oMath>
      <w:r>
        <w:t xml:space="preserve">, and each pendant edge by opposite amounts</w:t>
      </w:r>
      <w:r>
        <w:t xml:space="preserve"> </w:t>
      </w:r>
      <m:oMath>
        <m:sSub>
          <m:e>
            <m:r>
              <m:t>ε</m:t>
            </m:r>
          </m:e>
          <m:sub>
            <m:r>
              <m:t>1</m:t>
            </m:r>
          </m:sub>
        </m:sSub>
        <m:r>
          <m:rPr>
            <m:sty m:val="p"/>
          </m:rPr>
          <m:t>+</m:t>
        </m:r>
        <m:sSub>
          <m:e>
            <m:r>
              <m:t>ε</m:t>
            </m:r>
          </m:e>
          <m:sub>
            <m:r>
              <m:t>2</m:t>
            </m:r>
          </m:sub>
        </m:sSub>
      </m:oMath>
      <w:r>
        <w:t xml:space="preserve">.</w:t>
      </w:r>
    </w:p>
    <w:bookmarkEnd w:id="33"/>
    <w:bookmarkStart w:id="34" w:name="a-feasible-repair"/>
    <w:p>
      <w:pPr>
        <w:pStyle w:val="Heading2"/>
      </w:pPr>
      <w:r>
        <w:t xml:space="preserve">3.2. A feasible repair</w:t>
      </w:r>
    </w:p>
    <w:p>
      <w:pPr>
        <w:pStyle w:val="FirstParagraph"/>
      </w:pPr>
      <w:r>
        <w:t xml:space="preserve">The direct estimate</w:t>
      </w:r>
      <w:r>
        <w:t xml:space="preserve"> </w:t>
      </w:r>
      <m:oMath>
        <m:r>
          <m:t>H</m:t>
        </m:r>
      </m:oMath>
      <w:r>
        <w:t xml:space="preserve"> </w:t>
      </w:r>
      <w:r>
        <w:t xml:space="preserve">can be nonmonotone when measurements are incompatible. A physical network representation can instead be obtained by repairing the overlaps.</w:t>
      </w:r>
    </w:p>
    <w:p>
      <w:pPr>
        <w:pStyle w:val="BodyText"/>
        <w:keepNext/>
      </w:pPr>
      <w:r>
        <w:t xml:space="preserve">Define</w:t>
      </w:r>
    </w:p>
    <w:p>
      <w:pPr>
        <w:pStyle w:val="Equation"/>
        <w:keepNext/>
        <w:jc w:val="center"/>
      </w:pPr>
      <m:oMathPara>
        <m:oMathParaPr>
          <m:jc m:val="center"/>
        </m:oMathParaPr>
        <m:oMath>
          <m:sSub>
            <m:e>
              <m:acc>
                <m:accPr>
                  <m:chr m:val="̂"/>
                </m:accPr>
                <m:e>
                  <m:r>
                    <m:t>c</m:t>
                  </m:r>
                </m:e>
              </m:acc>
            </m:e>
            <m:sub>
              <m:r>
                <m:t>i</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e>
          </m:d>
          <m:r>
            <m:rPr>
              <m:sty m:val="p"/>
            </m:rPr>
            <m:t>,</m:t>
          </m:r>
        </m:oMath>
      </m:oMathPara>
    </w:p>
    <w:p>
      <w:pPr>
        <w:pStyle w:val="Equation"/>
        <w:tabs>
          <w:tab w:pos="4680" w:val="center"/>
          <w:tab w:pos="9792" w:val="right"/>
        </w:tabs>
        <w:jc w:val="left"/>
      </w:pPr>
      <w:r>
        <w:tab/>
      </w:r>
      <m:oMath>
        <m:sSub>
          <m:e>
            <m:r>
              <m:t>u</m:t>
            </m:r>
          </m:e>
          <m:sub>
            <m:r>
              <m:t>i</m:t>
            </m:r>
            <m:r>
              <m:t>j</m:t>
            </m:r>
          </m:sub>
        </m:sSub>
        <m:r>
          <m:rPr>
            <m:sty m:val="p"/>
          </m:rPr>
          <m:t>=</m:t>
        </m:r>
        <m:r>
          <m:rPr>
            <m:sty m:val="p"/>
            <m:nor/>
          </m:rPr>
          <m:t>min</m:t>
        </m:r>
        <m:box>
          <m:e>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sSub>
                  <m:e>
                    <m:acc>
                      <m:accPr>
                        <m:chr m:val="̃"/>
                      </m:accPr>
                      <m:e>
                        <m:r>
                          <m:t>c</m:t>
                        </m:r>
                      </m:e>
                    </m:acc>
                  </m:e>
                  <m:sub>
                    <m:r>
                      <m:t>i</m:t>
                    </m:r>
                    <m:r>
                      <m:t>j</m:t>
                    </m:r>
                  </m:sub>
                </m:sSub>
              </m:e>
            </m:d>
            <m:r>
              <m:rPr>
                <m:sty m:val="p"/>
              </m:rPr>
              <m:t>}</m:t>
            </m:r>
          </m:e>
        </m:box>
        <m:r>
          <m:rPr>
            <m:sty m:val="p"/>
          </m:rPr>
          <m:t>.</m:t>
        </m:r>
      </m:oMath>
      <w:r>
        <w:tab/>
        <w:t>(10)</w:t>
      </w:r>
    </w:p>
    <w:p>
      <w:pPr>
        <w:pStyle w:val="BodyText"/>
        <w:keepNext/>
      </w:pPr>
      <w:r>
        <w:t xml:space="preserve">For distinct</w:t>
      </w:r>
      <w:r>
        <w:t xml:space="preserve"> </w:t>
      </w:r>
      <m:oMath>
        <m:r>
          <m:t>i</m:t>
        </m:r>
        <m:r>
          <m:rPr>
            <m:sty m:val="p"/>
          </m:rPr>
          <m:t>,</m:t>
        </m:r>
        <m:r>
          <m:t>j</m:t>
        </m:r>
      </m:oMath>
      <w:r>
        <w:t xml:space="preserve">, define the maximum-bottleneck closure</w:t>
      </w:r>
    </w:p>
    <w:p>
      <w:pPr>
        <w:pStyle w:val="Equation"/>
        <w:tabs>
          <w:tab w:pos="4680" w:val="center"/>
          <w:tab w:pos="9792" w:val="right"/>
        </w:tabs>
        <w:jc w:val="left"/>
      </w:pPr>
      <w:r>
        <w:tab/>
      </w:r>
      <m:oMath>
        <m:sSub>
          <m:e>
            <m:acc>
              <m:accPr>
                <m:chr m:val="̂"/>
              </m:accPr>
              <m:e>
                <m:r>
                  <m:t>o</m:t>
                </m:r>
              </m:e>
            </m:acc>
          </m:e>
          <m:sub>
            <m:r>
              <m:t>i</m:t>
            </m:r>
            <m:r>
              <m:t>j</m:t>
            </m:r>
          </m:sub>
        </m:sSub>
        <m:r>
          <m:rPr>
            <m:sty m:val="p"/>
          </m:rPr>
          <m:t>=</m:t>
        </m:r>
        <m:limLow>
          <m:e>
            <m:r>
              <m:rPr>
                <m:sty m:val="p"/>
                <m:nor/>
              </m:rPr>
              <m:t>max</m:t>
            </m:r>
          </m:e>
          <m:lim>
            <m:r>
              <m:t>γ</m:t>
            </m:r>
            <m:r>
              <m:rPr>
                <m:sty m:val="p"/>
              </m:rPr>
              <m:t>:</m:t>
            </m:r>
            <m:r>
              <m:t>i</m:t>
            </m:r>
            <m:r>
              <m:rPr>
                <m:sty m:val="p"/>
              </m:rPr>
              <m:t>⤳</m:t>
            </m:r>
            <m:r>
              <m:t>j</m:t>
            </m:r>
          </m:lim>
        </m:limLow>
        <m:limLow>
          <m:e>
            <m:r>
              <m:rPr>
                <m:sty m:val="p"/>
                <m:nor/>
              </m:rPr>
              <m:t>min</m:t>
            </m:r>
          </m:e>
          <m:lim>
            <m:r>
              <m:rPr>
                <m:sty m:val="p"/>
              </m:rPr>
              <m:t>{</m:t>
            </m:r>
            <m:r>
              <m:t>u</m:t>
            </m:r>
            <m:r>
              <m:rPr>
                <m:sty m:val="p"/>
              </m:rPr>
              <m:t>,</m:t>
            </m:r>
            <m:r>
              <m:t>v</m:t>
            </m:r>
            <m:r>
              <m:rPr>
                <m:sty m:val="p"/>
              </m:rPr>
              <m:t>}</m:t>
            </m:r>
            <m:r>
              <m:rPr>
                <m:sty m:val="p"/>
              </m:rPr>
              <m:t>∈</m:t>
            </m:r>
            <m:r>
              <m:t>E</m:t>
            </m:r>
            <m:d>
              <m:dPr>
                <m:begChr m:val="("/>
                <m:endChr m:val=")"/>
                <m:sepChr m:val=""/>
                <m:grow/>
              </m:dPr>
              <m:e>
                <m:r>
                  <m:t>γ</m:t>
                </m:r>
              </m:e>
            </m:d>
          </m:lim>
        </m:limLow>
        <m:sSub>
          <m:e>
            <m:r>
              <m:t>u</m:t>
            </m:r>
          </m:e>
          <m:sub>
            <m:r>
              <m:t>u</m:t>
            </m:r>
            <m:r>
              <m:t>v</m:t>
            </m:r>
          </m:sub>
        </m:sSub>
        <m:r>
          <m:rPr>
            <m:sty m:val="p"/>
          </m:rPr>
          <m:t>,</m:t>
        </m:r>
      </m:oMath>
      <w:r>
        <w:tab/>
        <w:t>(11)</w:t>
      </w:r>
    </w:p>
    <w:p>
      <w:pPr>
        <w:pStyle w:val="BodyText"/>
      </w:pPr>
      <w:r>
        <w:t xml:space="preserve">where the maximum is over simple paths in the complete graph. Let</w:t>
      </w:r>
      <w:r>
        <w:t xml:space="preserve"> </w:t>
      </w:r>
      <m:oMath>
        <m:acc>
          <m:accPr>
            <m:chr m:val="̂"/>
          </m:accPr>
          <m:e>
            <m:r>
              <m:t>F</m:t>
            </m:r>
          </m:e>
        </m:acc>
      </m:oMath>
      <w:r>
        <w:t xml:space="preserve"> </w:t>
      </w:r>
      <w:r>
        <w:t xml:space="preserve">be the rooted-tree cost reconstructed from</w:t>
      </w:r>
      <w:r>
        <w:t xml:space="preserve"> </w:t>
      </w:r>
      <m:oMath>
        <m:acc>
          <m:accPr>
            <m:chr m:val="̂"/>
          </m:accPr>
          <m:e>
            <m:r>
              <m:t>c</m:t>
            </m:r>
          </m:e>
        </m:acc>
        <m:r>
          <m:rPr>
            <m:sty m:val="p"/>
          </m:rPr>
          <m:t>,</m:t>
        </m:r>
        <m:acc>
          <m:accPr>
            <m:chr m:val="̂"/>
          </m:accPr>
          <m:e>
            <m:r>
              <m:t>o</m:t>
            </m:r>
          </m:e>
        </m:acc>
      </m:oMath>
      <w:r>
        <w:t xml:space="preserve">.</w:t>
      </w:r>
    </w:p>
    <w:p>
      <w:pPr>
        <w:pStyle w:val="BodyText"/>
        <w:keepNext/>
        <w:spacing w:before="140" w:after="100"/>
      </w:pPr>
      <w:r>
        <w:rPr>
          <w:bCs/>
          <w:b/>
        </w:rPr>
        <w:t xml:space="preserve">Proposition 3.2 — Feasibility and repair error.</w:t>
      </w:r>
      <w:r>
        <w:t xml:space="preserve"> </w:t>
      </w:r>
      <w:r>
        <w:t xml:space="preserve">The repaired table satisfies (3). For every nonempty</w:t>
      </w:r>
      <w:r>
        <w:t xml:space="preserve"> </w:t>
      </w:r>
      <m:oMath>
        <m:r>
          <m:t>S</m:t>
        </m:r>
      </m:oMath>
      <w:r>
        <w:t xml:space="preserve">,</w:t>
      </w:r>
    </w:p>
    <w:p>
      <w:pPr>
        <w:pStyle w:val="Equation"/>
        <w:tabs>
          <w:tab w:pos="4680" w:val="center"/>
          <w:tab w:pos="9792" w:val="right"/>
        </w:tabs>
        <w:jc w:val="left"/>
      </w:pPr>
      <w:r>
        <w:tab/>
      </w:r>
      <m:oMath>
        <m:box>
          <m:e>
            <m:r>
              <m:rPr>
                <m:sty m:val="p"/>
              </m:rPr>
              <m:t>|</m:t>
            </m:r>
            <m:acc>
              <m:accPr>
                <m:chr m:val="̂"/>
              </m:accPr>
              <m:e>
                <m:r>
                  <m:t>F</m:t>
                </m:r>
              </m:e>
            </m:acc>
            <m:d>
              <m:dPr>
                <m:begChr m:val="("/>
                <m:endChr m:val=")"/>
                <m:sepChr m:val=""/>
                <m:grow/>
              </m:dPr>
              <m:e>
                <m:r>
                  <m:t>S</m:t>
                </m:r>
              </m:e>
            </m:d>
            <m:r>
              <m:rPr>
                <m:sty m:val="p"/>
              </m:rPr>
              <m:t>−</m:t>
            </m:r>
            <m:r>
              <m:t>F</m:t>
            </m:r>
            <m:d>
              <m:dPr>
                <m:begChr m:val="("/>
                <m:endChr m:val=")"/>
                <m:sepChr m:val=""/>
                <m:grow/>
              </m:dPr>
              <m:e>
                <m:r>
                  <m:t>S</m:t>
                </m:r>
              </m:e>
            </m:d>
            <m:r>
              <m:rPr>
                <m:sty m:val="p"/>
              </m:rPr>
              <m:t>|</m:t>
            </m:r>
          </m:e>
        </m:box>
        <m:r>
          <m:rPr>
            <m:sty m:val="p"/>
          </m:rPr>
          <m:t>≤</m:t>
        </m:r>
        <m:d>
          <m:dPr>
            <m:begChr m:val="("/>
            <m:endChr m:val=")"/>
            <m:sepChr m:val=""/>
            <m:grow/>
          </m:dPr>
          <m:e>
            <m:r>
              <m:t>4</m:t>
            </m:r>
            <m:box>
              <m:e>
                <m:r>
                  <m:rPr>
                    <m:sty m:val="p"/>
                  </m:rPr>
                  <m:t>|</m:t>
                </m:r>
                <m:r>
                  <m:t>S</m:t>
                </m:r>
                <m:r>
                  <m:rPr>
                    <m:sty m:val="p"/>
                  </m:rPr>
                  <m:t>|</m:t>
                </m:r>
              </m:e>
            </m:box>
            <m:r>
              <m:rPr>
                <m:sty m:val="p"/>
              </m:rPr>
              <m:t>−</m:t>
            </m:r>
            <m:r>
              <m:t>3</m:t>
            </m:r>
          </m:e>
        </m:d>
        <m:r>
          <m:t>ε</m:t>
        </m:r>
        <m:r>
          <m:rPr>
            <m:sty m:val="p"/>
          </m:rPr>
          <m:t>.</m:t>
        </m:r>
      </m:oMath>
      <w:r>
        <w:tab/>
        <w:t>(12)</w:t>
      </w:r>
    </w:p>
    <w:p>
      <w:pPr>
        <w:pStyle w:val="BodyText"/>
        <w:keepNext/>
      </w:pPr>
      <w:r>
        <w:rPr>
          <w:iCs/>
          <w:i/>
        </w:rPr>
        <w:t xml:space="preserve">Proof.</w:t>
      </w:r>
      <w:r>
        <w:t xml:space="preserve"> </w:t>
      </w:r>
      <w:r>
        <w:t xml:space="preserve">The closure is symmetric and nonnegative. Every path from</w:t>
      </w:r>
      <w:r>
        <w:t xml:space="preserve"> </w:t>
      </w:r>
      <m:oMath>
        <m:r>
          <m:t>i</m:t>
        </m:r>
      </m:oMath>
      <w:r>
        <w:t xml:space="preserve"> </w:t>
      </w:r>
      <w:r>
        <w:t xml:space="preserve">to</w:t>
      </w:r>
      <w:r>
        <w:t xml:space="preserve"> </w:t>
      </w:r>
      <m:oMath>
        <m:r>
          <m:t>j</m:t>
        </m:r>
      </m:oMath>
      <w:r>
        <w:t xml:space="preserve"> </w:t>
      </w:r>
      <w:r>
        <w:t xml:space="preserve">starts with an edge bounded by</w:t>
      </w:r>
      <w:r>
        <w:t xml:space="preserve"> </w:t>
      </w:r>
      <m:oMath>
        <m:sSub>
          <m:e>
            <m:acc>
              <m:accPr>
                <m:chr m:val="̂"/>
              </m:accPr>
              <m:e>
                <m:r>
                  <m:t>c</m:t>
                </m:r>
              </m:e>
            </m:acc>
          </m:e>
          <m:sub>
            <m:r>
              <m:t>i</m:t>
            </m:r>
          </m:sub>
        </m:sSub>
      </m:oMath>
      <w:r>
        <w:t xml:space="preserve"> </w:t>
      </w:r>
      <w:r>
        <w:t xml:space="preserve">and ends with one bounded by</w:t>
      </w:r>
      <w:r>
        <w:t xml:space="preserve"> </w:t>
      </w:r>
      <m:oMath>
        <m:sSub>
          <m:e>
            <m:acc>
              <m:accPr>
                <m:chr m:val="̂"/>
              </m:accPr>
              <m:e>
                <m:r>
                  <m:t>c</m:t>
                </m:r>
              </m:e>
            </m:acc>
          </m:e>
          <m:sub>
            <m:r>
              <m:t>j</m:t>
            </m:r>
          </m:sub>
        </m:sSub>
      </m:oMath>
      <w:r>
        <w:t xml:space="preserve">. Hence</w:t>
      </w:r>
    </w:p>
    <w:p>
      <w:pPr>
        <w:pStyle w:val="Equation"/>
        <w:jc w:val="center"/>
      </w:pPr>
      <m:oMathPara>
        <m:oMathParaPr>
          <m:jc m:val="center"/>
        </m:oMathParaPr>
        <m:oMath>
          <m:sSub>
            <m:e>
              <m:acc>
                <m:accPr>
                  <m:chr m:val="̂"/>
                </m:accPr>
                <m:e>
                  <m:r>
                    <m:t>o</m:t>
                  </m:r>
                </m:e>
              </m:acc>
            </m:e>
            <m:sub>
              <m:r>
                <m:t>i</m:t>
              </m:r>
              <m:r>
                <m:t>j</m:t>
              </m:r>
            </m:sub>
          </m:sSub>
          <m:r>
            <m:rPr>
              <m:sty m:val="p"/>
            </m:rPr>
            <m:t>≤</m:t>
          </m:r>
          <m:r>
            <m:rPr>
              <m:sty m:val="p"/>
              <m:nor/>
            </m:rPr>
            <m:t>min</m:t>
          </m:r>
          <m:d>
            <m:dPr>
              <m:begChr m:val="("/>
              <m:endChr m:val=")"/>
              <m:sepChr m:val=""/>
              <m:grow/>
            </m:dPr>
            <m:e>
              <m:sSub>
                <m:e>
                  <m:acc>
                    <m:accPr>
                      <m:chr m:val="̂"/>
                    </m:accPr>
                    <m:e>
                      <m:r>
                        <m:t>c</m:t>
                      </m:r>
                    </m:e>
                  </m:acc>
                </m:e>
                <m:sub>
                  <m:r>
                    <m:t>i</m:t>
                  </m:r>
                </m:sub>
              </m:sSub>
              <m:r>
                <m:rPr>
                  <m:sty m:val="p"/>
                </m:rPr>
                <m:t>,</m:t>
              </m:r>
              <m:sSub>
                <m:e>
                  <m:acc>
                    <m:accPr>
                      <m:chr m:val="̂"/>
                    </m:accPr>
                    <m:e>
                      <m:r>
                        <m:t>c</m:t>
                      </m:r>
                    </m:e>
                  </m:acc>
                </m:e>
                <m:sub>
                  <m:r>
                    <m:t>j</m:t>
                  </m:r>
                </m:sub>
              </m:sSub>
            </m:e>
          </m:d>
          <m:r>
            <m:rPr>
              <m:sty m:val="p"/>
            </m:rPr>
            <m:t>.</m:t>
          </m:r>
        </m:oMath>
      </m:oMathPara>
    </w:p>
    <w:p>
      <w:pPr>
        <w:pStyle w:val="FirstParagraph"/>
      </w:pPr>
      <w:r>
        <w:t xml:space="preserve">Concatenating paths through</w:t>
      </w:r>
      <w:r>
        <w:t xml:space="preserve"> </w:t>
      </w:r>
      <m:oMath>
        <m:r>
          <m:t>k</m:t>
        </m:r>
      </m:oMath>
      <w:r>
        <w:t xml:space="preserve">, and removing loops without reducing the bottleneck, proves the final inequality in (3).</w:t>
      </w:r>
    </w:p>
    <w:p>
      <w:pPr>
        <w:pStyle w:val="BodyText"/>
      </w:pPr>
      <w:r>
        <w:t xml:space="preserve">Singleton clipping has error at most</w:t>
      </w:r>
      <w:r>
        <w:t xml:space="preserve"> </w:t>
      </w:r>
      <m:oMath>
        <m:r>
          <m:t>ε</m:t>
        </m:r>
      </m:oMath>
      <w:r>
        <w:t xml:space="preserve">. Raw overlap errors are at most</w:t>
      </w:r>
      <w:r>
        <w:t xml:space="preserve"> </w:t>
      </w:r>
      <m:oMath>
        <m:r>
          <m:t>3</m:t>
        </m:r>
        <m:r>
          <m:t>ε</m:t>
        </m:r>
      </m:oMath>
      <w:r>
        <w:t xml:space="preserve">. The clipping in (10) preserves this bound because minimum and maximum are nonexpansive in the sup norm.</w:t>
      </w:r>
    </w:p>
    <w:p>
      <w:pPr>
        <w:pStyle w:val="BodyText"/>
      </w:pPr>
      <w:r>
        <w:t xml:space="preserve">The maximum-bottleneck operation is also nonexpansive: perturbing every edge value by at most</w:t>
      </w:r>
      <w:r>
        <w:t xml:space="preserve"> </w:t>
      </w:r>
      <m:oMath>
        <m:r>
          <m:t>d</m:t>
        </m:r>
      </m:oMath>
      <w:r>
        <w:t xml:space="preserve"> </w:t>
      </w:r>
      <w:r>
        <w:t xml:space="preserve">perturbs each path bottleneck, and then their maximum, by at most</w:t>
      </w:r>
      <w:r>
        <w:t xml:space="preserve"> </w:t>
      </w:r>
      <m:oMath>
        <m:r>
          <m:t>d</m:t>
        </m:r>
      </m:oMath>
      <w:r>
        <w:t xml:space="preserve">. This operation fixes the true overlap matrix, because repeated application of (3) bounds every path bottleneck by the direct true overlap. Therefore,</w:t>
      </w:r>
    </w:p>
    <w:p>
      <w:pPr>
        <w:pStyle w:val="Equation"/>
        <w:jc w:val="center"/>
      </w:pPr>
      <m:oMathPara>
        <m:oMathParaPr>
          <m:jc m:val="center"/>
        </m:oMathParaPr>
        <m:oMath>
          <m:r>
            <m:rPr>
              <m:sty m:val="p"/>
            </m:rPr>
            <m:t>∥</m:t>
          </m:r>
          <m:acc>
            <m:accPr>
              <m:chr m:val="̂"/>
            </m:accPr>
            <m:e>
              <m:r>
                <m:t>o</m:t>
              </m:r>
            </m:e>
          </m:acc>
          <m:r>
            <m:rPr>
              <m:sty m:val="p"/>
            </m:rPr>
            <m:t>−</m:t>
          </m:r>
          <m:r>
            <m:t>o</m:t>
          </m:r>
          <m:sSub>
            <m:e>
              <m:r>
                <m:rPr>
                  <m:sty m:val="p"/>
                </m:rPr>
                <m:t>∥</m:t>
              </m:r>
            </m:e>
            <m:sub>
              <m:r>
                <m:rPr>
                  <m:sty m:val="p"/>
                </m:rPr>
                <m:t>∞</m:t>
              </m:r>
            </m:sub>
          </m:sSub>
          <m:r>
            <m:rPr>
              <m:sty m:val="p"/>
            </m:rPr>
            <m:t>≤</m:t>
          </m:r>
          <m:r>
            <m:t>3</m:t>
          </m:r>
          <m:r>
            <m:t>ε</m:t>
          </m:r>
          <m:r>
            <m:rPr>
              <m:sty m:val="p"/>
            </m:rPr>
            <m:t>.</m:t>
          </m:r>
        </m:oMath>
      </m:oMathPara>
    </w:p>
    <w:p>
      <w:pPr>
        <w:pStyle w:val="FirstParagraph"/>
      </w:pPr>
      <w:r>
        <w:t xml:space="preserve">In (5), the singleton sum changes by at most</w:t>
      </w:r>
      <w:r>
        <w:t xml:space="preserve"> </w:t>
      </w:r>
      <m:oMath>
        <m:box>
          <m:e>
            <m:r>
              <m:rPr>
                <m:sty m:val="p"/>
              </m:rPr>
              <m:t>|</m:t>
            </m:r>
            <m:r>
              <m:t>S</m:t>
            </m:r>
            <m:r>
              <m:rPr>
                <m:sty m:val="p"/>
              </m:rPr>
              <m:t>|</m:t>
            </m:r>
          </m:e>
        </m:box>
        <m:r>
          <m:t>ε</m:t>
        </m:r>
      </m:oMath>
      <w:r>
        <w:t xml:space="preserve">, while the maximum spanning-tree weight changes by at most</w:t>
      </w:r>
      <w:r>
        <w:t xml:space="preserve"> </w:t>
      </w:r>
      <m:oMath>
        <m:r>
          <m:t>3</m:t>
        </m:r>
        <m:d>
          <m:dPr>
            <m:begChr m:val="("/>
            <m:endChr m:val=")"/>
            <m:sepChr m:val=""/>
            <m:grow/>
          </m:dPr>
          <m:e>
            <m:box>
              <m:e>
                <m:r>
                  <m:rPr>
                    <m:sty m:val="p"/>
                  </m:rPr>
                  <m:t>|</m:t>
                </m:r>
                <m:r>
                  <m:t>S</m:t>
                </m:r>
                <m:r>
                  <m:rPr>
                    <m:sty m:val="p"/>
                  </m:rPr>
                  <m:t>|</m:t>
                </m:r>
              </m:e>
            </m:box>
            <m:r>
              <m:rPr>
                <m:sty m:val="p"/>
              </m:rPr>
              <m:t>−</m:t>
            </m:r>
            <m:r>
              <m:t>1</m:t>
            </m:r>
          </m:e>
        </m:d>
        <m:r>
          <m:t>ε</m:t>
        </m:r>
      </m:oMath>
      <w:r>
        <w:t xml:space="preserve">. Adding these bounds proves (12).</w:t>
      </w:r>
      <w:r>
        <w:t xml:space="preserve"> </w:t>
      </w:r>
      <m:oMath>
        <m:r>
          <m:rPr>
            <m:sty m:val="p"/>
          </m:rPr>
          <m:t>▫</m:t>
        </m:r>
      </m:oMath>
    </w:p>
    <w:p>
      <w:pPr>
        <w:pStyle w:val="BodyText"/>
      </w:pPr>
      <w:r>
        <w:t xml:space="preserve">The closure is a standard hierarchical operation related to single linkage [1]. A max-min version of Floyd’s algorithm computes it in</w:t>
      </w:r>
      <w:r>
        <w:t xml:space="preserve"> </w:t>
      </w:r>
      <m:oMath>
        <m:r>
          <m:t>O</m:t>
        </m:r>
        <m:d>
          <m:dPr>
            <m:begChr m:val="("/>
            <m:endChr m:val=")"/>
            <m:sepChr m:val=""/>
            <m:grow/>
          </m:dPr>
          <m:e>
            <m:sSup>
              <m:e>
                <m:r>
                  <m:t>n</m:t>
                </m:r>
              </m:e>
              <m:sup>
                <m:r>
                  <m:t>3</m:t>
                </m:r>
              </m:sup>
            </m:sSup>
          </m:e>
        </m:d>
      </m:oMath>
      <w:r>
        <w:t xml:space="preserve"> </w:t>
      </w:r>
      <w:r>
        <w:t xml:space="preserve">time. The constant in (12) is a conservative guarantee; its sharpness is not asserted. Repair supplies nonnegative, monotone physical set costs, while direct recovery has the sharper guarantee in (8).</w:t>
      </w:r>
    </w:p>
    <w:bookmarkEnd w:id="34"/>
    <w:bookmarkEnd w:id="35"/>
    <w:bookmarkStart w:id="38" w:name="sequential-bayesian-decisions"/>
    <w:p>
      <w:pPr>
        <w:pStyle w:val="Heading1"/>
      </w:pPr>
      <w:r>
        <w:t xml:space="preserve">4. Sequential Bayesian decisions</w:t>
      </w:r>
    </w:p>
    <w:bookmarkStart w:id="36" w:name="exact-finite-horizon-solution"/>
    <w:p>
      <w:pPr>
        <w:pStyle w:val="Heading2"/>
      </w:pPr>
      <w:r>
        <w:t xml:space="preserve">4.1. Exact finite-horizon solution</w:t>
      </w:r>
    </w:p>
    <w:p>
      <w:pPr>
        <w:pStyle w:val="FirstParagraph"/>
      </w:pPr>
      <w:r>
        <w:t xml:space="preserve">Let the latent state</w:t>
      </w:r>
      <w:r>
        <w:t xml:space="preserve"> </w:t>
      </w:r>
      <m:oMath>
        <m:r>
          <m:t>X</m:t>
        </m:r>
      </m:oMath>
      <w:r>
        <w:t xml:space="preserve"> </w:t>
      </w:r>
      <w:r>
        <w:t xml:space="preserve">take values in a finite set</w:t>
      </w:r>
      <w:r>
        <w:t xml:space="preserve"> </w:t>
      </w:r>
      <m:oMath>
        <m:r>
          <m:rPr>
            <m:sty m:val="p"/>
          </m:rPr>
          <m:t>𝒳</m:t>
        </m:r>
      </m:oMath>
      <w:r>
        <w:t xml:space="preserve">, with prior</w:t>
      </w:r>
      <w:r>
        <w:t xml:space="preserve"> </w:t>
      </w:r>
      <m:oMath>
        <m:r>
          <m:t>p</m:t>
        </m:r>
      </m:oMath>
      <w:r>
        <w:t xml:space="preserve">. Source</w:t>
      </w:r>
      <w:r>
        <w:t xml:space="preserve"> </w:t>
      </w:r>
      <m:oMath>
        <m:r>
          <m:t>i</m:t>
        </m:r>
      </m:oMath>
      <w:r>
        <w:t xml:space="preserve"> </w:t>
      </w:r>
      <w:r>
        <w:t xml:space="preserve">returns an observation in a finite set</w:t>
      </w:r>
      <w:r>
        <w:t xml:space="preserve"> </w:t>
      </w:r>
      <m:oMath>
        <m:sSub>
          <m:e>
            <m:r>
              <m:rPr>
                <m:sty m:val="p"/>
              </m:rPr>
              <m:t>𝒴</m:t>
            </m:r>
          </m:e>
          <m:sub>
            <m:r>
              <m:t>i</m:t>
            </m:r>
          </m:sub>
        </m:sSub>
      </m:oMath>
      <w:r>
        <w:t xml:space="preserve">, according to a known likelihood</w:t>
      </w:r>
      <w:r>
        <w:t xml:space="preserve"> </w:t>
      </w:r>
      <m:oMath>
        <m:sSub>
          <m:e>
            <m:r>
              <m:t>L</m:t>
            </m:r>
          </m:e>
          <m:sub>
            <m:r>
              <m:t>i</m:t>
            </m:r>
          </m:sub>
        </m:sSub>
        <m:d>
          <m:dPr>
            <m:begChr m:val="("/>
            <m:endChr m:val=")"/>
            <m:sepChr m:val=""/>
            <m:grow/>
          </m:dPr>
          <m:e>
            <m:r>
              <m:t>y</m:t>
            </m:r>
            <m:r>
              <m:rPr>
                <m:sty m:val="p"/>
              </m:rPr>
              <m:t>∣</m:t>
            </m:r>
            <m:r>
              <m:t>x</m:t>
            </m:r>
          </m:e>
        </m:d>
      </m:oMath>
      <w:r>
        <w:t xml:space="preserve">. Source observations are conditionally independent given</w:t>
      </w:r>
      <w:r>
        <w:t xml:space="preserve"> </w:t>
      </w:r>
      <m:oMath>
        <m:r>
          <m:t>X</m:t>
        </m:r>
      </m:oMath>
      <w:r>
        <w:t xml:space="preserve">.</w:t>
      </w:r>
    </w:p>
    <w:p>
      <w:pPr>
        <w:pStyle w:val="BodyText"/>
        <w:keepNext/>
      </w:pPr>
      <w:r>
        <w:t xml:space="preserve">A final decision</w:t>
      </w:r>
      <w:r>
        <w:t xml:space="preserve"> </w:t>
      </w:r>
      <m:oMath>
        <m:r>
          <m:t>d</m:t>
        </m:r>
      </m:oMath>
      <w:r>
        <w:t xml:space="preserve"> </w:t>
      </w:r>
      <w:r>
        <w:t xml:space="preserve">belongs to a finite set</w:t>
      </w:r>
      <w:r>
        <w:t xml:space="preserve"> </w:t>
      </w:r>
      <m:oMath>
        <m:r>
          <m:rPr>
            <m:sty m:val="p"/>
          </m:rPr>
          <m:t>𝒟</m:t>
        </m:r>
      </m:oMath>
      <w:r>
        <w:t xml:space="preserve">, with loss</w:t>
      </w:r>
      <w:r>
        <w:t xml:space="preserve"> </w:t>
      </w:r>
      <m:oMath>
        <m:r>
          <m:t>0</m:t>
        </m:r>
        <m:r>
          <m:rPr>
            <m:sty m:val="p"/>
          </m:rPr>
          <m:t>≤</m:t>
        </m:r>
        <m:r>
          <m:rPr>
            <m:sty m:val="p"/>
          </m:rPr>
          <m:t>ℓ</m:t>
        </m:r>
        <m:d>
          <m:dPr>
            <m:begChr m:val="("/>
            <m:endChr m:val=")"/>
            <m:sepChr m:val=""/>
            <m:grow/>
          </m:dPr>
          <m:e>
            <m:r>
              <m:t>d</m:t>
            </m:r>
            <m:r>
              <m:rPr>
                <m:sty m:val="p"/>
              </m:rPr>
              <m:t>,</m:t>
            </m:r>
            <m:r>
              <m:t>x</m:t>
            </m:r>
          </m:e>
        </m:d>
        <m:r>
          <m:rPr>
            <m:sty m:val="p"/>
          </m:rPr>
          <m:t>≤</m:t>
        </m:r>
        <m:r>
          <m:t>1</m:t>
        </m:r>
      </m:oMath>
      <w:r>
        <w:t xml:space="preserve">. A policy may stop or query an unqueried source, with at most</w:t>
      </w:r>
      <w:r>
        <w:t xml:space="preserve"> </w:t>
      </w:r>
      <m:oMath>
        <m:r>
          <m:t>B</m:t>
        </m:r>
        <m:r>
          <m:rPr>
            <m:sty m:val="p"/>
          </m:rPr>
          <m:t>≤</m:t>
        </m:r>
        <m:r>
          <m:t>n</m:t>
        </m:r>
      </m:oMath>
      <w:r>
        <w:t xml:space="preserve"> </w:t>
      </w:r>
      <w:r>
        <w:t xml:space="preserve">queries. If its final queried set is</w:t>
      </w:r>
      <w:r>
        <w:t xml:space="preserve"> </w:t>
      </w:r>
      <m:oMath>
        <m:sSub>
          <m:e>
            <m:r>
              <m:t>S</m:t>
            </m:r>
          </m:e>
          <m:sub>
            <m:r>
              <m:t>τ</m:t>
            </m:r>
          </m:sub>
        </m:sSub>
      </m:oMath>
      <w:r>
        <w:t xml:space="preserve">, its objective is</w:t>
      </w:r>
    </w:p>
    <w:p>
      <w:pPr>
        <w:pStyle w:val="Equation"/>
        <w:tabs>
          <w:tab w:pos="4680" w:val="center"/>
          <w:tab w:pos="9792" w:val="right"/>
        </w:tabs>
        <w:jc w:val="left"/>
      </w:pPr>
      <w:r>
        <w:tab/>
      </w:r>
      <m:oMath>
        <m:sSub>
          <m:e>
            <m:r>
              <m:t>J</m:t>
            </m:r>
          </m:e>
          <m:sub>
            <m:r>
              <m:t>F</m:t>
            </m:r>
          </m:sub>
        </m:sSub>
        <m:d>
          <m:dPr>
            <m:begChr m:val="("/>
            <m:endChr m:val=")"/>
            <m:sepChr m:val=""/>
            <m:grow/>
          </m:dPr>
          <m:e>
            <m:r>
              <m:t>π</m:t>
            </m:r>
          </m:e>
        </m:d>
        <m:r>
          <m:rPr>
            <m:sty m:val="p"/>
          </m:rPr>
          <m:t>=</m:t>
        </m:r>
        <m:sSup>
          <m:e>
            <m:r>
              <m:rPr>
                <m:sty m:val="p"/>
              </m:rPr>
              <m:t>𝔼</m:t>
            </m:r>
          </m:e>
          <m:sup>
            <m:r>
              <m:t>π</m:t>
            </m:r>
          </m:sup>
        </m:sSup>
        <m:box>
          <m:e>
            <m:r>
              <m:rPr>
                <m:sty m:val="p"/>
              </m:rPr>
              <m:t>[</m:t>
            </m:r>
            <m:r>
              <m:rPr>
                <m:sty m:val="p"/>
              </m:rPr>
              <m:t>ℓ</m:t>
            </m:r>
            <m:d>
              <m:dPr>
                <m:begChr m:val="("/>
                <m:endChr m:val=")"/>
                <m:sepChr m:val=""/>
                <m:grow/>
              </m:dPr>
              <m:e>
                <m:sSub>
                  <m:e>
                    <m:r>
                      <m:t>d</m:t>
                    </m:r>
                  </m:e>
                  <m:sub>
                    <m:r>
                      <m:t>τ</m:t>
                    </m:r>
                  </m:sub>
                </m:sSub>
                <m:r>
                  <m:rPr>
                    <m:sty m:val="p"/>
                  </m:rPr>
                  <m:t>,</m:t>
                </m:r>
                <m:r>
                  <m:t>X</m:t>
                </m:r>
              </m:e>
            </m:d>
            <m:r>
              <m:rPr>
                <m:sty m:val="p"/>
              </m:rPr>
              <m:t>+</m:t>
            </m:r>
            <m:r>
              <m:t>λ</m:t>
            </m:r>
            <m:r>
              <m:t>F</m:t>
            </m:r>
            <m:d>
              <m:dPr>
                <m:begChr m:val="("/>
                <m:endChr m:val=")"/>
                <m:sepChr m:val=""/>
                <m:grow/>
              </m:dPr>
              <m:e>
                <m:sSub>
                  <m:e>
                    <m:r>
                      <m:t>S</m:t>
                    </m:r>
                  </m:e>
                  <m:sub>
                    <m:r>
                      <m:t>τ</m:t>
                    </m:r>
                  </m:sub>
                </m:sSub>
              </m:e>
            </m:d>
            <m:r>
              <m:rPr>
                <m:sty m:val="p"/>
              </m:rPr>
              <m:t>]</m:t>
            </m:r>
          </m:e>
        </m:box>
        <m:r>
          <m:rPr>
            <m:sty m:val="p"/>
          </m:rPr>
          <m:t>,</m:t>
        </m:r>
        <m:r>
          <m:t>  </m:t>
        </m:r>
        <m:r>
          <m:t>λ</m:t>
        </m:r>
        <m:r>
          <m:rPr>
            <m:sty m:val="p"/>
          </m:rPr>
          <m:t>&gt;</m:t>
        </m:r>
        <m:r>
          <m:t>0</m:t>
        </m:r>
        <m:r>
          <m:rPr>
            <m:sty m:val="p"/>
          </m:rPr>
          <m:t>.</m:t>
        </m:r>
      </m:oMath>
      <w:r>
        <w:tab/>
        <w:t>(13)</w:t>
      </w:r>
    </w:p>
    <w:p>
      <w:pPr>
        <w:pStyle w:val="BodyText"/>
      </w:pPr>
      <w:r>
        <w:t xml:space="preserve">The query limit is a call budget; monetary cost appears as a penalty. A hard monetary constraint would make the admissible policy class depend on the estimated cost and requires separate treatment.</w:t>
      </w:r>
    </w:p>
    <w:p>
      <w:pPr>
        <w:pStyle w:val="BodyText"/>
        <w:keepNext/>
      </w:pPr>
      <w:r>
        <w:t xml:space="preserve">For posterior</w:t>
      </w:r>
      <w:r>
        <w:t xml:space="preserve"> </w:t>
      </w:r>
      <m:oMath>
        <m:r>
          <m:t>p</m:t>
        </m:r>
      </m:oMath>
      <w:r>
        <w:t xml:space="preserve">, define</w:t>
      </w:r>
    </w:p>
    <w:p>
      <w:pPr>
        <w:pStyle w:val="Equation"/>
        <w:keepNext/>
        <w:jc w:val="center"/>
      </w:pPr>
      <m:oMathPara>
        <m:oMathParaPr>
          <m:jc m:val="center"/>
        </m:oMathParaPr>
        <m:oMath>
          <m:r>
            <m:t>r</m:t>
          </m:r>
          <m:d>
            <m:dPr>
              <m:begChr m:val="("/>
              <m:endChr m:val=")"/>
              <m:sepChr m:val=""/>
              <m:grow/>
            </m:dPr>
            <m:e>
              <m:r>
                <m:t>p</m:t>
              </m:r>
            </m:e>
          </m:d>
          <m:r>
            <m:rPr>
              <m:sty m:val="p"/>
            </m:rPr>
            <m:t>=</m:t>
          </m:r>
          <m:limLow>
            <m:e>
              <m:r>
                <m:rPr>
                  <m:sty m:val="p"/>
                  <m:nor/>
                </m:rPr>
                <m:t>min</m:t>
              </m:r>
            </m:e>
            <m:lim>
              <m:r>
                <m:t>d</m:t>
              </m:r>
              <m:r>
                <m:rPr>
                  <m:sty m:val="p"/>
                </m:rPr>
                <m:t>∈</m:t>
              </m:r>
              <m:r>
                <m:rPr>
                  <m:sty m:val="p"/>
                </m:rPr>
                <m:t>𝒟</m:t>
              </m:r>
            </m:lim>
          </m:limLow>
          <m:nary>
            <m:naryPr>
              <m:chr m:val="∑"/>
              <m:limLoc m:val="undOvr"/>
              <m:subHide m:val="off"/>
              <m:supHide m:val="on"/>
            </m:naryPr>
            <m:sub>
              <m:r>
                <m:t>x</m:t>
              </m:r>
            </m:sub>
            <m:sup>
              <m:r>
                <m:t>​</m:t>
              </m:r>
            </m:sup>
            <m:e>
              <m:r>
                <m:t>p</m:t>
              </m:r>
            </m:e>
          </m:nary>
          <m:d>
            <m:dPr>
              <m:begChr m:val="("/>
              <m:endChr m:val=")"/>
              <m:sepChr m:val=""/>
              <m:grow/>
            </m:dPr>
            <m:e>
              <m:r>
                <m:t>x</m:t>
              </m:r>
            </m:e>
          </m:d>
          <m:r>
            <m:rPr>
              <m:sty m:val="p"/>
            </m:rPr>
            <m:t>ℓ</m:t>
          </m:r>
          <m:d>
            <m:dPr>
              <m:begChr m:val="("/>
              <m:endChr m:val=")"/>
              <m:sepChr m:val=""/>
              <m:grow/>
            </m:dPr>
            <m:e>
              <m:r>
                <m:t>d</m:t>
              </m:r>
              <m:r>
                <m:rPr>
                  <m:sty m:val="p"/>
                </m:rPr>
                <m:t>,</m:t>
              </m:r>
              <m:r>
                <m:t>x</m:t>
              </m:r>
            </m:e>
          </m:d>
          <m:r>
            <m:rPr>
              <m:sty m:val="p"/>
            </m:rPr>
            <m:t>,</m:t>
          </m:r>
        </m:oMath>
      </m:oMathPara>
    </w:p>
    <w:p>
      <w:pPr>
        <w:pStyle w:val="Equation"/>
        <w:tabs>
          <w:tab w:pos="4680" w:val="center"/>
          <w:tab w:pos="9792" w:val="right"/>
        </w:tabs>
        <w:jc w:val="left"/>
      </w:pPr>
      <w:r>
        <w:tab/>
      </w:r>
      <m:oMath>
        <m:sSub>
          <m:e>
            <m:r>
              <m:t>q</m:t>
            </m:r>
          </m:e>
          <m:sub>
            <m:r>
              <m:t>i</m:t>
            </m:r>
          </m:sub>
        </m:sSub>
        <m:d>
          <m:dPr>
            <m:begChr m:val="("/>
            <m:endChr m:val=")"/>
            <m:sepChr m:val=""/>
            <m:grow/>
          </m:dPr>
          <m:e>
            <m:r>
              <m:t>y</m:t>
            </m:r>
            <m:r>
              <m:rPr>
                <m:sty m:val="p"/>
              </m:rPr>
              <m:t>∣</m:t>
            </m:r>
            <m:r>
              <m:t>p</m:t>
            </m:r>
          </m:e>
        </m:d>
        <m:r>
          <m:rPr>
            <m:sty m:val="p"/>
          </m:rPr>
          <m:t>=</m:t>
        </m:r>
        <m:nary>
          <m:naryPr>
            <m:chr m:val="∑"/>
            <m:limLoc m:val="undOvr"/>
            <m:subHide m:val="off"/>
            <m:supHide m:val="on"/>
          </m:naryPr>
          <m:sub>
            <m:r>
              <m:t>x</m:t>
            </m:r>
          </m:sub>
          <m:sup>
            <m:r>
              <m:t>​</m:t>
            </m:r>
          </m:sup>
          <m:e>
            <m:r>
              <m:t>p</m:t>
            </m:r>
          </m:e>
        </m:nary>
        <m:d>
          <m:dPr>
            <m:begChr m:val="("/>
            <m:endChr m:val=")"/>
            <m:sepChr m:val=""/>
            <m:grow/>
          </m:dPr>
          <m:e>
            <m:r>
              <m:t>x</m:t>
            </m:r>
          </m:e>
        </m:d>
        <m:sSub>
          <m:e>
            <m:r>
              <m:t>L</m:t>
            </m:r>
          </m:e>
          <m:sub>
            <m:r>
              <m:t>i</m:t>
            </m:r>
          </m:sub>
        </m:sSub>
        <m:d>
          <m:dPr>
            <m:begChr m:val="("/>
            <m:endChr m:val=")"/>
            <m:sepChr m:val=""/>
            <m:grow/>
          </m:dPr>
          <m:e>
            <m:r>
              <m:t>y</m:t>
            </m:r>
            <m:r>
              <m:rPr>
                <m:sty m:val="p"/>
              </m:rPr>
              <m:t>∣</m:t>
            </m:r>
            <m:r>
              <m:t>x</m:t>
            </m:r>
          </m:e>
        </m:d>
        <m:r>
          <m:rPr>
            <m:sty m:val="p"/>
          </m:rPr>
          <m:t>,</m:t>
        </m:r>
        <m:r>
          <m:t>  </m:t>
        </m:r>
        <m:sSub>
          <m:e>
            <m:r>
              <m:t>T</m:t>
            </m:r>
          </m:e>
          <m:sub>
            <m:r>
              <m:t>i</m:t>
            </m:r>
          </m:sub>
        </m:sSub>
        <m:d>
          <m:dPr>
            <m:begChr m:val="("/>
            <m:endChr m:val=")"/>
            <m:sepChr m:val=""/>
            <m:grow/>
          </m:dPr>
          <m:e>
            <m:r>
              <m:t>p</m:t>
            </m:r>
            <m:r>
              <m:rPr>
                <m:sty m:val="p"/>
              </m:rPr>
              <m:t>,</m:t>
            </m:r>
            <m:r>
              <m:t>y</m:t>
            </m:r>
          </m:e>
        </m:d>
        <m:d>
          <m:dPr>
            <m:begChr m:val="("/>
            <m:endChr m:val=")"/>
            <m:sepChr m:val=""/>
            <m:grow/>
          </m:dPr>
          <m:e>
            <m:r>
              <m:t>x</m:t>
            </m:r>
          </m:e>
        </m:d>
        <m:r>
          <m:rPr>
            <m:sty m:val="p"/>
          </m:rPr>
          <m:t>=</m:t>
        </m:r>
        <m:f>
          <m:fPr>
            <m:type m:val="bar"/>
          </m:fPr>
          <m:num>
            <m:r>
              <m:t>p</m:t>
            </m:r>
            <m:d>
              <m:dPr>
                <m:begChr m:val="("/>
                <m:endChr m:val=")"/>
                <m:sepChr m:val=""/>
                <m:grow/>
              </m:dPr>
              <m:e>
                <m:r>
                  <m:t>x</m:t>
                </m:r>
              </m:e>
            </m:d>
            <m:sSub>
              <m:e>
                <m:r>
                  <m:t>L</m:t>
                </m:r>
              </m:e>
              <m:sub>
                <m:r>
                  <m:t>i</m:t>
                </m:r>
              </m:sub>
            </m:sSub>
            <m:d>
              <m:dPr>
                <m:begChr m:val="("/>
                <m:endChr m:val=")"/>
                <m:sepChr m:val=""/>
                <m:grow/>
              </m:dPr>
              <m:e>
                <m:r>
                  <m:t>y</m:t>
                </m:r>
                <m:r>
                  <m:rPr>
                    <m:sty m:val="p"/>
                  </m:rPr>
                  <m:t>∣</m:t>
                </m:r>
                <m:r>
                  <m:t>x</m:t>
                </m:r>
              </m:e>
            </m:d>
          </m:num>
          <m:den>
            <m:sSub>
              <m:e>
                <m:r>
                  <m:t>q</m:t>
                </m:r>
              </m:e>
              <m:sub>
                <m:r>
                  <m:t>i</m:t>
                </m:r>
              </m:sub>
            </m:sSub>
            <m:d>
              <m:dPr>
                <m:begChr m:val="("/>
                <m:endChr m:val=")"/>
                <m:sepChr m:val=""/>
                <m:grow/>
              </m:dPr>
              <m:e>
                <m:r>
                  <m:t>y</m:t>
                </m:r>
                <m:r>
                  <m:rPr>
                    <m:sty m:val="p"/>
                  </m:rPr>
                  <m:t>∣</m:t>
                </m:r>
                <m:r>
                  <m:t>p</m:t>
                </m:r>
              </m:e>
            </m:d>
          </m:den>
        </m:f>
        <m:r>
          <m:rPr>
            <m:sty m:val="p"/>
          </m:rPr>
          <m:t>.</m:t>
        </m:r>
      </m:oMath>
      <w:r>
        <w:tab/>
        <w:t>(14)</w:t>
      </w:r>
    </w:p>
    <w:p>
      <w:pPr>
        <w:pStyle w:val="BodyText"/>
      </w:pPr>
      <w:r>
        <w:t xml:space="preserve">Outcomes of zero predictive probability are omitted.</w:t>
      </w:r>
    </w:p>
    <w:p>
      <w:pPr>
        <w:pStyle w:val="BodyText"/>
        <w:keepNext/>
        <w:spacing w:before="140" w:after="100"/>
      </w:pPr>
      <w:r>
        <w:rPr>
          <w:bCs/>
          <w:b/>
        </w:rPr>
        <w:t xml:space="preserve">Proposition 4.1 — Bellman recursion.</w:t>
      </w:r>
      <w:r>
        <w:t xml:space="preserve"> </w:t>
      </w:r>
      <w:r>
        <w:t xml:space="preserve">The minimum expected remaining loss and future acquisition cost, after querying</w:t>
      </w:r>
      <w:r>
        <w:t xml:space="preserve"> </w:t>
      </w:r>
      <m:oMath>
        <m:r>
          <m:t>A</m:t>
        </m:r>
      </m:oMath>
      <w:r>
        <w:t xml:space="preserve"> </w:t>
      </w:r>
      <w:r>
        <w:t xml:space="preserve">and with</w:t>
      </w:r>
      <w:r>
        <w:t xml:space="preserve"> </w:t>
      </w:r>
      <m:oMath>
        <m:r>
          <m:t>b</m:t>
        </m:r>
      </m:oMath>
      <w:r>
        <w:t xml:space="preserve"> </w:t>
      </w:r>
      <w:r>
        <w:t xml:space="preserve">calls remaining, is</w:t>
      </w:r>
    </w:p>
    <w:p>
      <w:pPr>
        <w:pStyle w:val="Equation"/>
        <w:tabs>
          <w:tab w:pos="4680" w:val="center"/>
          <w:tab w:pos="9792" w:val="right"/>
        </w:tabs>
        <w:jc w:val="left"/>
      </w:pPr>
      <w:r>
        <w:tab/>
      </w:r>
      <m:oMath>
        <m:sSub>
          <m:e>
            <m:r>
              <m:t>V</m:t>
            </m:r>
          </m:e>
          <m:sub>
            <m:r>
              <m:t>0</m:t>
            </m:r>
          </m:sub>
        </m:sSub>
        <m:d>
          <m:dPr>
            <m:begChr m:val="("/>
            <m:endChr m:val=")"/>
            <m:sepChr m:val=""/>
            <m:grow/>
          </m:dPr>
          <m:e>
            <m:r>
              <m:t>p</m:t>
            </m:r>
            <m:r>
              <m:rPr>
                <m:sty m:val="p"/>
              </m:rPr>
              <m:t>,</m:t>
            </m:r>
            <m:r>
              <m:t>A</m:t>
            </m:r>
          </m:e>
        </m:d>
        <m:r>
          <m:rPr>
            <m:sty m:val="p"/>
          </m:rPr>
          <m:t>=</m:t>
        </m:r>
        <m:r>
          <m:t>r</m:t>
        </m:r>
        <m:d>
          <m:dPr>
            <m:begChr m:val="("/>
            <m:endChr m:val=")"/>
            <m:sepChr m:val=""/>
            <m:grow/>
          </m:dPr>
          <m:e>
            <m:r>
              <m:t>p</m:t>
            </m:r>
          </m:e>
        </m:d>
        <m:r>
          <m:rPr>
            <m:sty m:val="p"/>
          </m:rPr>
          <m:t>,</m:t>
        </m:r>
      </m:oMath>
      <w:r>
        <w:tab/>
        <w:t>(15)</w:t>
      </w:r>
    </w:p>
    <w:p>
      <w:pPr>
        <w:pStyle w:val="BodyText"/>
        <w:keepNext/>
      </w:pPr>
      <w:r>
        <w:t xml:space="preserve">and, for</w:t>
      </w:r>
      <w:r>
        <w:t xml:space="preserve"> </w:t>
      </w:r>
      <m:oMath>
        <m:r>
          <m:t>b</m:t>
        </m:r>
        <m:r>
          <m:rPr>
            <m:sty m:val="p"/>
          </m:rPr>
          <m:t>≥</m:t>
        </m:r>
        <m:r>
          <m:t>1</m:t>
        </m:r>
      </m:oMath>
      <w:r>
        <w:t xml:space="preserve">,</w:t>
      </w:r>
    </w:p>
    <w:p>
      <w:pPr>
        <w:pStyle w:val="Equation"/>
        <w:tabs>
          <w:tab w:pos="4680" w:val="center"/>
          <w:tab w:pos="9792" w:val="right"/>
        </w:tabs>
        <w:jc w:val="left"/>
      </w:pPr>
      <w:r>
        <w:tab/>
      </w:r>
      <m:oMath>
        <m:eqArr>
          <m:eqArrPr>
            <m:baseJc m:val="center"/>
          </m:eqArrPr>
          <m:e>
            <m:sSub>
              <m:e>
                <m:r>
                  <m:t>V</m:t>
                </m:r>
              </m:e>
              <m:sub>
                <m:r>
                  <m:t>b</m:t>
                </m:r>
              </m:sub>
            </m:sSub>
            <m:d>
              <m:dPr>
                <m:begChr m:val="("/>
                <m:endChr m:val=")"/>
                <m:sepChr m:val=""/>
                <m:grow/>
              </m:dPr>
              <m:e>
                <m:r>
                  <m:t>p</m:t>
                </m:r>
                <m:r>
                  <m:rPr>
                    <m:sty m:val="p"/>
                  </m:rPr>
                  <m:t>,</m:t>
                </m:r>
                <m:r>
                  <m:t>A</m:t>
                </m:r>
              </m:e>
            </m:d>
            <m:r>
              <m:rPr>
                <m:sty m:val="p"/>
              </m:rPr>
              <m:t>=</m:t>
            </m:r>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sSub>
              <m:e>
                <m:r>
                  <m:t>V</m:t>
                </m:r>
              </m:e>
              <m:sub>
                <m:r>
                  <m:t>b</m:t>
                </m:r>
                <m:r>
                  <m:rPr>
                    <m:sty m:val="p"/>
                  </m:rPr>
                  <m:t>−</m:t>
                </m:r>
                <m:r>
                  <m:t>1</m:t>
                </m:r>
              </m:sub>
            </m:sSub>
            <m:d>
              <m:dPr>
                <m:begChr m:val="("/>
                <m:endChr m:val=")"/>
                <m:sepChr m:val=""/>
                <m:grow/>
              </m:dPr>
              <m:e>
                <m:sSub>
                  <m:e>
                    <m:r>
                      <m:t>T</m:t>
                    </m:r>
                  </m:e>
                  <m:sub>
                    <m:r>
                      <m:t>i</m:t>
                    </m:r>
                  </m:sub>
                </m:sSub>
                <m:d>
                  <m:dPr>
                    <m:begChr m:val="("/>
                    <m:endChr m:val=")"/>
                    <m:sepChr m:val=""/>
                    <m:grow/>
                  </m:dPr>
                  <m:e>
                    <m:r>
                      <m:t>p</m:t>
                    </m:r>
                    <m:r>
                      <m:rPr>
                        <m:sty m:val="p"/>
                      </m:rPr>
                      <m:t>,</m:t>
                    </m:r>
                    <m:r>
                      <m:t>y</m:t>
                    </m:r>
                  </m:e>
                </m:d>
                <m:r>
                  <m:rPr>
                    <m:sty m:val="p"/>
                  </m:rPr>
                  <m:t>,</m:t>
                </m:r>
                <m:r>
                  <m:t>A</m:t>
                </m:r>
                <m:r>
                  <m:rPr>
                    <m:sty m:val="p"/>
                  </m:rPr>
                  <m:t>∪</m:t>
                </m:r>
                <m:r>
                  <m:rPr>
                    <m:sty m:val="p"/>
                  </m:rPr>
                  <m:t>{</m:t>
                </m:r>
                <m:r>
                  <m:t>i</m:t>
                </m:r>
                <m:r>
                  <m:rPr>
                    <m:sty m:val="p"/>
                  </m:rPr>
                  <m:t>}</m:t>
                </m:r>
              </m:e>
            </m:d>
            <m:r>
              <m:rPr>
                <m:sty m:val="p"/>
              </m:rPr>
              <m:t>]</m:t>
            </m:r>
            <m:r>
              <m:rPr>
                <m:sty m:val="p"/>
              </m:rPr>
              <m:t>}</m:t>
            </m:r>
            <m:r>
              <m:rPr>
                <m:sty m:val="p"/>
              </m:rPr>
              <m:t>.</m:t>
            </m:r>
          </m:e>
        </m:eqArr>
      </m:oMath>
      <w:r>
        <w:tab/>
        <w:t>(16)</w:t>
      </w:r>
    </w:p>
    <w:p>
      <w:pPr>
        <w:pStyle w:val="BodyText"/>
      </w:pPr>
      <w:r>
        <w:t xml:space="preserve">If no source remains, only the stopping term is used. A deterministic optimal policy exists.</w:t>
      </w:r>
    </w:p>
    <w:p>
      <w:pPr>
        <w:pStyle w:val="BodyText"/>
      </w:pPr>
      <w:r>
        <w:rPr>
          <w:iCs/>
          <w:i/>
        </w:rPr>
        <w:t xml:space="preserve">Proof.</w:t>
      </w:r>
      <w:r>
        <w:t xml:space="preserve"> </w:t>
      </w:r>
      <w:r>
        <w:t xml:space="preserve">Conditional independence makes</w:t>
      </w:r>
      <w:r>
        <w:t xml:space="preserve"> </w:t>
      </w:r>
      <m:oMath>
        <m:d>
          <m:dPr>
            <m:begChr m:val="("/>
            <m:endChr m:val=")"/>
            <m:sepChr m:val=""/>
            <m:grow/>
          </m:dPr>
          <m:e>
            <m:r>
              <m:t>p</m:t>
            </m:r>
            <m:r>
              <m:rPr>
                <m:sty m:val="p"/>
              </m:rPr>
              <m:t>,</m:t>
            </m:r>
            <m:r>
              <m:t>A</m:t>
            </m:r>
            <m:r>
              <m:rPr>
                <m:sty m:val="p"/>
              </m:rPr>
              <m:t>,</m:t>
            </m:r>
            <m:r>
              <m:t>b</m:t>
            </m:r>
          </m:e>
        </m:d>
      </m:oMath>
      <w:r>
        <w:t xml:space="preserve"> </w:t>
      </w:r>
      <w:r>
        <w:t xml:space="preserve">sufficient for predicting every remaining observation. Stopping incurs Bayes risk</w:t>
      </w:r>
      <w:r>
        <w:t xml:space="preserve"> </w:t>
      </w:r>
      <m:oMath>
        <m:r>
          <m:t>r</m:t>
        </m:r>
        <m:d>
          <m:dPr>
            <m:begChr m:val="("/>
            <m:endChr m:val=")"/>
            <m:sepChr m:val=""/>
            <m:grow/>
          </m:dPr>
          <m:e>
            <m:r>
              <m:t>p</m:t>
            </m:r>
          </m:e>
        </m:d>
      </m:oMath>
      <w:r>
        <w:t xml:space="preserve">. Querying</w:t>
      </w:r>
      <w:r>
        <w:t xml:space="preserve"> </w:t>
      </w:r>
      <m:oMath>
        <m:r>
          <m:t>i</m:t>
        </m:r>
      </m:oMath>
      <w:r>
        <w:t xml:space="preserve"> </w:t>
      </w:r>
      <w:r>
        <w:t xml:space="preserve">incurs its marginal cost and the optimal continuation value under the updated posterior.</w:t>
      </w:r>
    </w:p>
    <w:p>
      <w:pPr>
        <w:pStyle w:val="BodyText"/>
      </w:pPr>
      <w:r>
        <w:t xml:space="preserve">Backward induction over</w:t>
      </w:r>
      <w:r>
        <w:t xml:space="preserve"> </w:t>
      </w:r>
      <m:oMath>
        <m:r>
          <m:t>b</m:t>
        </m:r>
      </m:oMath>
      <w:r>
        <w:t xml:space="preserve"> </w:t>
      </w:r>
      <w:r>
        <w:t xml:space="preserve">proves (15)–(16). The action and observation sets are finite, so every minimum is attained. Marginal costs telescope to</w:t>
      </w:r>
      <w:r>
        <w:t xml:space="preserve"> </w:t>
      </w:r>
      <m:oMath>
        <m:r>
          <m:t>F</m:t>
        </m:r>
        <m:d>
          <m:dPr>
            <m:begChr m:val="("/>
            <m:endChr m:val=")"/>
            <m:sepChr m:val=""/>
            <m:grow/>
          </m:dPr>
          <m:e>
            <m:sSub>
              <m:e>
                <m:r>
                  <m:t>S</m:t>
                </m:r>
              </m:e>
              <m:sub>
                <m:r>
                  <m:t>τ</m:t>
                </m:r>
              </m:sub>
            </m:sSub>
          </m:e>
        </m:d>
      </m:oMath>
      <w:r>
        <w:t xml:space="preserve">, giving (13) at the initial state.</w:t>
      </w:r>
      <w:r>
        <w:t xml:space="preserve"> </w:t>
      </w:r>
      <m:oMath>
        <m:r>
          <m:rPr>
            <m:sty m:val="p"/>
          </m:rPr>
          <m:t>▫</m:t>
        </m:r>
      </m:oMath>
    </w:p>
    <w:p>
      <w:pPr>
        <w:pStyle w:val="BodyText"/>
        <w:keepNext/>
      </w:pPr>
      <w:r>
        <w:t xml:space="preserve">This specializes finite-horizon belief-state dynamic programming [7]. With at most</w:t>
      </w:r>
      <w:r>
        <w:t xml:space="preserve"> </w:t>
      </w:r>
      <m:oMath>
        <m:r>
          <m:t>q</m:t>
        </m:r>
      </m:oMath>
      <w:r>
        <w:t xml:space="preserve"> </w:t>
      </w:r>
      <w:r>
        <w:t xml:space="preserve">outcomes per source, there are at most</w:t>
      </w:r>
    </w:p>
    <w:p>
      <w:pPr>
        <w:pStyle w:val="Equation"/>
        <w:jc w:val="center"/>
      </w:pPr>
      <m:oMathPara>
        <m:oMathParaPr>
          <m:jc m:val="center"/>
        </m:oMathParaPr>
        <m:oMath>
          <m:nary>
            <m:naryPr>
              <m:chr m:val="∑"/>
              <m:limLoc m:val="undOvr"/>
              <m:subHide m:val="off"/>
              <m:supHide m:val="off"/>
            </m:naryPr>
            <m:sub>
              <m:r>
                <m:t>m</m:t>
              </m:r>
              <m:r>
                <m:rPr>
                  <m:sty m:val="p"/>
                </m:rPr>
                <m:t>=</m:t>
              </m:r>
              <m:r>
                <m:t>0</m:t>
              </m:r>
            </m:sub>
            <m:sup>
              <m:r>
                <m:t>B</m:t>
              </m:r>
            </m:sup>
            <m:e>
              <m:d>
                <m:dPr>
                  <m:begChr m:val="("/>
                  <m:endChr m:val=")"/>
                  <m:sepChr m:val=""/>
                  <m:grow/>
                </m:dPr>
                <m:e>
                  <m:f>
                    <m:fPr>
                      <m:type m:val="noBar"/>
                    </m:fPr>
                    <m:num>
                      <m:r>
                        <m:t>n</m:t>
                      </m:r>
                    </m:num>
                    <m:den>
                      <m:r>
                        <m:t>m</m:t>
                      </m:r>
                    </m:den>
                  </m:f>
                </m:e>
              </m:d>
            </m:e>
          </m:nary>
          <m:sSup>
            <m:e>
              <m:r>
                <m:t>q</m:t>
              </m:r>
            </m:e>
            <m:sup>
              <m:r>
                <m:t>m</m:t>
              </m:r>
            </m:sup>
          </m:sSup>
        </m:oMath>
      </m:oMathPara>
    </w:p>
    <w:p>
      <w:pPr>
        <w:pStyle w:val="FirstParagraph"/>
      </w:pPr>
      <w:r>
        <w:t xml:space="preserve">partial observation assignments from a fixed prior. Compact representation of acquisition costs therefore does not make exact adaptive optimization polynomial.</w:t>
      </w:r>
    </w:p>
    <w:p>
      <w:pPr>
        <w:pStyle w:val="BodyText"/>
      </w:pPr>
      <w:r>
        <w:t xml:space="preserve">The same recursion applies to</w:t>
      </w:r>
      <w:r>
        <w:t xml:space="preserve"> </w:t>
      </w:r>
      <m:oMath>
        <m:r>
          <m:t>H</m:t>
        </m:r>
      </m:oMath>
      <w:r>
        <w:t xml:space="preserve">, using differences</w:t>
      </w:r>
      <w:r>
        <w:t xml:space="preserve"> </w:t>
      </w:r>
      <m:oMath>
        <m:r>
          <m:t>H</m:t>
        </m:r>
        <m:d>
          <m:dPr>
            <m:begChr m:val="("/>
            <m:endChr m:val=")"/>
            <m:sepChr m:val=""/>
            <m:grow/>
          </m:dPr>
          <m:e>
            <m:r>
              <m:t>A</m:t>
            </m:r>
            <m:r>
              <m:rPr>
                <m:sty m:val="p"/>
              </m:rPr>
              <m:t>∪</m:t>
            </m:r>
            <m:r>
              <m:rPr>
                <m:sty m:val="p"/>
              </m:rPr>
              <m:t>{</m:t>
            </m:r>
            <m:r>
              <m:t>i</m:t>
            </m:r>
            <m:r>
              <m:rPr>
                <m:sty m:val="p"/>
              </m:rPr>
              <m:t>}</m:t>
            </m:r>
          </m:e>
        </m:d>
        <m:r>
          <m:rPr>
            <m:sty m:val="p"/>
          </m:rPr>
          <m:t>−</m:t>
        </m:r>
        <m:r>
          <m:t>H</m:t>
        </m:r>
        <m:d>
          <m:dPr>
            <m:begChr m:val="("/>
            <m:endChr m:val=")"/>
            <m:sepChr m:val=""/>
            <m:grow/>
          </m:dPr>
          <m:e>
            <m:r>
              <m:t>A</m:t>
            </m:r>
          </m:e>
        </m:d>
      </m:oMath>
      <w:r>
        <w:t xml:space="preserve">. When raw measurements are incompatible, these differences must be evaluated from the set estimate: formula (4) need not hold for noisy overlaps. Negative surrogate increments do not invalidate finite-horizon optimization, although they lack a physical activation-cost interpretation.</w:t>
      </w:r>
    </w:p>
    <w:bookmarkEnd w:id="36"/>
    <w:bookmarkStart w:id="37" w:name="stability-of-values-and-policies"/>
    <w:p>
      <w:pPr>
        <w:pStyle w:val="Heading2"/>
      </w:pPr>
      <w:r>
        <w:t xml:space="preserve">4.2. Stability of values and policies</w:t>
      </w:r>
    </w:p>
    <w:p>
      <w:pPr>
        <w:pStyle w:val="FirstParagraph"/>
        <w:keepNext/>
      </w:pPr>
      <w:r>
        <w:t xml:space="preserve">Write</w:t>
      </w:r>
      <w:r>
        <w:t xml:space="preserve"> </w:t>
      </w:r>
      <m:oMath>
        <m:sSub>
          <m:e>
            <m:r>
              <m:t>V</m:t>
            </m:r>
          </m:e>
          <m:sub>
            <m:r>
              <m:t>F</m:t>
            </m:r>
          </m:sub>
        </m:sSub>
        <m:r>
          <m:rPr>
            <m:sty m:val="p"/>
          </m:rPr>
          <m:t>=</m:t>
        </m:r>
        <m:sSub>
          <m:e>
            <m:r>
              <m:rPr>
                <m:sty m:val="p"/>
                <m:nor/>
              </m:rPr>
              <m:t>min</m:t>
            </m:r>
          </m:e>
          <m:sub>
            <m:r>
              <m:t>π</m:t>
            </m:r>
          </m:sub>
        </m:sSub>
        <m:sSub>
          <m:e>
            <m:r>
              <m:t>J</m:t>
            </m:r>
          </m:e>
          <m:sub>
            <m:r>
              <m:t>F</m:t>
            </m:r>
          </m:sub>
        </m:sSub>
        <m:d>
          <m:dPr>
            <m:begChr m:val="("/>
            <m:endChr m:val=")"/>
            <m:sepChr m:val=""/>
            <m:grow/>
          </m:dPr>
          <m:e>
            <m:r>
              <m:t>π</m:t>
            </m:r>
          </m:e>
        </m:d>
      </m:oMath>
      <w:r>
        <w:t xml:space="preserve">,</w:t>
      </w:r>
      <w:r>
        <w:t xml:space="preserve"> </w:t>
      </w:r>
      <m:oMath>
        <m:sSub>
          <m:e>
            <m:r>
              <m:t>V</m:t>
            </m:r>
          </m:e>
          <m:sub>
            <m:r>
              <m:t>H</m:t>
            </m:r>
          </m:sub>
        </m:sSub>
        <m:r>
          <m:rPr>
            <m:sty m:val="p"/>
          </m:rPr>
          <m:t>=</m:t>
        </m:r>
        <m:sSub>
          <m:e>
            <m:r>
              <m:rPr>
                <m:sty m:val="p"/>
                <m:nor/>
              </m:rPr>
              <m:t>min</m:t>
            </m:r>
          </m:e>
          <m:sub>
            <m:r>
              <m:t>π</m:t>
            </m:r>
          </m:sub>
        </m:sSub>
        <m:sSub>
          <m:e>
            <m:r>
              <m:t>J</m:t>
            </m:r>
          </m:e>
          <m:sub>
            <m:r>
              <m:t>H</m:t>
            </m:r>
          </m:sub>
        </m:sSub>
        <m:d>
          <m:dPr>
            <m:begChr m:val="("/>
            <m:endChr m:val=")"/>
            <m:sepChr m:val=""/>
            <m:grow/>
          </m:dPr>
          <m:e>
            <m:r>
              <m:t>π</m:t>
            </m:r>
          </m:e>
        </m:d>
      </m:oMath>
      <w:r>
        <w:t xml:space="preserve">, and</w:t>
      </w:r>
    </w:p>
    <w:p>
      <w:pPr>
        <w:pStyle w:val="Equation"/>
        <w:tabs>
          <w:tab w:pos="4680" w:val="center"/>
          <w:tab w:pos="9792" w:val="right"/>
        </w:tabs>
        <w:jc w:val="left"/>
      </w:pPr>
      <w:r>
        <w:tab/>
      </w:r>
      <m:oMath>
        <m:sSub>
          <m:e>
            <m:r>
              <m:t>β</m:t>
            </m:r>
          </m:e>
          <m:sub>
            <m:r>
              <m:t>B</m:t>
            </m:r>
          </m:sub>
        </m:sSub>
        <m:r>
          <m:rPr>
            <m:sty m:val="p"/>
          </m:rPr>
          <m:t>=</m:t>
        </m:r>
        <m:limLow>
          <m:e>
            <m:r>
              <m:rPr>
                <m:sty m:val="p"/>
                <m:nor/>
              </m:rPr>
              <m:t>max</m:t>
            </m:r>
          </m:e>
          <m:lim>
            <m:r>
              <m:t>0</m:t>
            </m:r>
            <m:r>
              <m:rPr>
                <m:sty m:val="p"/>
              </m:rPr>
              <m:t>≤</m:t>
            </m:r>
            <m:r>
              <m:t>m</m:t>
            </m:r>
            <m:r>
              <m:rPr>
                <m:sty m:val="p"/>
              </m:rPr>
              <m:t>≤</m:t>
            </m:r>
            <m:r>
              <m:t>B</m:t>
            </m:r>
          </m:lim>
        </m:limLow>
        <m:sSub>
          <m:e>
            <m:r>
              <m:t>α</m:t>
            </m:r>
          </m:e>
          <m:sub>
            <m:r>
              <m:t>m</m:t>
            </m:r>
          </m:sub>
        </m:sSub>
        <m:r>
          <m:rPr>
            <m:sty m:val="p"/>
          </m:rPr>
          <m:t>=</m:t>
        </m:r>
        <m:box>
          <m:e>
            <m:r>
              <m:rPr>
                <m:sty m:val="p"/>
              </m:rPr>
              <w:rPr>
                <w:sz w:val="66"/>
              </w:rPr>
              <m:t>{</m:t>
            </m:r>
            <m:m>
              <m:mPr>
                <m:baseJc m:val="center"/>
                <m:plcHide m:val="on"/>
                <m:mcs>
                  <m:mc>
                    <m:mcPr>
                      <m:mcJc m:val="left"/>
                      <m:count m:val="1"/>
                    </m:mcPr>
                  </m:mc>
                  <m:mc>
                    <m:mcPr>
                      <m:mcJc m:val="left"/>
                      <m:count m:val="1"/>
                    </m:mcPr>
                  </m:mc>
                </m:mcs>
              </m:mPr>
              <m:mr>
                <m:e>
                  <m:r>
                    <m:t>0</m:t>
                  </m:r>
                  <m:r>
                    <m:rPr>
                      <m:sty m:val="p"/>
                    </m:rPr>
                    <m:t>,</m:t>
                  </m:r>
                </m:e>
                <m:e>
                  <m:r>
                    <m:t>B</m:t>
                  </m:r>
                  <m:r>
                    <m:rPr>
                      <m:sty m:val="p"/>
                    </m:rPr>
                    <m:t>=</m:t>
                  </m:r>
                  <m:r>
                    <m:t>0</m:t>
                  </m:r>
                  <m:r>
                    <m:rPr>
                      <m:sty m:val="p"/>
                    </m:rPr>
                    <m:t>,</m:t>
                  </m:r>
                </m:e>
              </m:mr>
              <m:mr>
                <m:e>
                  <m:r>
                    <m:t>1</m:t>
                  </m:r>
                  <m:r>
                    <m:rPr>
                      <m:sty m:val="p"/>
                    </m:rPr>
                    <m:t>,</m:t>
                  </m:r>
                </m:e>
                <m:e>
                  <m:r>
                    <m:t>B</m:t>
                  </m:r>
                  <m:r>
                    <m:rPr>
                      <m:sty m:val="p"/>
                    </m:rPr>
                    <m:t>=</m:t>
                  </m:r>
                  <m:r>
                    <m:t>1</m:t>
                  </m:r>
                  <m:r>
                    <m:rPr>
                      <m:sty m:val="p"/>
                    </m:rPr>
                    <m:t>,</m:t>
                  </m:r>
                </m:e>
              </m:mr>
              <m:mr>
                <m:e>
                  <m:r>
                    <m:t>2</m:t>
                  </m:r>
                  <m:r>
                    <m:t>B</m:t>
                  </m:r>
                  <m:r>
                    <m:rPr>
                      <m:sty m:val="p"/>
                    </m:rPr>
                    <m:t>−</m:t>
                  </m:r>
                  <m:r>
                    <m:t>3</m:t>
                  </m:r>
                  <m:r>
                    <m:rPr>
                      <m:sty m:val="p"/>
                    </m:rPr>
                    <m:t>,</m:t>
                  </m:r>
                </m:e>
                <m:e>
                  <m:r>
                    <m:t>B</m:t>
                  </m:r>
                  <m:r>
                    <m:rPr>
                      <m:sty m:val="p"/>
                    </m:rPr>
                    <m:t>≥</m:t>
                  </m:r>
                  <m:r>
                    <m:t>2</m:t>
                  </m:r>
                  <m:r>
                    <m:rPr>
                      <m:sty m:val="p"/>
                    </m:rPr>
                    <m:t>.</m:t>
                  </m:r>
                </m:e>
              </m:mr>
            </m:m>
          </m:e>
        </m:box>
      </m:oMath>
      <w:r>
        <w:tab/>
        <w:t>(17)</w:t>
      </w:r>
    </w:p>
    <w:p>
      <w:pPr>
        <w:pStyle w:val="BodyText"/>
        <w:keepNext/>
        <w:spacing w:before="140" w:after="100"/>
      </w:pPr>
      <w:r>
        <w:rPr>
          <w:bCs/>
          <w:b/>
        </w:rPr>
        <w:t xml:space="preserve">Theorem 4.2 — Decision stability.</w:t>
      </w:r>
      <w:r>
        <w:t xml:space="preserve"> </w:t>
      </w:r>
      <w:r>
        <w:t xml:space="preserve">Under (7), for the same likelihoods, loss, prior, call budget, and penalty weight,</w:t>
      </w:r>
    </w:p>
    <w:p>
      <w:pPr>
        <w:pStyle w:val="Equation"/>
        <w:tabs>
          <w:tab w:pos="4680" w:val="center"/>
          <w:tab w:pos="9792" w:val="right"/>
        </w:tabs>
        <w:jc w:val="left"/>
      </w:pPr>
      <w:r>
        <w:tab/>
      </w:r>
      <m:oMath>
        <m:box>
          <m:e>
            <m:r>
              <m:rPr>
                <m:sty m:val="p"/>
              </m:rPr>
              <m:t>|</m:t>
            </m:r>
            <m:sSub>
              <m:e>
                <m:r>
                  <m:t>V</m:t>
                </m:r>
              </m:e>
              <m:sub>
                <m:r>
                  <m:t>F</m:t>
                </m:r>
              </m:sub>
            </m:sSub>
            <m:r>
              <m:rPr>
                <m:sty m:val="p"/>
              </m:rPr>
              <m:t>−</m:t>
            </m:r>
            <m:sSub>
              <m:e>
                <m:r>
                  <m:t>V</m:t>
                </m:r>
              </m:e>
              <m:sub>
                <m:r>
                  <m:t>H</m:t>
                </m:r>
              </m:sub>
            </m:sSub>
            <m:r>
              <m:rPr>
                <m:sty m:val="p"/>
              </m:rPr>
              <m:t>|</m:t>
            </m:r>
          </m:e>
        </m:box>
        <m:r>
          <m:rPr>
            <m:sty m:val="p"/>
          </m:rPr>
          <m:t>≤</m:t>
        </m:r>
        <m:r>
          <m:t>λ</m:t>
        </m:r>
        <m:sSub>
          <m:e>
            <m:r>
              <m:t>β</m:t>
            </m:r>
          </m:e>
          <m:sub>
            <m:r>
              <m:t>B</m:t>
            </m:r>
          </m:sub>
        </m:sSub>
        <m:r>
          <m:t>ε</m:t>
        </m:r>
        <m:r>
          <m:rPr>
            <m:sty m:val="p"/>
          </m:rPr>
          <m:t>.</m:t>
        </m:r>
      </m:oMath>
      <w:r>
        <w:tab/>
        <w:t>(18)</w:t>
      </w:r>
    </w:p>
    <w:p>
      <w:pPr>
        <w:pStyle w:val="BodyText"/>
        <w:keepNext/>
      </w:pPr>
      <w:r>
        <w:t xml:space="preserve">If</w:t>
      </w:r>
      <w:r>
        <w:t xml:space="preserve"> </w:t>
      </w:r>
      <m:oMath>
        <m:sSub>
          <m:e>
            <m:r>
              <m:t>π</m:t>
            </m:r>
          </m:e>
          <m:sub>
            <m:r>
              <m:t>H</m:t>
            </m:r>
          </m:sub>
        </m:sSub>
      </m:oMath>
      <w:r>
        <w:t xml:space="preserve"> </w:t>
      </w:r>
      <w:r>
        <w:t xml:space="preserve">minimizes the measured-cost objective, then</w:t>
      </w:r>
    </w:p>
    <w:p>
      <w:pPr>
        <w:pStyle w:val="Equation"/>
        <w:tabs>
          <w:tab w:pos="4680" w:val="center"/>
          <w:tab w:pos="9792" w:val="right"/>
        </w:tabs>
        <w:jc w:val="left"/>
      </w:pPr>
      <w:r>
        <w:tab/>
      </w:r>
      <m:oMath>
        <m:r>
          <m:t>0</m:t>
        </m:r>
        <m:r>
          <m:rPr>
            <m:sty m:val="p"/>
          </m:rPr>
          <m:t>≤</m:t>
        </m:r>
        <m:sSub>
          <m:e>
            <m:r>
              <m:t>J</m:t>
            </m:r>
          </m:e>
          <m:sub>
            <m:r>
              <m:t>F</m:t>
            </m:r>
          </m:sub>
        </m:sSub>
        <m:d>
          <m:dPr>
            <m:begChr m:val="("/>
            <m:endChr m:val=")"/>
            <m:sepChr m:val=""/>
            <m:grow/>
          </m:dPr>
          <m:e>
            <m:sSub>
              <m:e>
                <m:r>
                  <m:t>π</m:t>
                </m:r>
              </m:e>
              <m:sub>
                <m:r>
                  <m:t>H</m:t>
                </m:r>
              </m:sub>
            </m:sSub>
          </m:e>
        </m:d>
        <m:r>
          <m:rPr>
            <m:sty m:val="p"/>
          </m:rPr>
          <m:t>−</m:t>
        </m:r>
        <m:sSub>
          <m:e>
            <m:r>
              <m:t>V</m:t>
            </m:r>
          </m:e>
          <m:sub>
            <m:r>
              <m:t>F</m:t>
            </m:r>
          </m:sub>
        </m:sSub>
        <m:r>
          <m:rPr>
            <m:sty m:val="p"/>
          </m:rPr>
          <m:t>≤</m:t>
        </m:r>
        <m:r>
          <m:t>2</m:t>
        </m:r>
        <m:r>
          <m:t>λ</m:t>
        </m:r>
        <m:sSub>
          <m:e>
            <m:r>
              <m:t>β</m:t>
            </m:r>
          </m:e>
          <m:sub>
            <m:r>
              <m:t>B</m:t>
            </m:r>
          </m:sub>
        </m:sSub>
        <m:r>
          <m:t>ε</m:t>
        </m:r>
        <m:r>
          <m:rPr>
            <m:sty m:val="p"/>
          </m:rPr>
          <m:t>.</m:t>
        </m:r>
      </m:oMath>
      <w:r>
        <w:tab/>
        <w:t>(19)</w:t>
      </w:r>
    </w:p>
    <w:p>
      <w:pPr>
        <w:pStyle w:val="BodyText"/>
      </w:pPr>
      <w:r>
        <w:t xml:space="preserve">For</w:t>
      </w:r>
      <w:r>
        <w:t xml:space="preserve"> </w:t>
      </w:r>
      <m:oMath>
        <m:r>
          <m:t>B</m:t>
        </m:r>
        <m:r>
          <m:rPr>
            <m:sty m:val="p"/>
          </m:rPr>
          <m:t>≥</m:t>
        </m:r>
        <m:r>
          <m:t>2</m:t>
        </m:r>
      </m:oMath>
      <w:r>
        <w:t xml:space="preserve">, the coefficient in (18) is sharp over this decision-model class.</w:t>
      </w:r>
    </w:p>
    <w:p>
      <w:pPr>
        <w:pStyle w:val="BodyText"/>
        <w:keepNext/>
      </w:pPr>
      <w:r>
        <w:rPr>
          <w:iCs/>
          <w:i/>
        </w:rPr>
        <w:t xml:space="preserve">Proof.</w:t>
      </w:r>
      <w:r>
        <w:t xml:space="preserve"> </w:t>
      </w:r>
      <w:r>
        <w:t xml:space="preserve">Fix any history-dependent policy</w:t>
      </w:r>
      <w:r>
        <w:t xml:space="preserve"> </w:t>
      </w:r>
      <m:oMath>
        <m:r>
          <m:t>π</m:t>
        </m:r>
      </m:oMath>
      <w:r>
        <w:t xml:space="preserve">. Holding this policy fixed, replacing the cost table does not change the observation law or its stopping decisions. Since</w:t>
      </w:r>
      <w:r>
        <w:t xml:space="preserve"> </w:t>
      </w:r>
      <m:oMath>
        <m:box>
          <m:e>
            <m:r>
              <m:rPr>
                <m:sty m:val="p"/>
              </m:rPr>
              <m:t>|</m:t>
            </m:r>
            <m:sSub>
              <m:e>
                <m:r>
                  <m:t>S</m:t>
                </m:r>
              </m:e>
              <m:sub>
                <m:r>
                  <m:t>τ</m:t>
                </m:r>
              </m:sub>
            </m:sSub>
            <m:r>
              <m:rPr>
                <m:sty m:val="p"/>
              </m:rPr>
              <m:t>|</m:t>
            </m:r>
          </m:e>
        </m:box>
        <m:r>
          <m:rPr>
            <m:sty m:val="p"/>
          </m:rPr>
          <m:t>≤</m:t>
        </m:r>
        <m:r>
          <m:t>B</m:t>
        </m:r>
      </m:oMath>
      <w:r>
        <w:t xml:space="preserve">, Theorem 3.1 gives</w:t>
      </w:r>
    </w:p>
    <w:p>
      <w:pPr>
        <w:pStyle w:val="Equation"/>
        <w:jc w:val="center"/>
      </w:pPr>
      <m:oMathPara>
        <m:oMathParaPr>
          <m:jc m:val="center"/>
        </m:oMathParaPr>
        <m:oMath>
          <m:eqArr>
            <m:eqArrPr>
              <m:baseJc m:val="center"/>
            </m:eqArrPr>
            <m:e>
              <m:box>
                <m:e>
                  <m:r>
                    <m:rPr>
                      <m:sty m:val="p"/>
                    </m:rPr>
                    <m:t>|</m:t>
                  </m:r>
                  <m:sSub>
                    <m:e>
                      <m:r>
                        <m:t>J</m:t>
                      </m:r>
                    </m:e>
                    <m:sub>
                      <m:r>
                        <m:t>F</m:t>
                      </m:r>
                    </m:sub>
                  </m:sSub>
                  <m:d>
                    <m:dPr>
                      <m:begChr m:val="("/>
                      <m:endChr m:val=")"/>
                      <m:sepChr m:val=""/>
                      <m:grow/>
                    </m:dPr>
                    <m:e>
                      <m:r>
                        <m:t>π</m:t>
                      </m:r>
                    </m:e>
                  </m:d>
                  <m:r>
                    <m:rPr>
                      <m:sty m:val="p"/>
                    </m:rPr>
                    <m:t>−</m:t>
                  </m:r>
                  <m:sSub>
                    <m:e>
                      <m:r>
                        <m:t>J</m:t>
                      </m:r>
                    </m:e>
                    <m:sub>
                      <m:r>
                        <m:t>H</m:t>
                      </m:r>
                    </m:sub>
                  </m:sSub>
                  <m:d>
                    <m:dPr>
                      <m:begChr m:val="("/>
                      <m:endChr m:val=")"/>
                      <m:sepChr m:val=""/>
                      <m:grow/>
                    </m:dPr>
                    <m:e>
                      <m:r>
                        <m:t>π</m:t>
                      </m:r>
                    </m:e>
                  </m:d>
                  <m:r>
                    <m:rPr>
                      <m:sty m:val="p"/>
                    </m:rPr>
                    <m:t>|</m:t>
                  </m:r>
                </m:e>
              </m:box>
              <m:r>
                <m:rPr>
                  <m:sty m:val="p"/>
                </m:rPr>
                <m:t>≤</m:t>
              </m:r>
              <m:r>
                <m:t>λ</m:t>
              </m:r>
              <m:sSup>
                <m:e>
                  <m:r>
                    <m:rPr>
                      <m:sty m:val="p"/>
                    </m:rPr>
                    <m:t>𝔼</m:t>
                  </m:r>
                </m:e>
                <m:sup>
                  <m:r>
                    <m:t>π</m:t>
                  </m:r>
                </m:sup>
              </m:sSup>
              <m:box>
                <m:e>
                  <m:r>
                    <m:rPr>
                      <m:sty m:val="p"/>
                    </m:rPr>
                    <m:t>|</m:t>
                  </m:r>
                  <m:r>
                    <m:t>F</m:t>
                  </m:r>
                  <m:d>
                    <m:dPr>
                      <m:begChr m:val="("/>
                      <m:endChr m:val=")"/>
                      <m:sepChr m:val=""/>
                      <m:grow/>
                    </m:dPr>
                    <m:e>
                      <m:sSub>
                        <m:e>
                          <m:r>
                            <m:t>S</m:t>
                          </m:r>
                        </m:e>
                        <m:sub>
                          <m:r>
                            <m:t>τ</m:t>
                          </m:r>
                        </m:sub>
                      </m:sSub>
                    </m:e>
                  </m:d>
                  <m:r>
                    <m:rPr>
                      <m:sty m:val="p"/>
                    </m:rPr>
                    <m:t>−</m:t>
                  </m:r>
                  <m:r>
                    <m:t>H</m:t>
                  </m:r>
                  <m:d>
                    <m:dPr>
                      <m:begChr m:val="("/>
                      <m:endChr m:val=")"/>
                      <m:sepChr m:val=""/>
                      <m:grow/>
                    </m:dPr>
                    <m:e>
                      <m:sSub>
                        <m:e>
                          <m:r>
                            <m:t>S</m:t>
                          </m:r>
                        </m:e>
                        <m:sub>
                          <m:r>
                            <m:t>τ</m:t>
                          </m:r>
                        </m:sub>
                      </m:sSub>
                    </m:e>
                  </m:d>
                  <m:r>
                    <m:rPr>
                      <m:sty m:val="p"/>
                    </m:rPr>
                    <m:t>|</m:t>
                  </m:r>
                </m:e>
              </m:box>
            </m:e>
            <m:e>
              <m:r>
                <m:rPr>
                  <m:sty m:val="p"/>
                </m:rPr>
                <m:t>≤</m:t>
              </m:r>
              <m:r>
                <m:t>λ</m:t>
              </m:r>
              <m:sSub>
                <m:e>
                  <m:r>
                    <m:t>β</m:t>
                  </m:r>
                </m:e>
                <m:sub>
                  <m:r>
                    <m:t>B</m:t>
                  </m:r>
                </m:sub>
              </m:sSub>
              <m:r>
                <m:t>ε</m:t>
              </m:r>
              <m:r>
                <m:rPr>
                  <m:sty m:val="p"/>
                </m:rPr>
                <m:t>.</m:t>
              </m:r>
            </m:e>
          </m:eqArr>
        </m:oMath>
      </m:oMathPara>
    </w:p>
    <w:p>
      <w:pPr>
        <w:pStyle w:val="FirstParagraph"/>
        <w:keepNext/>
      </w:pPr>
      <w:r>
        <w:t xml:space="preserve">Taking minima proves (18). If</w:t>
      </w:r>
      <w:r>
        <w:t xml:space="preserve"> </w:t>
      </w:r>
      <m:oMath>
        <m:sSub>
          <m:e>
            <m:r>
              <m:t>π</m:t>
            </m:r>
          </m:e>
          <m:sub>
            <m:r>
              <m:t>F</m:t>
            </m:r>
          </m:sub>
        </m:sSub>
      </m:oMath>
      <w:r>
        <w:t xml:space="preserve"> </w:t>
      </w:r>
      <w:r>
        <w:t xml:space="preserve">is optimal for</w:t>
      </w:r>
      <w:r>
        <w:t xml:space="preserve"> </w:t>
      </w:r>
      <m:oMath>
        <m:r>
          <m:t>F</m:t>
        </m:r>
      </m:oMath>
      <w:r>
        <w:t xml:space="preserve">, then</w:t>
      </w:r>
    </w:p>
    <w:p>
      <w:pPr>
        <w:pStyle w:val="Equation"/>
        <w:jc w:val="center"/>
      </w:pPr>
      <m:oMathPara>
        <m:oMathParaPr>
          <m:jc m:val="center"/>
        </m:oMathParaPr>
        <m:oMath>
          <m:eqArr>
            <m:eqArrPr>
              <m:baseJc m:val="center"/>
            </m:eqArrPr>
            <m:e>
              <m:sSub>
                <m:e>
                  <m:r>
                    <m:t>J</m:t>
                  </m:r>
                </m:e>
                <m:sub>
                  <m:r>
                    <m:t>F</m:t>
                  </m:r>
                </m:sub>
              </m:sSub>
              <m:d>
                <m:dPr>
                  <m:begChr m:val="("/>
                  <m:endChr m:val=")"/>
                  <m:sepChr m:val=""/>
                  <m:grow/>
                </m:dPr>
                <m:e>
                  <m:sSub>
                    <m:e>
                      <m:r>
                        <m:t>π</m:t>
                      </m:r>
                    </m:e>
                    <m:sub>
                      <m:r>
                        <m:t>H</m:t>
                      </m:r>
                    </m:sub>
                  </m:sSub>
                </m:e>
              </m:d>
              <m:r>
                <m:rPr>
                  <m:sty m:val="p"/>
                </m:rPr>
                <m:t>≤</m:t>
              </m:r>
              <m:sSub>
                <m:e>
                  <m:r>
                    <m:t>J</m:t>
                  </m:r>
                </m:e>
                <m:sub>
                  <m:r>
                    <m:t>H</m:t>
                  </m:r>
                </m:sub>
              </m:sSub>
              <m:d>
                <m:dPr>
                  <m:begChr m:val="("/>
                  <m:endChr m:val=")"/>
                  <m:sepChr m:val=""/>
                  <m:grow/>
                </m:dPr>
                <m:e>
                  <m:sSub>
                    <m:e>
                      <m:r>
                        <m:t>π</m:t>
                      </m:r>
                    </m:e>
                    <m:sub>
                      <m:r>
                        <m:t>H</m:t>
                      </m:r>
                    </m:sub>
                  </m:sSub>
                </m:e>
              </m:d>
              <m:r>
                <m:rPr>
                  <m:sty m:val="p"/>
                </m:rPr>
                <m:t>+</m:t>
              </m:r>
              <m:r>
                <m:t>λ</m:t>
              </m:r>
              <m:sSub>
                <m:e>
                  <m:r>
                    <m:t>β</m:t>
                  </m:r>
                </m:e>
                <m:sub>
                  <m:r>
                    <m:t>B</m:t>
                  </m:r>
                </m:sub>
              </m:sSub>
              <m:r>
                <m:t>ε</m:t>
              </m:r>
            </m:e>
            <m:e>
              <m:r>
                <m:rPr>
                  <m:sty m:val="p"/>
                </m:rPr>
                <m:t>≤</m:t>
              </m:r>
              <m:sSub>
                <m:e>
                  <m:r>
                    <m:t>J</m:t>
                  </m:r>
                </m:e>
                <m:sub>
                  <m:r>
                    <m:t>H</m:t>
                  </m:r>
                </m:sub>
              </m:sSub>
              <m:d>
                <m:dPr>
                  <m:begChr m:val="("/>
                  <m:endChr m:val=")"/>
                  <m:sepChr m:val=""/>
                  <m:grow/>
                </m:dPr>
                <m:e>
                  <m:sSub>
                    <m:e>
                      <m:r>
                        <m:t>π</m:t>
                      </m:r>
                    </m:e>
                    <m:sub>
                      <m:r>
                        <m:t>F</m:t>
                      </m:r>
                    </m:sub>
                  </m:sSub>
                </m:e>
              </m:d>
              <m:r>
                <m:rPr>
                  <m:sty m:val="p"/>
                </m:rPr>
                <m:t>+</m:t>
              </m:r>
              <m:r>
                <m:t>λ</m:t>
              </m:r>
              <m:sSub>
                <m:e>
                  <m:r>
                    <m:t>β</m:t>
                  </m:r>
                </m:e>
                <m:sub>
                  <m:r>
                    <m:t>B</m:t>
                  </m:r>
                </m:sub>
              </m:sSub>
              <m:r>
                <m:t>ε</m:t>
              </m:r>
            </m:e>
            <m:e>
              <m:r>
                <m:rPr>
                  <m:sty m:val="p"/>
                </m:rPr>
                <m:t>≤</m:t>
              </m:r>
              <m:sSub>
                <m:e>
                  <m:r>
                    <m:t>V</m:t>
                  </m:r>
                </m:e>
                <m:sub>
                  <m:r>
                    <m:t>F</m:t>
                  </m:r>
                </m:sub>
              </m:sSub>
              <m:r>
                <m:rPr>
                  <m:sty m:val="p"/>
                </m:rPr>
                <m:t>+</m:t>
              </m:r>
              <m:r>
                <m:t>2</m:t>
              </m:r>
              <m:r>
                <m:t>λ</m:t>
              </m:r>
              <m:sSub>
                <m:e>
                  <m:r>
                    <m:t>β</m:t>
                  </m:r>
                </m:e>
                <m:sub>
                  <m:r>
                    <m:t>B</m:t>
                  </m:r>
                </m:sub>
              </m:sSub>
              <m:r>
                <m:t>ε</m:t>
              </m:r>
              <m:r>
                <m:rPr>
                  <m:sty m:val="p"/>
                </m:rPr>
                <m:t>,</m:t>
              </m:r>
            </m:e>
          </m:eqArr>
        </m:oMath>
      </m:oMathPara>
    </w:p>
    <w:p>
      <w:pPr>
        <w:pStyle w:val="FirstParagraph"/>
      </w:pPr>
      <w:r>
        <w:t xml:space="preserve">which proves (19).</w:t>
      </w:r>
    </w:p>
    <w:p>
      <w:pPr>
        <w:pStyle w:val="BodyText"/>
      </w:pPr>
      <w:r>
        <w:t xml:space="preserve">For sharpness of (18), take</w:t>
      </w:r>
      <w:r>
        <w:t xml:space="preserve"> </w:t>
      </w:r>
      <m:oMath>
        <m:r>
          <m:t>B</m:t>
        </m:r>
      </m:oMath>
      <w:r>
        <w:t xml:space="preserve"> </w:t>
      </w:r>
      <w:r>
        <w:t xml:space="preserve">independent fair bits</w:t>
      </w:r>
      <w:r>
        <w:t xml:space="preserve"> </w:t>
      </w:r>
      <m:oMath>
        <m:sSub>
          <m:e>
            <m:r>
              <m:t>X</m:t>
            </m:r>
          </m:e>
          <m:sub>
            <m:r>
              <m:t>1</m:t>
            </m:r>
          </m:sub>
        </m:sSub>
        <m:r>
          <m:rPr>
            <m:sty m:val="p"/>
          </m:rPr>
          <m:t>,</m:t>
        </m:r>
        <m:r>
          <m:rPr>
            <m:sty m:val="p"/>
          </m:rPr>
          <m:t>…</m:t>
        </m:r>
        <m:r>
          <m:rPr>
            <m:sty m:val="p"/>
          </m:rPr>
          <m:t>,</m:t>
        </m:r>
        <m:sSub>
          <m:e>
            <m:r>
              <m:t>X</m:t>
            </m:r>
          </m:e>
          <m:sub>
            <m:r>
              <m:t>B</m:t>
            </m:r>
          </m:sub>
        </m:sSub>
      </m:oMath>
      <w:r>
        <w:t xml:space="preserve"> </w:t>
      </w:r>
      <w:r>
        <w:t xml:space="preserve">as the latent state. Source</w:t>
      </w:r>
      <w:r>
        <w:t xml:space="preserve"> </w:t>
      </w:r>
      <m:oMath>
        <m:r>
          <m:t>i</m:t>
        </m:r>
      </m:oMath>
      <w:r>
        <w:t xml:space="preserve"> </w:t>
      </w:r>
      <w:r>
        <w:t xml:space="preserve">reveals</w:t>
      </w:r>
      <w:r>
        <w:t xml:space="preserve"> </w:t>
      </w:r>
      <m:oMath>
        <m:sSub>
          <m:e>
            <m:r>
              <m:t>X</m:t>
            </m:r>
          </m:e>
          <m:sub>
            <m:r>
              <m:t>i</m:t>
            </m:r>
          </m:sub>
        </m:sSub>
      </m:oMath>
      <w:r>
        <w:t xml:space="preserve"> </w:t>
      </w:r>
      <w:r>
        <w:t xml:space="preserve">deterministically, and the final decision predicts their parity under zero-one loss. Conditional independence holds given the complete latent state. Every proper subset leaves parity uniformly distributed, while the full set determines it.</w:t>
      </w:r>
    </w:p>
    <w:p>
      <w:pPr>
        <w:pStyle w:val="BodyText"/>
        <w:keepNext/>
      </w:pPr>
      <w:r>
        <w:t xml:space="preserve">For a nonnegative monotone cost function</w:t>
      </w:r>
      <w:r>
        <w:t xml:space="preserve"> </w:t>
      </w:r>
      <m:oMath>
        <m:r>
          <m:t>K</m:t>
        </m:r>
      </m:oMath>
      <w:r>
        <w:t xml:space="preserve">, a policy completing all queries with probability</w:t>
      </w:r>
      <w:r>
        <w:t xml:space="preserve"> </w:t>
      </w:r>
      <m:oMath>
        <m:r>
          <m:t>u</m:t>
        </m:r>
      </m:oMath>
      <w:r>
        <w:t xml:space="preserve"> </w:t>
      </w:r>
      <w:r>
        <w:t xml:space="preserve">has objective at least</w:t>
      </w:r>
    </w:p>
    <w:p>
      <w:pPr>
        <w:pStyle w:val="Equation"/>
        <w:jc w:val="center"/>
      </w:pPr>
      <m:oMathPara>
        <m:oMathParaPr>
          <m:jc m:val="center"/>
        </m:oMathParaPr>
        <m:oMath>
          <m:r>
            <m:t>u</m:t>
          </m:r>
          <m:r>
            <m:t>λ</m:t>
          </m:r>
          <m:r>
            <m:t>K</m:t>
          </m:r>
          <m:d>
            <m:dPr>
              <m:begChr m:val="("/>
              <m:endChr m:val=")"/>
              <m:sepChr m:val=""/>
              <m:grow/>
            </m:dPr>
            <m:e>
              <m:r>
                <m:t>N</m:t>
              </m:r>
            </m:e>
          </m:d>
          <m:r>
            <m:rPr>
              <m:sty m:val="p"/>
            </m:rPr>
            <m:t>+</m:t>
          </m:r>
          <m:d>
            <m:dPr>
              <m:begChr m:val="("/>
              <m:endChr m:val=")"/>
              <m:sepChr m:val=""/>
              <m:grow/>
            </m:dPr>
            <m:e>
              <m:r>
                <m:t>1</m:t>
              </m:r>
              <m:r>
                <m:rPr>
                  <m:sty m:val="p"/>
                </m:rPr>
                <m:t>−</m:t>
              </m:r>
              <m:r>
                <m:t>u</m:t>
              </m:r>
            </m:e>
          </m:d>
          <m:r>
            <m:rPr>
              <m:sty m:val="p"/>
            </m:rPr>
            <m:t>/</m:t>
          </m:r>
          <m:r>
            <m:t>2</m:t>
          </m:r>
          <m:r>
            <m:rPr>
              <m:sty m:val="p"/>
            </m:rPr>
            <m:t>.</m:t>
          </m:r>
        </m:oMath>
      </m:oMathPara>
    </w:p>
    <w:p>
      <w:pPr>
        <w:pStyle w:val="FirstParagraph"/>
        <w:keepNext/>
      </w:pPr>
      <w:r>
        <w:t xml:space="preserve">Always stopping or always completing attains the two endpoints. The optimal value is consequently</w:t>
      </w:r>
    </w:p>
    <w:p>
      <w:pPr>
        <w:pStyle w:val="Equation"/>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N</m:t>
              </m:r>
            </m:e>
          </m:d>
          <m:r>
            <m:rPr>
              <m:sty m:val="p"/>
            </m:rPr>
            <m:t>}</m:t>
          </m:r>
          <m:r>
            <m:rPr>
              <m:sty m:val="p"/>
            </m:rPr>
            <m:t>.</m:t>
          </m:r>
        </m:oMath>
      </m:oMathPara>
    </w:p>
    <w:p>
      <w:pPr>
        <w:pStyle w:val="FirstParagraph"/>
        <w:keepNext/>
      </w:pPr>
      <w:r>
        <w:t xml:space="preserve">Use the central tree and the plus perturbation from Theorem 3.1, choosing</w:t>
      </w:r>
      <w:r>
        <w:t xml:space="preserve"> </w:t>
      </w:r>
      <m:oMath>
        <m:r>
          <m:t>λ</m:t>
        </m:r>
      </m:oMath>
      <w:r>
        <w:t xml:space="preserve"> </w:t>
      </w:r>
      <w:r>
        <w:t xml:space="preserve">small enough that full acquisition is optimal for both. Their values differ by exactly</w:t>
      </w:r>
    </w:p>
    <w:p>
      <w:pPr>
        <w:pStyle w:val="Equation"/>
        <w:jc w:val="center"/>
      </w:pPr>
      <m:oMathPara>
        <m:oMathParaPr>
          <m:jc m:val="center"/>
        </m:oMathParaPr>
        <m:oMath>
          <m:r>
            <m:t>λ</m:t>
          </m:r>
          <m:d>
            <m:dPr>
              <m:begChr m:val="("/>
              <m:endChr m:val=")"/>
              <m:sepChr m:val=""/>
              <m:grow/>
            </m:dPr>
            <m:e>
              <m:r>
                <m:t>2</m:t>
              </m:r>
              <m:r>
                <m:t>B</m:t>
              </m:r>
              <m:r>
                <m:rPr>
                  <m:sty m:val="p"/>
                </m:rPr>
                <m:t>−</m:t>
              </m:r>
              <m:r>
                <m:t>3</m:t>
              </m:r>
            </m:e>
          </m:d>
          <m:r>
            <m:t>ε</m:t>
          </m:r>
          <m:r>
            <m:rPr>
              <m:sty m:val="p"/>
            </m:rPr>
            <m:t>.</m:t>
          </m:r>
        </m:oMath>
      </m:oMathPara>
    </w:p>
    <w:p>
      <w:pPr>
        <w:pStyle w:val="FirstParagraph"/>
      </w:pPr>
      <w:r>
        <w:t xml:space="preserve">This proves sharpness.</w:t>
      </w:r>
      <w:r>
        <w:t xml:space="preserve"> </w:t>
      </w:r>
      <m:oMath>
        <m:r>
          <m:rPr>
            <m:sty m:val="p"/>
          </m:rPr>
          <m:t>▫</m:t>
        </m:r>
      </m:oMath>
    </w:p>
    <w:p>
      <w:pPr>
        <w:pStyle w:val="BodyText"/>
      </w:pPr>
      <w:r>
        <w:t xml:space="preserve">The factor two in (19) is an upper bound; its sharpness is not asserted. Replacing</w:t>
      </w:r>
      <w:r>
        <w:t xml:space="preserve"> </w:t>
      </w:r>
      <m:oMath>
        <m:r>
          <m:t>H</m:t>
        </m:r>
      </m:oMath>
      <w:r>
        <w:t xml:space="preserve"> </w:t>
      </w:r>
      <w:r>
        <w:t xml:space="preserve">by the repaired estimate gives corresponding value and excess-loss bounds with</w:t>
      </w:r>
      <w:r>
        <w:t xml:space="preserve"> </w:t>
      </w:r>
      <m:oMath>
        <m:r>
          <m:t>4</m:t>
        </m:r>
        <m:r>
          <m:t>B</m:t>
        </m:r>
        <m:r>
          <m:rPr>
            <m:sty m:val="p"/>
          </m:rPr>
          <m:t>−</m:t>
        </m:r>
        <m:r>
          <m:t>3</m:t>
        </m:r>
      </m:oMath>
      <w:r>
        <w:t xml:space="preserve">, for</w:t>
      </w:r>
      <w:r>
        <w:t xml:space="preserve"> </w:t>
      </w:r>
      <m:oMath>
        <m:r>
          <m:t>B</m:t>
        </m:r>
        <m:r>
          <m:rPr>
            <m:sty m:val="p"/>
          </m:rPr>
          <m:t>≥</m:t>
        </m:r>
        <m:r>
          <m:t>1</m:t>
        </m:r>
      </m:oMath>
      <w:r>
        <w:t xml:space="preserve">.</w:t>
      </w:r>
    </w:p>
    <w:p>
      <w:pPr>
        <w:pStyle w:val="BodyText"/>
      </w:pPr>
      <w:r>
        <w:t xml:space="preserve">The parity example also shows a limitation of one-step policies. If every initial acquisition has positive cost, a policy comparing only immediate Bayes-risk reduction with acquisition cost stops without querying. Its value remains</w:t>
      </w:r>
      <w:r>
        <w:t xml:space="preserve"> </w:t>
      </w:r>
      <m:oMath>
        <m:r>
          <m:t>1</m:t>
        </m:r>
        <m:r>
          <m:rPr>
            <m:sty m:val="p"/>
          </m:rPr>
          <m:t>/</m:t>
        </m:r>
        <m:r>
          <m:t>2</m:t>
        </m:r>
      </m:oMath>
      <w:r>
        <w:t xml:space="preserve">, while the optimum is</w:t>
      </w:r>
      <w:r>
        <w:t xml:space="preserve"> </w:t>
      </w:r>
      <m:oMath>
        <m:r>
          <m:t>λ</m:t>
        </m:r>
        <m:r>
          <m:t>F</m:t>
        </m:r>
        <m:d>
          <m:dPr>
            <m:begChr m:val="("/>
            <m:endChr m:val=")"/>
            <m:sepChr m:val=""/>
            <m:grow/>
          </m:dPr>
          <m:e>
            <m:r>
              <m:t>N</m:t>
            </m:r>
          </m:e>
        </m:d>
      </m:oMath>
      <w:r>
        <w:t xml:space="preserve"> </w:t>
      </w:r>
      <w:r>
        <w:t xml:space="preserve">for sufficiently small</w:t>
      </w:r>
      <w:r>
        <w:t xml:space="preserve"> </w:t>
      </w:r>
      <m:oMath>
        <m:r>
          <m:t>λ</m:t>
        </m:r>
      </m:oMath>
      <w:r>
        <w:t xml:space="preserve">. Their ratio is unbounded as</w:t>
      </w:r>
      <w:r>
        <w:t xml:space="preserve"> </w:t>
      </w:r>
      <m:oMath>
        <m:r>
          <m:t>λ</m:t>
        </m:r>
      </m:oMath>
      <w:r>
        <w:t xml:space="preserve"> </w:t>
      </w:r>
      <w:r>
        <w:t xml:space="preserve">approaches zero. Thus tree structure alone does not provide a general one-step approximation guarantee; assumptions on information value are also required [2].</w:t>
      </w:r>
    </w:p>
    <w:bookmarkEnd w:id="37"/>
    <w:bookmarkEnd w:id="38"/>
    <w:bookmarkStart w:id="41" w:name="X6536023aadc7ab51e6f91a0e0076485fb9ee5bc"/>
    <w:p>
      <w:pPr>
        <w:pStyle w:val="Heading1"/>
      </w:pPr>
      <w:r>
        <w:t xml:space="preserve">5. Decision equivalence and the boundary of the model</w:t>
      </w:r>
    </w:p>
    <w:bookmarkStart w:id="39" w:name="Xf566fc8f9405a7e51b06c066331be51b71fc5e7"/>
    <w:p>
      <w:pPr>
        <w:pStyle w:val="Heading2"/>
      </w:pPr>
      <w:r>
        <w:t xml:space="preserve">5.1. Which network information is decision-relevant?</w:t>
      </w:r>
    </w:p>
    <w:p>
      <w:pPr>
        <w:pStyle w:val="FirstParagraph"/>
        <w:keepNext/>
        <w:spacing w:before="140" w:after="100"/>
      </w:pPr>
      <w:r>
        <w:rPr>
          <w:bCs/>
          <w:b/>
        </w:rPr>
        <w:t xml:space="preserve">Theorem 5.1 — Universal decision equivalence.</w:t>
      </w:r>
      <w:r>
        <w:t xml:space="preserve"> </w:t>
      </w:r>
      <w:r>
        <w:t xml:space="preserve">Let</w:t>
      </w:r>
      <w:r>
        <w:t xml:space="preserve"> </w:t>
      </w:r>
      <m:oMath>
        <m:r>
          <m:t>F</m:t>
        </m:r>
      </m:oMath>
      <w:r>
        <w:t xml:space="preserve"> </w:t>
      </w:r>
      <w:r>
        <w:t xml:space="preserve">and</w:t>
      </w:r>
      <w:r>
        <w:t xml:space="preserve"> </w:t>
      </w:r>
      <m:oMath>
        <m:r>
          <m:t>G</m:t>
        </m:r>
      </m:oMath>
      <w:r>
        <w:t xml:space="preserve"> </w:t>
      </w:r>
      <w:r>
        <w:t xml:space="preserve">be rooted-tree cost functions on the same</w:t>
      </w:r>
      <w:r>
        <w:t xml:space="preserve"> </w:t>
      </w:r>
      <m:oMath>
        <m:r>
          <m:t>n</m:t>
        </m:r>
        <m:r>
          <m:rPr>
            <m:sty m:val="p"/>
          </m:rPr>
          <m:t>≥</m:t>
        </m:r>
        <m:r>
          <m:t>2</m:t>
        </m:r>
      </m:oMath>
      <w:r>
        <w:t xml:space="preserve"> </w:t>
      </w:r>
      <w:r>
        <w:t xml:space="preserve">labels. Fix</w:t>
      </w:r>
      <w:r>
        <w:t xml:space="preserve"> </w:t>
      </w:r>
      <m:oMath>
        <m:r>
          <m:t>2</m:t>
        </m:r>
        <m:r>
          <m:rPr>
            <m:sty m:val="p"/>
          </m:rPr>
          <m:t>≤</m:t>
        </m:r>
        <m:r>
          <m:t>B</m:t>
        </m:r>
        <m:r>
          <m:rPr>
            <m:sty m:val="p"/>
          </m:rPr>
          <m:t>≤</m:t>
        </m:r>
        <m:r>
          <m:t>n</m:t>
        </m:r>
      </m:oMath>
      <w:r>
        <w:t xml:space="preserve">. The following statements are equivalent:</w:t>
      </w:r>
    </w:p>
    <w:p>
      <w:pPr>
        <w:numPr>
          <w:ilvl w:val="0"/>
          <w:numId w:val="1001"/>
        </w:numPr>
        <w:pStyle w:val="Compact"/>
      </w:pPr>
      <m:oMath>
        <m:r>
          <m:t>F</m:t>
        </m:r>
      </m:oMath>
      <w:r>
        <w:t xml:space="preserve"> </w:t>
      </w:r>
      <w:r>
        <w:t xml:space="preserve">and</w:t>
      </w:r>
      <w:r>
        <w:t xml:space="preserve"> </w:t>
      </w:r>
      <m:oMath>
        <m:r>
          <m:t>G</m:t>
        </m:r>
      </m:oMath>
      <w:r>
        <w:t xml:space="preserve"> </w:t>
      </w:r>
      <w:r>
        <w:t xml:space="preserve">agree on every singleton and pair.</w:t>
      </w:r>
    </w:p>
    <w:p>
      <w:pPr>
        <w:numPr>
          <w:ilvl w:val="0"/>
          <w:numId w:val="1001"/>
        </w:numPr>
        <w:pStyle w:val="Compact"/>
      </w:pPr>
      <w:r>
        <w:t xml:space="preserve">They agree on every subset of sources.</w:t>
      </w:r>
    </w:p>
    <w:p>
      <w:pPr>
        <w:numPr>
          <w:ilvl w:val="0"/>
          <w:numId w:val="1001"/>
        </w:numPr>
        <w:pStyle w:val="Compact"/>
      </w:pPr>
      <w:r>
        <w:t xml:space="preserve">They have equal optimal values for every finite decision experiment described in Section 4 and every</w:t>
      </w:r>
      <w:r>
        <w:t xml:space="preserve"> </w:t>
      </w:r>
      <m:oMath>
        <m:r>
          <m:t>λ</m:t>
        </m:r>
        <m:r>
          <m:rPr>
            <m:sty m:val="p"/>
          </m:rPr>
          <m:t>&gt;</m:t>
        </m:r>
        <m:r>
          <m:t>0</m:t>
        </m:r>
      </m:oMath>
      <w:r>
        <w:t xml:space="preserve">, under the same call limit</w:t>
      </w:r>
      <w:r>
        <w:t xml:space="preserve"> </w:t>
      </w:r>
      <m:oMath>
        <m:r>
          <m:t>B</m:t>
        </m:r>
      </m:oMath>
      <w:r>
        <w:t xml:space="preserve">.</w:t>
      </w:r>
    </w:p>
    <w:p>
      <w:pPr>
        <w:pStyle w:val="FirstParagraph"/>
      </w:pPr>
      <w:r>
        <w:rPr>
          <w:iCs/>
          <w:i/>
        </w:rPr>
        <w:t xml:space="preserve">Proof.</w:t>
      </w:r>
      <w:r>
        <w:t xml:space="preserve"> </w:t>
      </w:r>
      <w:r>
        <w:t xml:space="preserve">Proposition 2.2 gives statement 1 implies statement 2. Identical set costs give identical objectives for every policy, proving statement 2 implies statement 3.</w:t>
      </w:r>
    </w:p>
    <w:p>
      <w:pPr>
        <w:pStyle w:val="BodyText"/>
      </w:pPr>
      <w:r>
        <w:t xml:space="preserve">Suppose statement 1 fails on a set</w:t>
      </w:r>
      <w:r>
        <w:t xml:space="preserve"> </w:t>
      </w:r>
      <m:oMath>
        <m:r>
          <m:t>S</m:t>
        </m:r>
      </m:oMath>
      <w:r>
        <w:t xml:space="preserve"> </w:t>
      </w:r>
      <w:r>
        <w:t xml:space="preserve">of size one or two. Let each source in</w:t>
      </w:r>
      <w:r>
        <w:t xml:space="preserve"> </w:t>
      </w:r>
      <m:oMath>
        <m:r>
          <m:t>S</m:t>
        </m:r>
      </m:oMath>
      <w:r>
        <w:t xml:space="preserve"> </w:t>
      </w:r>
      <w:r>
        <w:t xml:space="preserve">reveal one independent fair bit, let every other source return a constant, and let the final decision predict the parity of the bits in</w:t>
      </w:r>
      <w:r>
        <w:t xml:space="preserve"> </w:t>
      </w:r>
      <m:oMath>
        <m:r>
          <m:t>S</m:t>
        </m:r>
      </m:oMath>
      <w:r>
        <w:t xml:space="preserve">.</w:t>
      </w:r>
    </w:p>
    <w:p>
      <w:pPr>
        <w:pStyle w:val="BodyText"/>
        <w:keepNext/>
      </w:pPr>
      <w:r>
        <w:t xml:space="preserve">By the argument in Theorem 4.2 and monotonicity of acquisition costs, the optimal value under a cost function</w:t>
      </w:r>
      <w:r>
        <w:t xml:space="preserve"> </w:t>
      </w:r>
      <m:oMath>
        <m:r>
          <m:t>K</m:t>
        </m:r>
      </m:oMath>
      <w:r>
        <w:t xml:space="preserve"> </w:t>
      </w:r>
      <w:r>
        <w:t xml:space="preserve">is</w:t>
      </w:r>
    </w:p>
    <w:p>
      <w:pPr>
        <w:pStyle w:val="Equation"/>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S</m:t>
              </m:r>
            </m:e>
          </m:d>
          <m:r>
            <m:rPr>
              <m:sty m:val="p"/>
            </m:rPr>
            <m:t>}</m:t>
          </m:r>
          <m:r>
            <m:rPr>
              <m:sty m:val="p"/>
            </m:rPr>
            <m:t>.</m:t>
          </m:r>
        </m:oMath>
      </m:oMathPara>
    </w:p>
    <w:p>
      <w:pPr>
        <w:pStyle w:val="FirstParagraph"/>
      </w:pPr>
      <w:r>
        <w:t xml:space="preserve">Choose</w:t>
      </w:r>
      <w:r>
        <w:t xml:space="preserve"> </w:t>
      </w:r>
      <m:oMath>
        <m:r>
          <m:t>λ</m:t>
        </m:r>
        <m:r>
          <m:rPr>
            <m:sty m:val="p"/>
          </m:rPr>
          <m:t>&gt;</m:t>
        </m:r>
        <m:r>
          <m:t>0</m:t>
        </m:r>
      </m:oMath>
      <w:r>
        <w:t xml:space="preserve"> </w:t>
      </w:r>
      <w:r>
        <w:t xml:space="preserve">small enough that acquiring</w:t>
      </w:r>
      <w:r>
        <w:t xml:space="preserve"> </w:t>
      </w:r>
      <m:oMath>
        <m:r>
          <m:t>S</m:t>
        </m:r>
      </m:oMath>
      <w:r>
        <w:t xml:space="preserve"> </w:t>
      </w:r>
      <w:r>
        <w:t xml:space="preserve">is optimal under both</w:t>
      </w:r>
      <w:r>
        <w:t xml:space="preserve"> </w:t>
      </w:r>
      <m:oMath>
        <m:r>
          <m:t>F</m:t>
        </m:r>
      </m:oMath>
      <w:r>
        <w:t xml:space="preserve"> </w:t>
      </w:r>
      <w:r>
        <w:t xml:space="preserve">and</w:t>
      </w:r>
      <w:r>
        <w:t xml:space="preserve"> </w:t>
      </w:r>
      <m:oMath>
        <m:r>
          <m:t>G</m:t>
        </m:r>
      </m:oMath>
      <w:r>
        <w:t xml:space="preserve">. Since</w:t>
      </w:r>
      <w:r>
        <w:t xml:space="preserve"> </w:t>
      </w:r>
      <m:oMath>
        <m:r>
          <m:t>F</m:t>
        </m:r>
        <m:d>
          <m:dPr>
            <m:begChr m:val="("/>
            <m:endChr m:val=")"/>
            <m:sepChr m:val=""/>
            <m:grow/>
          </m:dPr>
          <m:e>
            <m:r>
              <m:t>S</m:t>
            </m:r>
          </m:e>
        </m:d>
        <m:r>
          <m:rPr>
            <m:sty m:val="p"/>
          </m:rPr>
          <m:t>≠</m:t>
        </m:r>
        <m:r>
          <m:t>G</m:t>
        </m:r>
        <m:d>
          <m:dPr>
            <m:begChr m:val="("/>
            <m:endChr m:val=")"/>
            <m:sepChr m:val=""/>
            <m:grow/>
          </m:dPr>
          <m:e>
            <m:r>
              <m:t>S</m:t>
            </m:r>
          </m:e>
        </m:d>
      </m:oMath>
      <w:r>
        <w:t xml:space="preserve">, their optimal values differ, contradicting statement 3.</w:t>
      </w:r>
      <w:r>
        <w:t xml:space="preserve"> </w:t>
      </w:r>
      <m:oMath>
        <m:r>
          <m:rPr>
            <m:sty m:val="p"/>
          </m:rPr>
          <m:t>▫</m:t>
        </m:r>
      </m:oMath>
    </w:p>
    <w:p>
      <w:pPr>
        <w:pStyle w:val="BodyText"/>
      </w:pPr>
      <w:r>
        <w:t xml:space="preserve">For</w:t>
      </w:r>
      <w:r>
        <w:t xml:space="preserve"> </w:t>
      </w:r>
      <m:oMath>
        <m:r>
          <m:t>B</m:t>
        </m:r>
        <m:r>
          <m:rPr>
            <m:sty m:val="p"/>
          </m:rPr>
          <m:t>=</m:t>
        </m:r>
        <m:r>
          <m:t>1</m:t>
        </m:r>
      </m:oMath>
      <w:r>
        <w:t xml:space="preserve">, only singleton costs matter. The quantifier over all positive</w:t>
      </w:r>
      <w:r>
        <w:t xml:space="preserve"> </w:t>
      </w:r>
      <m:oMath>
        <m:r>
          <m:t>λ</m:t>
        </m:r>
      </m:oMath>
      <w:r>
        <w:t xml:space="preserve"> </w:t>
      </w:r>
      <w:r>
        <w:t xml:space="preserve">is essential: a sufficiently high fixed penalty can make immediate stopping optimal in both networks and conceal cost differences.</w:t>
      </w:r>
    </w:p>
    <w:bookmarkEnd w:id="39"/>
    <w:bookmarkStart w:id="40" w:name="failure-for-general-shared-resources"/>
    <w:p>
      <w:pPr>
        <w:pStyle w:val="Heading2"/>
      </w:pPr>
      <w:r>
        <w:t xml:space="preserve">5.2. Failure for general shared resources</w:t>
      </w:r>
    </w:p>
    <w:p>
      <w:pPr>
        <w:pStyle w:val="FirstParagraph"/>
      </w:pPr>
      <w:r>
        <w:t xml:space="preserve">Rooted-path structure cannot be inferred solely from a compatible pair table. Consider three sources.</w:t>
      </w:r>
    </w:p>
    <w:p>
      <w:pPr>
        <w:pStyle w:val="BodyText"/>
      </w:pPr>
      <w:r>
        <w:t xml:space="preserve">In system A, there are three resources</w:t>
      </w:r>
      <w:r>
        <w:t xml:space="preserve"> </w:t>
      </w:r>
      <m:oMath>
        <m:sSub>
          <m:e>
            <m:r>
              <m:t>e</m:t>
            </m:r>
          </m:e>
          <m:sub>
            <m:r>
              <m:t>12</m:t>
            </m:r>
          </m:sub>
        </m:sSub>
        <m:r>
          <m:rPr>
            <m:sty m:val="p"/>
          </m:rPr>
          <m:t>,</m:t>
        </m:r>
        <m:sSub>
          <m:e>
            <m:r>
              <m:t>e</m:t>
            </m:r>
          </m:e>
          <m:sub>
            <m:r>
              <m:t>13</m:t>
            </m:r>
          </m:sub>
        </m:sSub>
        <m:r>
          <m:rPr>
            <m:sty m:val="p"/>
          </m:rPr>
          <m:t>,</m:t>
        </m:r>
        <m:sSub>
          <m:e>
            <m:r>
              <m:t>e</m:t>
            </m:r>
          </m:e>
          <m:sub>
            <m:r>
              <m:t>23</m:t>
            </m:r>
          </m:sub>
        </m:sSub>
      </m:oMath>
      <w:r>
        <w:t xml:space="preserve">, each of cost one. Source 1 uses</w:t>
      </w:r>
      <w:r>
        <w:t xml:space="preserve"> </w:t>
      </w:r>
      <m:oMath>
        <m:sSub>
          <m:e>
            <m:r>
              <m:t>e</m:t>
            </m:r>
          </m:e>
          <m:sub>
            <m:r>
              <m:t>12</m:t>
            </m:r>
          </m:sub>
        </m:sSub>
        <m:r>
          <m:rPr>
            <m:sty m:val="p"/>
          </m:rPr>
          <m:t>,</m:t>
        </m:r>
        <m:sSub>
          <m:e>
            <m:r>
              <m:t>e</m:t>
            </m:r>
          </m:e>
          <m:sub>
            <m:r>
              <m:t>13</m:t>
            </m:r>
          </m:sub>
        </m:sSub>
      </m:oMath>
      <w:r>
        <w:t xml:space="preserve">; source 2 uses</w:t>
      </w:r>
      <w:r>
        <w:t xml:space="preserve"> </w:t>
      </w:r>
      <m:oMath>
        <m:sSub>
          <m:e>
            <m:r>
              <m:t>e</m:t>
            </m:r>
          </m:e>
          <m:sub>
            <m:r>
              <m:t>12</m:t>
            </m:r>
          </m:sub>
        </m:sSub>
        <m:r>
          <m:rPr>
            <m:sty m:val="p"/>
          </m:rPr>
          <m:t>,</m:t>
        </m:r>
        <m:sSub>
          <m:e>
            <m:r>
              <m:t>e</m:t>
            </m:r>
          </m:e>
          <m:sub>
            <m:r>
              <m:t>23</m:t>
            </m:r>
          </m:sub>
        </m:sSub>
      </m:oMath>
      <w:r>
        <w:t xml:space="preserve">; source 3 uses</w:t>
      </w:r>
      <w:r>
        <w:t xml:space="preserve"> </w:t>
      </w:r>
      <m:oMath>
        <m:sSub>
          <m:e>
            <m:r>
              <m:t>e</m:t>
            </m:r>
          </m:e>
          <m:sub>
            <m:r>
              <m:t>13</m:t>
            </m:r>
          </m:sub>
        </m:sSub>
        <m:r>
          <m:rPr>
            <m:sty m:val="p"/>
          </m:rPr>
          <m:t>,</m:t>
        </m:r>
        <m:sSub>
          <m:e>
            <m:r>
              <m:t>e</m:t>
            </m:r>
          </m:e>
          <m:sub>
            <m:r>
              <m:t>23</m:t>
            </m:r>
          </m:sub>
        </m:sSub>
      </m:oMath>
      <w:r>
        <w:t xml:space="preserve">.</w:t>
      </w:r>
    </w:p>
    <w:p>
      <w:pPr>
        <w:pStyle w:val="BodyText"/>
      </w:pPr>
      <w:r>
        <w:t xml:space="preserve">In system B, every source uses a common resource of cost one and its own private resource of cost one.</w:t>
      </w:r>
    </w:p>
    <w:p>
      <w:pPr>
        <w:pStyle w:val="BodyText"/>
        <w:keepNext/>
      </w:pPr>
      <w:r>
        <w:t xml:space="preserve">Both systems have singleton cost two and pair cost three. Their triple costs differ:</w:t>
      </w:r>
    </w:p>
    <w:p>
      <w:pPr>
        <w:pStyle w:val="Equation"/>
        <w:tabs>
          <w:tab w:pos="4680" w:val="center"/>
          <w:tab w:pos="9792" w:val="right"/>
        </w:tabs>
        <w:jc w:val="left"/>
      </w:pPr>
      <w:r>
        <w:tab/>
      </w:r>
      <m:oMath>
        <m:sSub>
          <m:e>
            <m:r>
              <m:t>F</m:t>
            </m:r>
          </m:e>
          <m:sub>
            <m:r>
              <m:t>A</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3</m:t>
        </m:r>
        <m:r>
          <m:rPr>
            <m:sty m:val="p"/>
          </m:rPr>
          <m:t>,</m:t>
        </m:r>
        <m:r>
          <m:t>  </m:t>
        </m:r>
        <m:sSub>
          <m:e>
            <m:r>
              <m:t>F</m:t>
            </m:r>
          </m:e>
          <m:sub>
            <m:r>
              <m:t>B</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4</m:t>
        </m:r>
        <m:r>
          <m:rPr>
            <m:sty m:val="p"/>
          </m:rPr>
          <m:t>.</m:t>
        </m:r>
      </m:oMath>
      <w:r>
        <w:tab/>
        <w:t>(20)</w:t>
      </w:r>
    </w:p>
    <w:p>
      <w:pPr>
        <w:pStyle w:val="BodyText"/>
      </w:pPr>
      <w:r>
        <w:t xml:space="preserve">System B is a rooted-tree model; system A is a general coverage system. Individual and pairwise measurements therefore cannot identify all group costs over the broader class. Even a table satisfying Proposition 2.1 does not certify that the physical system has rooted-path structure.</w:t>
      </w:r>
    </w:p>
    <w:bookmarkEnd w:id="40"/>
    <w:bookmarkEnd w:id="41"/>
    <w:bookmarkStart w:id="45" w:name="synthetic-manufacturing-illustration"/>
    <w:p>
      <w:pPr>
        <w:pStyle w:val="Heading1"/>
      </w:pPr>
      <w:r>
        <w:t xml:space="preserve">6. Synthetic manufacturing illustration</w:t>
      </w:r>
    </w:p>
    <w:bookmarkStart w:id="42" w:name="fully-specified-instance"/>
    <w:p>
      <w:pPr>
        <w:pStyle w:val="Heading2"/>
      </w:pPr>
      <w:r>
        <w:t xml:space="preserve">6.1. Fully specified instance</w:t>
      </w:r>
    </w:p>
    <w:p>
      <w:pPr>
        <w:pStyle w:val="FirstParagraph"/>
      </w:pPr>
      <w:r>
        <w:t xml:space="preserve">Consider six evidence sources: telemetry, quality, maintenance, materials, scheduling, and assembly. Their labels describe diagnostic roles. No physical factory data or language-model outputs are used.</w:t>
      </w:r>
    </w:p>
    <w:p>
      <w:pPr>
        <w:pStyle w:val="BodyText"/>
        <w:keepNext/>
      </w:pPr>
      <w:r>
        <w:t xml:space="preserve">The rooted routing tree has the following activation edges.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7272"/>
        <w:gridCol w:w="2520"/>
      </w:tblGrid>
      <w:tr>
        <w:trPr>
          <w:tblHeader w:val="true"/>
          <w:cantSplit/>
          <w:tblHeader/>
        </w:trPr>
        <w:tc>
          <w:tcPr>
            <w:tcW w:type="dxa" w:w="7272"/>
            <w:vAlign w:val="center"/>
            <w:shd w:fill="E9ECEF"/>
          </w:tcPr>
          <w:p>
            <w:pPr>
              <w:pStyle w:val="TableBody"/>
              <w:keepNext/>
              <w:jc w:val="left"/>
            </w:pPr>
            <w:r>
              <w:rPr>
                <w:b/>
                <w:sz w:val="20"/>
              </w:rPr>
              <w:t xml:space="preserve">Edge</w:t>
            </w:r>
          </w:p>
        </w:tc>
        <w:tc>
          <w:tcPr>
            <w:tcW w:type="dxa" w:w="2520"/>
            <w:vAlign w:val="center"/>
            <w:shd w:fill="E9ECEF"/>
          </w:tcPr>
          <w:p>
            <w:pPr>
              <w:pStyle w:val="TableBody"/>
              <w:keepNext/>
              <w:jc w:val="center"/>
            </w:pPr>
            <w:r>
              <w:rPr>
                <w:b/>
                <w:sz w:val="20"/>
              </w:rPr>
              <w:t xml:space="preserve">Activation cost</w:t>
            </w:r>
          </w:p>
        </w:tc>
      </w:tr>
      <w:tr>
        <w:trPr>
          <w:cantSplit/>
        </w:trPr>
        <w:tc>
          <w:tcPr>
            <w:tcW w:type="dxa" w:w="7272"/>
            <w:vAlign w:val="center"/>
          </w:tcPr>
          <w:p>
            <w:pPr>
              <w:pStyle w:val="TableBody"/>
              <w:keepNext/>
              <w:jc w:val="left"/>
            </w:pPr>
            <w:r>
              <w:rPr>
                <w:b w:val="0"/>
                <w:sz w:val="20"/>
              </w:rPr>
              <w:t xml:space="preserve">Coordinator → Telemetry</w:t>
            </w:r>
          </w:p>
        </w:tc>
        <w:tc>
          <w:tcPr>
            <w:tcW w:type="dxa" w:w="2520"/>
            <w:vAlign w:val="center"/>
          </w:tcPr>
          <w:p>
            <w:pPr>
              <w:pStyle w:val="TableBody"/>
              <w:keepNext/>
              <w:jc w:val="center"/>
            </w:pPr>
            <w:r>
              <w:rPr>
                <w:b w:val="0"/>
                <w:sz w:val="20"/>
              </w:rPr>
              <w:t xml:space="preserve">2.0</w:t>
            </w:r>
          </w:p>
        </w:tc>
      </w:tr>
      <w:tr>
        <w:trPr>
          <w:cantSplit/>
        </w:trPr>
        <w:tc>
          <w:tcPr>
            <w:tcW w:type="dxa" w:w="7272"/>
            <w:vAlign w:val="center"/>
          </w:tcPr>
          <w:p>
            <w:pPr>
              <w:pStyle w:val="TableBody"/>
              <w:keepNext/>
              <w:jc w:val="left"/>
            </w:pPr>
            <w:r>
              <w:rPr>
                <w:b w:val="0"/>
                <w:sz w:val="20"/>
              </w:rPr>
              <w:t xml:space="preserve">Telemetry → Quality</w:t>
            </w:r>
          </w:p>
        </w:tc>
        <w:tc>
          <w:tcPr>
            <w:tcW w:type="dxa" w:w="2520"/>
            <w:vAlign w:val="center"/>
          </w:tcPr>
          <w:p>
            <w:pPr>
              <w:pStyle w:val="TableBody"/>
              <w:keepNext/>
              <w:jc w:val="center"/>
            </w:pPr>
            <w:r>
              <w:rPr>
                <w:b w:val="0"/>
                <w:sz w:val="20"/>
              </w:rPr>
              <w:t xml:space="preserve">1.6</w:t>
            </w:r>
          </w:p>
        </w:tc>
      </w:tr>
      <w:tr>
        <w:trPr>
          <w:cantSplit/>
        </w:trPr>
        <w:tc>
          <w:tcPr>
            <w:tcW w:type="dxa" w:w="7272"/>
            <w:vAlign w:val="center"/>
          </w:tcPr>
          <w:p>
            <w:pPr>
              <w:pStyle w:val="TableBody"/>
              <w:keepNext/>
              <w:jc w:val="left"/>
            </w:pPr>
            <w:r>
              <w:rPr>
                <w:b w:val="0"/>
                <w:sz w:val="20"/>
              </w:rPr>
              <w:t xml:space="preserve">Telemetry → Maintenance</w:t>
            </w:r>
          </w:p>
        </w:tc>
        <w:tc>
          <w:tcPr>
            <w:tcW w:type="dxa" w:w="2520"/>
            <w:vAlign w:val="center"/>
          </w:tcPr>
          <w:p>
            <w:pPr>
              <w:pStyle w:val="TableBody"/>
              <w:keepNext/>
              <w:jc w:val="center"/>
            </w:pPr>
            <w:r>
              <w:rPr>
                <w:b w:val="0"/>
                <w:sz w:val="20"/>
              </w:rPr>
              <w:t xml:space="preserve">1.4</w:t>
            </w:r>
          </w:p>
        </w:tc>
      </w:tr>
      <w:tr>
        <w:trPr>
          <w:cantSplit/>
        </w:trPr>
        <w:tc>
          <w:tcPr>
            <w:tcW w:type="dxa" w:w="7272"/>
            <w:vAlign w:val="center"/>
          </w:tcPr>
          <w:p>
            <w:pPr>
              <w:pStyle w:val="TableBody"/>
              <w:keepNext/>
              <w:jc w:val="left"/>
            </w:pPr>
            <w:r>
              <w:rPr>
                <w:b w:val="0"/>
                <w:sz w:val="20"/>
              </w:rPr>
              <w:t xml:space="preserve">Coordinator → Materials</w:t>
            </w:r>
          </w:p>
        </w:tc>
        <w:tc>
          <w:tcPr>
            <w:tcW w:type="dxa" w:w="2520"/>
            <w:vAlign w:val="center"/>
          </w:tcPr>
          <w:p>
            <w:pPr>
              <w:pStyle w:val="TableBody"/>
              <w:keepNext/>
              <w:jc w:val="center"/>
            </w:pPr>
            <w:r>
              <w:rPr>
                <w:b w:val="0"/>
                <w:sz w:val="20"/>
              </w:rPr>
              <w:t xml:space="preserve">2.6</w:t>
            </w:r>
          </w:p>
        </w:tc>
      </w:tr>
      <w:tr>
        <w:trPr>
          <w:cantSplit/>
        </w:trPr>
        <w:tc>
          <w:tcPr>
            <w:tcW w:type="dxa" w:w="7272"/>
            <w:vAlign w:val="center"/>
          </w:tcPr>
          <w:p>
            <w:pPr>
              <w:pStyle w:val="TableBody"/>
              <w:keepNext/>
              <w:jc w:val="left"/>
            </w:pPr>
            <w:r>
              <w:rPr>
                <w:b w:val="0"/>
                <w:sz w:val="20"/>
              </w:rPr>
              <w:t xml:space="preserve">Coordinator → Scheduling</w:t>
            </w:r>
          </w:p>
        </w:tc>
        <w:tc>
          <w:tcPr>
            <w:tcW w:type="dxa" w:w="2520"/>
            <w:vAlign w:val="center"/>
          </w:tcPr>
          <w:p>
            <w:pPr>
              <w:pStyle w:val="TableBody"/>
              <w:keepNext/>
              <w:jc w:val="center"/>
            </w:pPr>
            <w:r>
              <w:rPr>
                <w:b w:val="0"/>
                <w:sz w:val="20"/>
              </w:rPr>
              <w:t xml:space="preserve">2.0</w:t>
            </w:r>
          </w:p>
        </w:tc>
      </w:tr>
      <w:tr>
        <w:trPr>
          <w:cantSplit/>
        </w:trPr>
        <w:tc>
          <w:tcPr>
            <w:tcW w:type="dxa" w:w="7272"/>
            <w:vAlign w:val="center"/>
          </w:tcPr>
          <w:p>
            <w:pPr>
              <w:pStyle w:val="TableBody"/>
              <w:keepNext w:val="0"/>
              <w:jc w:val="left"/>
            </w:pPr>
            <w:r>
              <w:rPr>
                <w:b w:val="0"/>
                <w:sz w:val="20"/>
              </w:rPr>
              <w:t xml:space="preserve">Scheduling → Assembly</w:t>
            </w:r>
          </w:p>
        </w:tc>
        <w:tc>
          <w:tcPr>
            <w:tcW w:type="dxa" w:w="2520"/>
            <w:vAlign w:val="center"/>
          </w:tcPr>
          <w:p>
            <w:pPr>
              <w:pStyle w:val="TableBody"/>
              <w:keepNext w:val="0"/>
              <w:jc w:val="center"/>
            </w:pPr>
            <w:r>
              <w:rPr>
                <w:b w:val="0"/>
                <w:sz w:val="20"/>
              </w:rPr>
              <w:t xml:space="preserve">1.8</w:t>
            </w:r>
          </w:p>
        </w:tc>
      </w:tr>
    </w:tbl>
    <w:p>
      <w:pPr>
        <w:pStyle w:val="BodyText"/>
        <w:spacing w:before="120"/>
      </w:pPr>
      <w:r>
        <w:t xml:space="preserve">An activation expense is paid once per investigation.</w:t>
      </w:r>
    </w:p>
    <w:p>
      <w:pPr>
        <w:pStyle w:val="BodyText"/>
        <w:keepNext/>
        <w:spacing w:before="140" w:after="100"/>
      </w:pPr>
      <w:r>
        <w:rPr>
          <w:bCs/>
          <w:b/>
        </w:rPr>
        <w:t xml:space="preserve">Table 1. Synthetic source parameters.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096"/>
        <w:gridCol w:w="2016"/>
        <w:gridCol w:w="2088"/>
        <w:gridCol w:w="2592"/>
      </w:tblGrid>
      <w:tr>
        <w:trPr>
          <w:tblHeader w:val="true"/>
          <w:cantSplit/>
          <w:tblHeader/>
        </w:trPr>
        <w:tc>
          <w:tcPr>
            <w:tcW w:type="dxa" w:w="3096"/>
            <w:vAlign w:val="center"/>
            <w:shd w:fill="E9ECEF"/>
          </w:tcPr>
          <w:p>
            <w:pPr>
              <w:pStyle w:val="TableBody"/>
              <w:keepNext/>
              <w:jc w:val="left"/>
            </w:pPr>
            <w:r>
              <w:rPr>
                <w:b/>
                <w:sz w:val="20"/>
              </w:rPr>
              <w:t xml:space="preserve">Source</w:t>
            </w:r>
          </w:p>
        </w:tc>
        <w:tc>
          <w:tcPr>
            <w:tcW w:type="dxa" w:w="2016"/>
            <w:vAlign w:val="center"/>
            <w:shd w:fill="E9ECEF"/>
          </w:tcPr>
          <w:p>
            <w:pPr>
              <w:pStyle w:val="TableBody"/>
              <w:keepNext/>
              <w:jc w:val="center"/>
            </w:pPr>
            <w:r>
              <w:rPr>
                <w:b/>
                <w:sz w:val="20"/>
              </w:rPr>
              <w:t xml:space="preserve">Service cost</w:t>
            </w:r>
          </w:p>
        </w:tc>
        <w:tc>
          <w:tcPr>
            <w:tcW w:type="dxa" w:w="2088"/>
            <w:vAlign w:val="center"/>
            <w:shd w:fill="E9ECEF"/>
          </w:tcPr>
          <w:p>
            <w:pPr>
              <w:pStyle w:val="TableBody"/>
              <w:keepNext/>
              <w:jc w:val="center"/>
            </w:pPr>
            <w:r>
              <w:rPr>
                <w:b/>
                <w:sz w:val="20"/>
              </w:rPr>
              <w:t xml:space="preserve">Singleton cost</w:t>
            </w:r>
          </w:p>
        </w:tc>
        <w:tc>
          <w:tcPr>
            <w:tcW w:type="dxa" w:w="2592"/>
            <w:vAlign w:val="center"/>
            <w:shd w:fill="E9ECEF"/>
          </w:tcPr>
          <w:p>
            <w:pPr>
              <w:pStyle w:val="TableBody"/>
              <w:keepNext/>
              <w:jc w:val="center"/>
            </w:pPr>
            <w:r>
              <w:rPr>
                <w:b/>
                <w:sz w:val="20"/>
              </w:rPr>
              <w:t xml:space="preserve">Assumed accuracy</w:t>
            </w:r>
          </w:p>
        </w:tc>
      </w:tr>
      <w:tr>
        <w:trPr>
          <w:cantSplit/>
        </w:trPr>
        <w:tc>
          <w:tcPr>
            <w:tcW w:type="dxa" w:w="3096"/>
            <w:vAlign w:val="center"/>
          </w:tcPr>
          <w:p>
            <w:pPr>
              <w:pStyle w:val="TableBody"/>
              <w:keepNext/>
              <w:jc w:val="left"/>
            </w:pPr>
            <w:r>
              <w:rPr>
                <w:b w:val="0"/>
                <w:sz w:val="20"/>
              </w:rPr>
              <w:t xml:space="preserve">Telemetry</w:t>
            </w:r>
          </w:p>
        </w:tc>
        <w:tc>
          <w:tcPr>
            <w:tcW w:type="dxa" w:w="2016"/>
            <w:vAlign w:val="center"/>
          </w:tcPr>
          <w:p>
            <w:pPr>
              <w:pStyle w:val="TableBody"/>
              <w:keepNext/>
              <w:jc w:val="center"/>
            </w:pPr>
            <w:r>
              <w:rPr>
                <w:b w:val="0"/>
                <w:sz w:val="20"/>
              </w:rPr>
              <w:t xml:space="preserve">1.0</w:t>
            </w:r>
          </w:p>
        </w:tc>
        <w:tc>
          <w:tcPr>
            <w:tcW w:type="dxa" w:w="2088"/>
            <w:vAlign w:val="center"/>
          </w:tcPr>
          <w:p>
            <w:pPr>
              <w:pStyle w:val="TableBody"/>
              <w:keepNext/>
              <w:jc w:val="center"/>
            </w:pPr>
            <w:r>
              <w:rPr>
                <w:b w:val="0"/>
                <w:sz w:val="20"/>
              </w:rPr>
              <w:t xml:space="preserve">3.0</w:t>
            </w:r>
          </w:p>
        </w:tc>
        <w:tc>
          <w:tcPr>
            <w:tcW w:type="dxa" w:w="2592"/>
            <w:vAlign w:val="center"/>
          </w:tcPr>
          <w:p>
            <w:pPr>
              <w:pStyle w:val="TableBody"/>
              <w:keepNext/>
              <w:jc w:val="center"/>
            </w:pPr>
            <w:r>
              <w:rPr>
                <w:b w:val="0"/>
                <w:sz w:val="20"/>
              </w:rPr>
              <w:t xml:space="preserve">0.75</w:t>
            </w:r>
          </w:p>
        </w:tc>
      </w:tr>
      <w:tr>
        <w:trPr>
          <w:cantSplit/>
        </w:trPr>
        <w:tc>
          <w:tcPr>
            <w:tcW w:type="dxa" w:w="3096"/>
            <w:vAlign w:val="center"/>
          </w:tcPr>
          <w:p>
            <w:pPr>
              <w:pStyle w:val="TableBody"/>
              <w:keepNext/>
              <w:jc w:val="left"/>
            </w:pPr>
            <w:r>
              <w:rPr>
                <w:b w:val="0"/>
                <w:sz w:val="20"/>
              </w:rPr>
              <w:t xml:space="preserve">Quality</w:t>
            </w:r>
          </w:p>
        </w:tc>
        <w:tc>
          <w:tcPr>
            <w:tcW w:type="dxa" w:w="2016"/>
            <w:vAlign w:val="center"/>
          </w:tcPr>
          <w:p>
            <w:pPr>
              <w:pStyle w:val="TableBody"/>
              <w:keepNext/>
              <w:jc w:val="center"/>
            </w:pPr>
            <w:r>
              <w:rPr>
                <w:b w:val="0"/>
                <w:sz w:val="20"/>
              </w:rPr>
              <w:t xml:space="preserve">1.1</w:t>
            </w:r>
          </w:p>
        </w:tc>
        <w:tc>
          <w:tcPr>
            <w:tcW w:type="dxa" w:w="2088"/>
            <w:vAlign w:val="center"/>
          </w:tcPr>
          <w:p>
            <w:pPr>
              <w:pStyle w:val="TableBody"/>
              <w:keepNext/>
              <w:jc w:val="center"/>
            </w:pPr>
            <w:r>
              <w:rPr>
                <w:b w:val="0"/>
                <w:sz w:val="20"/>
              </w:rPr>
              <w:t xml:space="preserve">4.7</w:t>
            </w:r>
          </w:p>
        </w:tc>
        <w:tc>
          <w:tcPr>
            <w:tcW w:type="dxa" w:w="2592"/>
            <w:vAlign w:val="center"/>
          </w:tcPr>
          <w:p>
            <w:pPr>
              <w:pStyle w:val="TableBody"/>
              <w:keepNext/>
              <w:jc w:val="center"/>
            </w:pPr>
            <w:r>
              <w:rPr>
                <w:b w:val="0"/>
                <w:sz w:val="20"/>
              </w:rPr>
              <w:t xml:space="preserve">0.80</w:t>
            </w:r>
          </w:p>
        </w:tc>
      </w:tr>
      <w:tr>
        <w:trPr>
          <w:cantSplit/>
        </w:trPr>
        <w:tc>
          <w:tcPr>
            <w:tcW w:type="dxa" w:w="3096"/>
            <w:vAlign w:val="center"/>
          </w:tcPr>
          <w:p>
            <w:pPr>
              <w:pStyle w:val="TableBody"/>
              <w:keepNext/>
              <w:jc w:val="left"/>
            </w:pPr>
            <w:r>
              <w:rPr>
                <w:b w:val="0"/>
                <w:sz w:val="20"/>
              </w:rPr>
              <w:t xml:space="preserve">Maintenance</w:t>
            </w:r>
          </w:p>
        </w:tc>
        <w:tc>
          <w:tcPr>
            <w:tcW w:type="dxa" w:w="2016"/>
            <w:vAlign w:val="center"/>
          </w:tcPr>
          <w:p>
            <w:pPr>
              <w:pStyle w:val="TableBody"/>
              <w:keepNext/>
              <w:jc w:val="center"/>
            </w:pPr>
            <w:r>
              <w:rPr>
                <w:b w:val="0"/>
                <w:sz w:val="20"/>
              </w:rPr>
              <w:t xml:space="preserve">0.9</w:t>
            </w:r>
          </w:p>
        </w:tc>
        <w:tc>
          <w:tcPr>
            <w:tcW w:type="dxa" w:w="2088"/>
            <w:vAlign w:val="center"/>
          </w:tcPr>
          <w:p>
            <w:pPr>
              <w:pStyle w:val="TableBody"/>
              <w:keepNext/>
              <w:jc w:val="center"/>
            </w:pPr>
            <w:r>
              <w:rPr>
                <w:b w:val="0"/>
                <w:sz w:val="20"/>
              </w:rPr>
              <w:t xml:space="preserve">4.3</w:t>
            </w:r>
          </w:p>
        </w:tc>
        <w:tc>
          <w:tcPr>
            <w:tcW w:type="dxa" w:w="2592"/>
            <w:vAlign w:val="center"/>
          </w:tcPr>
          <w:p>
            <w:pPr>
              <w:pStyle w:val="TableBody"/>
              <w:keepNext/>
              <w:jc w:val="center"/>
            </w:pPr>
            <w:r>
              <w:rPr>
                <w:b w:val="0"/>
                <w:sz w:val="20"/>
              </w:rPr>
              <w:t xml:space="preserve">0.78</w:t>
            </w:r>
          </w:p>
        </w:tc>
      </w:tr>
      <w:tr>
        <w:trPr>
          <w:cantSplit/>
        </w:trPr>
        <w:tc>
          <w:tcPr>
            <w:tcW w:type="dxa" w:w="3096"/>
            <w:vAlign w:val="center"/>
          </w:tcPr>
          <w:p>
            <w:pPr>
              <w:pStyle w:val="TableBody"/>
              <w:keepNext/>
              <w:jc w:val="left"/>
            </w:pPr>
            <w:r>
              <w:rPr>
                <w:b w:val="0"/>
                <w:sz w:val="20"/>
              </w:rPr>
              <w:t xml:space="preserve">Materials</w:t>
            </w:r>
          </w:p>
        </w:tc>
        <w:tc>
          <w:tcPr>
            <w:tcW w:type="dxa" w:w="2016"/>
            <w:vAlign w:val="center"/>
          </w:tcPr>
          <w:p>
            <w:pPr>
              <w:pStyle w:val="TableBody"/>
              <w:keepNext/>
              <w:jc w:val="center"/>
            </w:pPr>
            <w:r>
              <w:rPr>
                <w:b w:val="0"/>
                <w:sz w:val="20"/>
              </w:rPr>
              <w:t xml:space="preserve">0.8</w:t>
            </w:r>
          </w:p>
        </w:tc>
        <w:tc>
          <w:tcPr>
            <w:tcW w:type="dxa" w:w="2088"/>
            <w:vAlign w:val="center"/>
          </w:tcPr>
          <w:p>
            <w:pPr>
              <w:pStyle w:val="TableBody"/>
              <w:keepNext/>
              <w:jc w:val="center"/>
            </w:pPr>
            <w:r>
              <w:rPr>
                <w:b w:val="0"/>
                <w:sz w:val="20"/>
              </w:rPr>
              <w:t xml:space="preserve">3.4</w:t>
            </w:r>
          </w:p>
        </w:tc>
        <w:tc>
          <w:tcPr>
            <w:tcW w:type="dxa" w:w="2592"/>
            <w:vAlign w:val="center"/>
          </w:tcPr>
          <w:p>
            <w:pPr>
              <w:pStyle w:val="TableBody"/>
              <w:keepNext/>
              <w:jc w:val="center"/>
            </w:pPr>
            <w:r>
              <w:rPr>
                <w:b w:val="0"/>
                <w:sz w:val="20"/>
              </w:rPr>
              <w:t xml:space="preserve">0.65</w:t>
            </w:r>
          </w:p>
        </w:tc>
      </w:tr>
      <w:tr>
        <w:trPr>
          <w:cantSplit/>
        </w:trPr>
        <w:tc>
          <w:tcPr>
            <w:tcW w:type="dxa" w:w="3096"/>
            <w:vAlign w:val="center"/>
          </w:tcPr>
          <w:p>
            <w:pPr>
              <w:pStyle w:val="TableBody"/>
              <w:keepNext/>
              <w:jc w:val="left"/>
            </w:pPr>
            <w:r>
              <w:rPr>
                <w:b w:val="0"/>
                <w:sz w:val="20"/>
              </w:rPr>
              <w:t xml:space="preserve">Scheduling</w:t>
            </w:r>
          </w:p>
        </w:tc>
        <w:tc>
          <w:tcPr>
            <w:tcW w:type="dxa" w:w="2016"/>
            <w:vAlign w:val="center"/>
          </w:tcPr>
          <w:p>
            <w:pPr>
              <w:pStyle w:val="TableBody"/>
              <w:keepNext/>
              <w:jc w:val="center"/>
            </w:pPr>
            <w:r>
              <w:rPr>
                <w:b w:val="0"/>
                <w:sz w:val="20"/>
              </w:rPr>
              <w:t xml:space="preserve">0.9</w:t>
            </w:r>
          </w:p>
        </w:tc>
        <w:tc>
          <w:tcPr>
            <w:tcW w:type="dxa" w:w="2088"/>
            <w:vAlign w:val="center"/>
          </w:tcPr>
          <w:p>
            <w:pPr>
              <w:pStyle w:val="TableBody"/>
              <w:keepNext/>
              <w:jc w:val="center"/>
            </w:pPr>
            <w:r>
              <w:rPr>
                <w:b w:val="0"/>
                <w:sz w:val="20"/>
              </w:rPr>
              <w:t xml:space="preserve">2.9</w:t>
            </w:r>
          </w:p>
        </w:tc>
        <w:tc>
          <w:tcPr>
            <w:tcW w:type="dxa" w:w="2592"/>
            <w:vAlign w:val="center"/>
          </w:tcPr>
          <w:p>
            <w:pPr>
              <w:pStyle w:val="TableBody"/>
              <w:keepNext/>
              <w:jc w:val="center"/>
            </w:pPr>
            <w:r>
              <w:rPr>
                <w:b w:val="0"/>
                <w:sz w:val="20"/>
              </w:rPr>
              <w:t xml:space="preserve">0.70</w:t>
            </w:r>
          </w:p>
        </w:tc>
      </w:tr>
      <w:tr>
        <w:trPr>
          <w:cantSplit/>
        </w:trPr>
        <w:tc>
          <w:tcPr>
            <w:tcW w:type="dxa" w:w="3096"/>
            <w:vAlign w:val="center"/>
          </w:tcPr>
          <w:p>
            <w:pPr>
              <w:pStyle w:val="TableBody"/>
              <w:keepNext w:val="0"/>
              <w:jc w:val="left"/>
            </w:pPr>
            <w:r>
              <w:rPr>
                <w:b w:val="0"/>
                <w:sz w:val="20"/>
              </w:rPr>
              <w:t xml:space="preserve">Assembly</w:t>
            </w:r>
          </w:p>
        </w:tc>
        <w:tc>
          <w:tcPr>
            <w:tcW w:type="dxa" w:w="2016"/>
            <w:vAlign w:val="center"/>
          </w:tcPr>
          <w:p>
            <w:pPr>
              <w:pStyle w:val="TableBody"/>
              <w:keepNext w:val="0"/>
              <w:jc w:val="center"/>
            </w:pPr>
            <w:r>
              <w:rPr>
                <w:b w:val="0"/>
                <w:sz w:val="20"/>
              </w:rPr>
              <w:t xml:space="preserve">1.3</w:t>
            </w:r>
          </w:p>
        </w:tc>
        <w:tc>
          <w:tcPr>
            <w:tcW w:type="dxa" w:w="2088"/>
            <w:vAlign w:val="center"/>
          </w:tcPr>
          <w:p>
            <w:pPr>
              <w:pStyle w:val="TableBody"/>
              <w:keepNext w:val="0"/>
              <w:jc w:val="center"/>
            </w:pPr>
            <w:r>
              <w:rPr>
                <w:b w:val="0"/>
                <w:sz w:val="20"/>
              </w:rPr>
              <w:t xml:space="preserve">5.1</w:t>
            </w:r>
          </w:p>
        </w:tc>
        <w:tc>
          <w:tcPr>
            <w:tcW w:type="dxa" w:w="2592"/>
            <w:vAlign w:val="center"/>
          </w:tcPr>
          <w:p>
            <w:pPr>
              <w:pStyle w:val="TableBody"/>
              <w:keepNext w:val="0"/>
              <w:jc w:val="center"/>
            </w:pPr>
            <w:r>
              <w:rPr>
                <w:b w:val="0"/>
                <w:sz w:val="20"/>
              </w:rPr>
              <w:t xml:space="preserve">0.88</w:t>
            </w:r>
          </w:p>
        </w:tc>
      </w:tr>
    </w:tbl>
    <w:p>
      <w:pPr>
        <w:pStyle w:val="BodyText"/>
        <w:spacing w:before="120"/>
      </w:pPr>
      <w:r>
        <w:t xml:space="preserve">The three pairs within</w:t>
      </w:r>
      <w:r>
        <w:t xml:space="preserve"> </w:t>
      </w:r>
      <m:oMath>
        <m:r>
          <m:rPr>
            <m:sty m:val="p"/>
          </m:rPr>
          <m:t>{</m:t>
        </m:r>
        <m:r>
          <m:rPr>
            <m:nor/>
            <m:sty m:val="p"/>
          </m:rPr>
          <m:t>telemetry</m:t>
        </m:r>
        <m:r>
          <m:rPr>
            <m:sty m:val="p"/>
          </m:rPr>
          <m:t>,</m:t>
        </m:r>
        <m:r>
          <m:rPr>
            <m:nor/>
            <m:sty m:val="p"/>
          </m:rPr>
          <m:t>quality</m:t>
        </m:r>
        <m:r>
          <m:rPr>
            <m:sty m:val="p"/>
          </m:rPr>
          <m:t>,</m:t>
        </m:r>
        <m:r>
          <m:rPr>
            <m:nor/>
            <m:sty m:val="p"/>
          </m:rPr>
          <m:t>maintenance</m:t>
        </m:r>
        <m:r>
          <m:rPr>
            <m:sty m:val="p"/>
          </m:rPr>
          <m:t>}</m:t>
        </m:r>
      </m:oMath>
      <w:r>
        <w:t xml:space="preserve">, and the scheduling–assembly pair, have overlap 2.0. Every other overlap is zero. These values and Table 1 specify every pair cost through (2).</w:t>
      </w:r>
    </w:p>
    <w:p>
      <w:pPr>
        <w:pStyle w:val="BodyText"/>
        <w:keepNext/>
      </w:pPr>
      <w:r>
        <w:t xml:space="preserve">For example, quality and maintenance together cost</w:t>
      </w:r>
    </w:p>
    <w:p>
      <w:pPr>
        <w:pStyle w:val="Equation"/>
        <w:jc w:val="center"/>
      </w:pPr>
      <m:oMathPara>
        <m:oMathParaPr>
          <m:jc m:val="center"/>
        </m:oMathParaPr>
        <m:oMath>
          <m:r>
            <m:t>4.7</m:t>
          </m:r>
          <m:r>
            <m:rPr>
              <m:sty m:val="p"/>
            </m:rPr>
            <m:t>+</m:t>
          </m:r>
          <m:r>
            <m:t>4.3</m:t>
          </m:r>
          <m:r>
            <m:rPr>
              <m:sty m:val="p"/>
            </m:rPr>
            <m:t>−</m:t>
          </m:r>
          <m:r>
            <m:t>2.0</m:t>
          </m:r>
          <m:r>
            <m:rPr>
              <m:sty m:val="p"/>
            </m:rPr>
            <m:t>=</m:t>
          </m:r>
          <m:r>
            <m:t>7.0</m:t>
          </m:r>
          <m:r>
            <m:rPr>
              <m:sty m:val="p"/>
            </m:rPr>
            <m:t>.</m:t>
          </m:r>
        </m:oMath>
      </m:oMathPara>
    </w:p>
    <w:p>
      <w:pPr>
        <w:pStyle w:val="FirstParagraph"/>
      </w:pPr>
      <w:r>
        <w:t xml:space="preserve">Adding telemetry costs</w:t>
      </w:r>
      <w:r>
        <w:t xml:space="preserve"> </w:t>
      </w:r>
      <m:oMath>
        <m:r>
          <m:t>3.0</m:t>
        </m:r>
        <m:r>
          <m:rPr>
            <m:sty m:val="p"/>
          </m:rPr>
          <m:t>−</m:t>
        </m:r>
        <m:r>
          <m:t>2.0</m:t>
        </m:r>
        <m:r>
          <m:rPr>
            <m:sty m:val="p"/>
          </m:rPr>
          <m:t>=</m:t>
        </m:r>
        <m:r>
          <m:t>1.0</m:t>
        </m:r>
      </m:oMath>
      <w:r>
        <w:t xml:space="preserve">, giving a three-source total of 8.0. Acquiring all six sources costs 17.4; the sum of standalone costs is 23.4. This difference follows from the assumed accounting rule and is not an empirical manufacturing saving.</w:t>
      </w:r>
    </w:p>
    <w:p>
      <w:pPr>
        <w:pStyle w:val="BodyText"/>
      </w:pP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have prior probability</w:t>
      </w:r>
      <w:r>
        <w:t xml:space="preserve"> </w:t>
      </w:r>
      <m:oMath>
        <m:r>
          <m:t>1</m:t>
        </m:r>
        <m:r>
          <m:rPr>
            <m:sty m:val="p"/>
          </m:rPr>
          <m:t>/</m:t>
        </m:r>
        <m:r>
          <m:t>2</m:t>
        </m:r>
      </m:oMath>
      <w:r>
        <w:t xml:space="preserve">. Each source is a binary symmetric channel with the accuracy in Table 1, independently conditional on</w:t>
      </w:r>
      <w:r>
        <w:t xml:space="preserve"> </w:t>
      </w:r>
      <m:oMath>
        <m:r>
          <m:t>X</m:t>
        </m:r>
      </m:oMath>
      <w:r>
        <w:t xml:space="preserve">. The final loss is diagnostic misclassification, and at most four sources may be queried.</w:t>
      </w:r>
    </w:p>
    <w:p>
      <w:pPr>
        <w:pStyle w:val="BodyText"/>
        <w:keepNext/>
      </w:pPr>
      <w:r>
        <w:t xml:space="preserve">We compare the Bellman-optimal policy with a myopic policy minimizing, at each history,</w:t>
      </w:r>
    </w:p>
    <w:p>
      <w:pPr>
        <w:pStyle w:val="Equation"/>
        <w:tabs>
          <w:tab w:pos="4680" w:val="center"/>
          <w:tab w:pos="9792" w:val="right"/>
        </w:tabs>
        <w:jc w:val="left"/>
      </w:pPr>
      <w:r>
        <w:tab/>
      </w:r>
      <m:oMath>
        <m:eqArr>
          <m:eqArrPr>
            <m:baseJc m:val="center"/>
          </m:eqArrPr>
          <m:e>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r>
              <m:t>r</m:t>
            </m:r>
            <m:d>
              <m:dPr>
                <m:begChr m:val="("/>
                <m:endChr m:val=")"/>
                <m:sepChr m:val=""/>
                <m:grow/>
              </m:dPr>
              <m:e>
                <m:sSub>
                  <m:e>
                    <m:r>
                      <m:t>T</m:t>
                    </m:r>
                  </m:e>
                  <m:sub>
                    <m:r>
                      <m:t>i</m:t>
                    </m:r>
                  </m:sub>
                </m:sSub>
                <m:d>
                  <m:dPr>
                    <m:begChr m:val="("/>
                    <m:endChr m:val=")"/>
                    <m:sepChr m:val=""/>
                    <m:grow/>
                  </m:dPr>
                  <m:e>
                    <m:r>
                      <m:t>p</m:t>
                    </m:r>
                    <m:r>
                      <m:rPr>
                        <m:sty m:val="p"/>
                      </m:rPr>
                      <m:t>,</m:t>
                    </m:r>
                    <m:r>
                      <m:t>y</m:t>
                    </m:r>
                  </m:e>
                </m:d>
              </m:e>
            </m:d>
            <m:r>
              <m:rPr>
                <m:sty m:val="p"/>
              </m:rPr>
              <m:t>]</m:t>
            </m:r>
            <m:r>
              <m:rPr>
                <m:sty m:val="p"/>
              </m:rPr>
              <m:t>}</m:t>
            </m:r>
            <m:r>
              <m:rPr>
                <m:sty m:val="p"/>
              </m:rPr>
              <m:t>.</m:t>
            </m:r>
          </m:e>
        </m:eqArr>
      </m:oMath>
      <w:r>
        <w:tab/>
        <w:t>(21)</w:t>
      </w:r>
    </w:p>
    <w:p>
      <w:pPr>
        <w:pStyle w:val="BodyText"/>
      </w:pPr>
      <w:r>
        <w:t xml:space="preserve">The myopic policy repeats this rule after each observation. Ties favor stopping, then the earliest source in Table 1.</w:t>
      </w:r>
    </w:p>
    <w:bookmarkEnd w:id="42"/>
    <w:bookmarkStart w:id="43" w:name="exact-results"/>
    <w:p>
      <w:pPr>
        <w:pStyle w:val="Heading2"/>
      </w:pPr>
      <w:r>
        <w:t xml:space="preserve">6.2. Exact results</w:t>
      </w:r>
    </w:p>
    <w:p>
      <w:pPr>
        <w:pStyle w:val="FirstParagraph"/>
        <w:keepNext/>
        <w:spacing w:before="140" w:after="100"/>
      </w:pPr>
      <w:r>
        <w:rPr>
          <w:bCs/>
          <w:b/>
        </w:rPr>
        <w:t xml:space="preserve">Table 2. Exact policy expectations for the synthetic instance.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864"/>
        <w:gridCol w:w="1224"/>
        <w:gridCol w:w="1872"/>
        <w:gridCol w:w="1872"/>
        <w:gridCol w:w="1872"/>
        <w:gridCol w:w="2088"/>
      </w:tblGrid>
      <w:tr>
        <w:trPr>
          <w:tblHeader w:val="true"/>
          <w:cantSplit/>
          <w:tblHeader/>
        </w:trPr>
        <w:tc>
          <w:tcPr>
            <w:tcW w:type="dxa" w:w="864"/>
            <w:vAlign w:val="center"/>
            <w:shd w:fill="E9ECEF"/>
          </w:tcPr>
          <w:p>
            <w:pPr>
              <w:pStyle w:val="TableBody"/>
              <w:keepNext/>
              <w:jc w:val="center"/>
            </w:pPr>
            <m:oMath>
              <m:r>
                <m:t>λ</m:t>
              </m:r>
            </m:oMath>
          </w:p>
        </w:tc>
        <w:tc>
          <w:tcPr>
            <w:tcW w:type="dxa" w:w="1224"/>
            <w:vAlign w:val="center"/>
            <w:shd w:fill="E9ECEF"/>
          </w:tcPr>
          <w:p>
            <w:pPr>
              <w:pStyle w:val="TableBody"/>
              <w:keepNext/>
              <w:jc w:val="left"/>
            </w:pPr>
            <w:r>
              <w:rPr>
                <w:b/>
                <w:sz w:val="20"/>
              </w:rPr>
              <w:t xml:space="preserve">Policy</w:t>
            </w:r>
          </w:p>
        </w:tc>
        <w:tc>
          <w:tcPr>
            <w:tcW w:type="dxa" w:w="1872"/>
            <w:vAlign w:val="center"/>
            <w:shd w:fill="E9ECEF"/>
          </w:tcPr>
          <w:p>
            <w:pPr>
              <w:pStyle w:val="TableBody"/>
              <w:keepNext/>
              <w:jc w:val="center"/>
            </w:pPr>
            <w:r>
              <w:rPr>
                <w:b/>
                <w:sz w:val="20"/>
              </w:rPr>
              <w:t xml:space="preserve">Error probability</w:t>
            </w:r>
          </w:p>
        </w:tc>
        <w:tc>
          <w:tcPr>
            <w:tcW w:type="dxa" w:w="1872"/>
            <w:vAlign w:val="center"/>
            <w:shd w:fill="E9ECEF"/>
          </w:tcPr>
          <w:p>
            <w:pPr>
              <w:pStyle w:val="TableBody"/>
              <w:keepNext/>
              <w:jc w:val="center"/>
            </w:pPr>
            <w:r>
              <w:rPr>
                <w:b/>
                <w:sz w:val="20"/>
              </w:rPr>
              <w:t xml:space="preserve">Expected cost</w:t>
            </w:r>
          </w:p>
        </w:tc>
        <w:tc>
          <w:tcPr>
            <w:tcW w:type="dxa" w:w="1872"/>
            <w:vAlign w:val="center"/>
            <w:shd w:fill="E9ECEF"/>
          </w:tcPr>
          <w:p>
            <w:pPr>
              <w:pStyle w:val="TableBody"/>
              <w:keepNext/>
              <w:jc w:val="center"/>
            </w:pPr>
            <w:r>
              <w:rPr>
                <w:b/>
                <w:sz w:val="20"/>
              </w:rPr>
              <w:t xml:space="preserve">Expected calls</w:t>
            </w:r>
          </w:p>
        </w:tc>
        <w:tc>
          <w:tcPr>
            <w:tcW w:type="dxa" w:w="2088"/>
            <w:vAlign w:val="center"/>
            <w:shd w:fill="E9ECEF"/>
          </w:tcPr>
          <w:p>
            <w:pPr>
              <w:pStyle w:val="TableBody"/>
              <w:keepNext/>
              <w:jc w:val="center"/>
            </w:pPr>
            <w:r>
              <w:rPr>
                <w:b/>
                <w:sz w:val="20"/>
              </w:rPr>
              <w:t xml:space="preserve">Objective</w:t>
            </w:r>
          </w:p>
        </w:tc>
      </w:tr>
      <w:tr>
        <w:trPr>
          <w:cantSplit/>
        </w:trPr>
        <w:tc>
          <w:tcPr>
            <w:tcW w:type="dxa" w:w="864"/>
            <w:vAlign w:val="center"/>
          </w:tcPr>
          <w:p>
            <w:pPr>
              <w:pStyle w:val="TableBody"/>
              <w:keepNext/>
              <w:jc w:val="center"/>
            </w:pPr>
            <w:r>
              <w:rPr>
                <w:b w:val="0"/>
                <w:sz w:val="20"/>
              </w:rPr>
              <w:t xml:space="preserve">0.005</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0.0792</w:t>
            </w:r>
          </w:p>
        </w:tc>
        <w:tc>
          <w:tcPr>
            <w:tcW w:type="dxa" w:w="1872"/>
            <w:vAlign w:val="center"/>
          </w:tcPr>
          <w:p>
            <w:pPr>
              <w:pStyle w:val="TableBody"/>
              <w:keepNext/>
              <w:jc w:val="center"/>
            </w:pPr>
            <w:r>
              <w:rPr>
                <w:b w:val="0"/>
                <w:sz w:val="20"/>
              </w:rPr>
              <w:t xml:space="preserve">7.83012</w:t>
            </w:r>
          </w:p>
        </w:tc>
        <w:tc>
          <w:tcPr>
            <w:tcW w:type="dxa" w:w="1872"/>
            <w:vAlign w:val="center"/>
          </w:tcPr>
          <w:p>
            <w:pPr>
              <w:pStyle w:val="TableBody"/>
              <w:keepNext/>
              <w:jc w:val="center"/>
            </w:pPr>
            <w:r>
              <w:rPr>
                <w:b w:val="0"/>
                <w:sz w:val="20"/>
              </w:rPr>
              <w:t xml:space="preserve">2.4716</w:t>
            </w:r>
          </w:p>
        </w:tc>
        <w:tc>
          <w:tcPr>
            <w:tcW w:type="dxa" w:w="2088"/>
            <w:vAlign w:val="center"/>
          </w:tcPr>
          <w:p>
            <w:pPr>
              <w:pStyle w:val="TableBody"/>
              <w:keepNext/>
              <w:jc w:val="center"/>
            </w:pPr>
            <w:r>
              <w:rPr>
                <w:b w:val="0"/>
                <w:sz w:val="20"/>
              </w:rPr>
              <w:t xml:space="preserve">0.1183506</w:t>
            </w:r>
          </w:p>
        </w:tc>
      </w:tr>
      <w:tr>
        <w:trPr>
          <w:cantSplit/>
        </w:trPr>
        <w:tc>
          <w:tcPr>
            <w:tcW w:type="dxa" w:w="864"/>
            <w:vAlign w:val="center"/>
          </w:tcPr>
          <w:p>
            <w:pPr>
              <w:pStyle w:val="TableBody"/>
              <w:keepNext/>
              <w:jc w:val="center"/>
            </w:pPr>
            <w:r>
              <w:rPr>
                <w:b w:val="0"/>
                <w:sz w:val="20"/>
              </w:rPr>
              <w:t xml:space="preserve">0.005</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0.1455000</w:t>
            </w:r>
          </w:p>
        </w:tc>
      </w:tr>
      <w:tr>
        <w:trPr>
          <w:cantSplit/>
        </w:trPr>
        <w:tc>
          <w:tcPr>
            <w:tcW w:type="dxa" w:w="864"/>
            <w:vAlign w:val="center"/>
          </w:tcPr>
          <w:p>
            <w:pPr>
              <w:pStyle w:val="TableBody"/>
              <w:keepNext/>
              <w:jc w:val="center"/>
            </w:pPr>
            <w:r>
              <w:rPr>
                <w:b w:val="0"/>
                <w:sz w:val="20"/>
              </w:rPr>
              <w:t xml:space="preserve">0.010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0.0828</w:t>
            </w:r>
          </w:p>
        </w:tc>
        <w:tc>
          <w:tcPr>
            <w:tcW w:type="dxa" w:w="1872"/>
            <w:vAlign w:val="center"/>
          </w:tcPr>
          <w:p>
            <w:pPr>
              <w:pStyle w:val="TableBody"/>
              <w:keepNext/>
              <w:jc w:val="center"/>
            </w:pPr>
            <w:r>
              <w:rPr>
                <w:b w:val="0"/>
                <w:sz w:val="20"/>
              </w:rPr>
              <w:t xml:space="preserve">7.39230</w:t>
            </w:r>
          </w:p>
        </w:tc>
        <w:tc>
          <w:tcPr>
            <w:tcW w:type="dxa" w:w="1872"/>
            <w:vAlign w:val="center"/>
          </w:tcPr>
          <w:p>
            <w:pPr>
              <w:pStyle w:val="TableBody"/>
              <w:keepNext/>
              <w:jc w:val="center"/>
            </w:pPr>
            <w:r>
              <w:rPr>
                <w:b w:val="0"/>
                <w:sz w:val="20"/>
              </w:rPr>
              <w:t xml:space="preserve">2.4770</w:t>
            </w:r>
          </w:p>
        </w:tc>
        <w:tc>
          <w:tcPr>
            <w:tcW w:type="dxa" w:w="2088"/>
            <w:vAlign w:val="center"/>
          </w:tcPr>
          <w:p>
            <w:pPr>
              <w:pStyle w:val="TableBody"/>
              <w:keepNext/>
              <w:jc w:val="center"/>
            </w:pPr>
            <w:r>
              <w:rPr>
                <w:b w:val="0"/>
                <w:sz w:val="20"/>
              </w:rPr>
              <w:t xml:space="preserve">0.1567230</w:t>
            </w:r>
          </w:p>
        </w:tc>
      </w:tr>
      <w:tr>
        <w:trPr>
          <w:cantSplit/>
        </w:trPr>
        <w:tc>
          <w:tcPr>
            <w:tcW w:type="dxa" w:w="864"/>
            <w:vAlign w:val="center"/>
          </w:tcPr>
          <w:p>
            <w:pPr>
              <w:pStyle w:val="TableBody"/>
              <w:keepNext/>
              <w:jc w:val="center"/>
            </w:pPr>
            <w:r>
              <w:rPr>
                <w:b w:val="0"/>
                <w:sz w:val="20"/>
              </w:rPr>
              <w:t xml:space="preserve">0.010</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0.1710000</w:t>
            </w:r>
          </w:p>
        </w:tc>
      </w:tr>
      <w:tr>
        <w:trPr>
          <w:cantSplit/>
        </w:trPr>
        <w:tc>
          <w:tcPr>
            <w:tcW w:type="dxa" w:w="864"/>
            <w:vAlign w:val="center"/>
          </w:tcPr>
          <w:p>
            <w:pPr>
              <w:pStyle w:val="TableBody"/>
              <w:keepNext/>
              <w:jc w:val="center"/>
            </w:pPr>
            <w:r>
              <w:rPr>
                <w:b w:val="0"/>
                <w:sz w:val="20"/>
              </w:rPr>
              <w:t xml:space="preserve">0.020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0.2220000</w:t>
            </w:r>
          </w:p>
        </w:tc>
      </w:tr>
      <w:tr>
        <w:trPr>
          <w:cantSplit/>
        </w:trPr>
        <w:tc>
          <w:tcPr>
            <w:tcW w:type="dxa" w:w="864"/>
            <w:vAlign w:val="center"/>
          </w:tcPr>
          <w:p>
            <w:pPr>
              <w:pStyle w:val="TableBody"/>
              <w:keepNext/>
              <w:jc w:val="center"/>
            </w:pPr>
            <w:r>
              <w:rPr>
                <w:b w:val="0"/>
                <w:sz w:val="20"/>
              </w:rPr>
              <w:t xml:space="preserve">0.020</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0.2220000</w:t>
            </w:r>
          </w:p>
        </w:tc>
      </w:tr>
      <w:tr>
        <w:trPr>
          <w:cantSplit/>
        </w:trPr>
        <w:tc>
          <w:tcPr>
            <w:tcW w:type="dxa" w:w="864"/>
            <w:vAlign w:val="center"/>
          </w:tcPr>
          <w:p>
            <w:pPr>
              <w:pStyle w:val="TableBody"/>
              <w:keepNext/>
              <w:jc w:val="center"/>
            </w:pPr>
            <w:r>
              <w:rPr>
                <w:b w:val="0"/>
                <w:sz w:val="20"/>
              </w:rPr>
              <w:t xml:space="preserve">0.040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0.3240000</w:t>
            </w:r>
          </w:p>
        </w:tc>
      </w:tr>
      <w:tr>
        <w:trPr>
          <w:cantSplit/>
        </w:trPr>
        <w:tc>
          <w:tcPr>
            <w:tcW w:type="dxa" w:w="864"/>
            <w:vAlign w:val="center"/>
          </w:tcPr>
          <w:p>
            <w:pPr>
              <w:pStyle w:val="TableBody"/>
              <w:keepNext w:val="0"/>
              <w:jc w:val="center"/>
            </w:pPr>
            <w:r>
              <w:rPr>
                <w:b w:val="0"/>
                <w:sz w:val="20"/>
              </w:rPr>
              <w:t xml:space="preserve">0.040</w:t>
            </w:r>
          </w:p>
        </w:tc>
        <w:tc>
          <w:tcPr>
            <w:tcW w:type="dxa" w:w="1224"/>
            <w:vAlign w:val="center"/>
          </w:tcPr>
          <w:p>
            <w:pPr>
              <w:pStyle w:val="TableBody"/>
              <w:keepNext w:val="0"/>
              <w:jc w:val="left"/>
            </w:pPr>
            <w:r>
              <w:rPr>
                <w:b w:val="0"/>
                <w:sz w:val="20"/>
              </w:rPr>
              <w:t xml:space="preserve">Myopic</w:t>
            </w:r>
          </w:p>
        </w:tc>
        <w:tc>
          <w:tcPr>
            <w:tcW w:type="dxa" w:w="1872"/>
            <w:vAlign w:val="center"/>
          </w:tcPr>
          <w:p>
            <w:pPr>
              <w:pStyle w:val="TableBody"/>
              <w:keepNext w:val="0"/>
              <w:jc w:val="center"/>
            </w:pPr>
            <w:r>
              <w:rPr>
                <w:b w:val="0"/>
                <w:sz w:val="20"/>
              </w:rPr>
              <w:t xml:space="preserve">0.1200</w:t>
            </w:r>
          </w:p>
        </w:tc>
        <w:tc>
          <w:tcPr>
            <w:tcW w:type="dxa" w:w="1872"/>
            <w:vAlign w:val="center"/>
          </w:tcPr>
          <w:p>
            <w:pPr>
              <w:pStyle w:val="TableBody"/>
              <w:keepNext w:val="0"/>
              <w:jc w:val="center"/>
            </w:pPr>
            <w:r>
              <w:rPr>
                <w:b w:val="0"/>
                <w:sz w:val="20"/>
              </w:rPr>
              <w:t xml:space="preserve">5.10000</w:t>
            </w:r>
          </w:p>
        </w:tc>
        <w:tc>
          <w:tcPr>
            <w:tcW w:type="dxa" w:w="1872"/>
            <w:vAlign w:val="center"/>
          </w:tcPr>
          <w:p>
            <w:pPr>
              <w:pStyle w:val="TableBody"/>
              <w:keepNext w:val="0"/>
              <w:jc w:val="center"/>
            </w:pPr>
            <w:r>
              <w:rPr>
                <w:b w:val="0"/>
                <w:sz w:val="20"/>
              </w:rPr>
              <w:t xml:space="preserve">1.0000</w:t>
            </w:r>
          </w:p>
        </w:tc>
        <w:tc>
          <w:tcPr>
            <w:tcW w:type="dxa" w:w="2088"/>
            <w:vAlign w:val="center"/>
          </w:tcPr>
          <w:p>
            <w:pPr>
              <w:pStyle w:val="TableBody"/>
              <w:keepNext w:val="0"/>
              <w:jc w:val="center"/>
            </w:pPr>
            <w:r>
              <w:rPr>
                <w:b w:val="0"/>
                <w:sz w:val="20"/>
              </w:rPr>
              <w:t xml:space="preserve">0.3240000</w:t>
            </w:r>
          </w:p>
        </w:tc>
      </w:tr>
    </w:tbl>
    <w:p>
      <w:pPr>
        <w:pStyle w:val="BodyText"/>
        <w:spacing w:before="120"/>
      </w:pPr>
      <w:r>
        <w:t xml:space="preserve">At the two smaller penalty weights, the optimal policy first queries scheduling, whereas the myopic policy queries assembly and stops. Although assembly has greater assumed standalone accuracy, planning ahead accounts for shared activation and subsequent evidence. At the larger penalty weights, both policies query assembly and stop. These results establish behavior only for the specified finite instance.</w:t>
      </w:r>
    </w:p>
    <w:p>
      <w:pPr>
        <w:pStyle w:val="BodyText"/>
      </w:pPr>
      <w:r>
        <w:t xml:space="preserve">For calibration tolerance</w:t>
      </w:r>
      <w:r>
        <w:t xml:space="preserve"> </w:t>
      </w:r>
      <m:oMath>
        <m:r>
          <m:t>ε</m:t>
        </m:r>
        <m:r>
          <m:rPr>
            <m:sty m:val="p"/>
          </m:rPr>
          <m:t>=</m:t>
        </m:r>
        <m:r>
          <m:t>0.05</m:t>
        </m:r>
      </m:oMath>
      <w:r>
        <w:t xml:space="preserve">, the four-call limit gives</w:t>
      </w:r>
      <w:r>
        <w:t xml:space="preserve"> </w:t>
      </w:r>
      <m:oMath>
        <m:sSub>
          <m:e>
            <m:r>
              <m:t>β</m:t>
            </m:r>
          </m:e>
          <m:sub>
            <m:r>
              <m:t>4</m:t>
            </m:r>
          </m:sub>
        </m:sSub>
        <m:r>
          <m:rPr>
            <m:sty m:val="p"/>
          </m:rPr>
          <m:t>=</m:t>
        </m:r>
        <m:r>
          <m:t>5</m:t>
        </m:r>
      </m:oMath>
      <w:r>
        <w:t xml:space="preserve">. At</w:t>
      </w:r>
      <w:r>
        <w:t xml:space="preserve"> </w:t>
      </w:r>
      <m:oMath>
        <m:r>
          <m:t>λ</m:t>
        </m:r>
        <m:r>
          <m:rPr>
            <m:sty m:val="p"/>
          </m:rPr>
          <m:t>=</m:t>
        </m:r>
        <m:r>
          <m:t>0.01</m:t>
        </m:r>
      </m:oMath>
      <w:r>
        <w:t xml:space="preserve">, Theorem 4.2 bounds the optimal-value error by 0.0025 and the excess objective of the measured-cost policy by 0.005. These are worst-case guarantees under the calibration assumption, rather than observed average errors.</w:t>
      </w:r>
    </w:p>
    <w:p>
      <w:pPr>
        <w:pStyle w:val="BodyText"/>
        <w:keepNext/>
      </w:pPr>
      <w:r>
        <w:t xml:space="preserve">All computations used normalized integer fractions implemented with JavaScript BigInt. The Bellman calculation considered 473 partial observation assignments, equal to</w:t>
      </w:r>
    </w:p>
    <w:p>
      <w:pPr>
        <w:pStyle w:val="Equation"/>
        <w:jc w:val="center"/>
      </w:pPr>
      <m:oMathPara>
        <m:oMathParaPr>
          <m:jc m:val="center"/>
        </m:oMathParaPr>
        <m:oMath>
          <m:nary>
            <m:naryPr>
              <m:chr m:val="∑"/>
              <m:limLoc m:val="undOvr"/>
              <m:subHide m:val="off"/>
              <m:supHide m:val="off"/>
            </m:naryPr>
            <m:sub>
              <m:r>
                <m:t>m</m:t>
              </m:r>
              <m:r>
                <m:rPr>
                  <m:sty m:val="p"/>
                </m:rPr>
                <m:t>=</m:t>
              </m:r>
              <m:r>
                <m:t>0</m:t>
              </m:r>
            </m:sub>
            <m:sup>
              <m:r>
                <m:t>4</m:t>
              </m:r>
            </m:sup>
            <m:e>
              <m:d>
                <m:dPr>
                  <m:begChr m:val="("/>
                  <m:endChr m:val=")"/>
                  <m:sepChr m:val=""/>
                  <m:grow/>
                </m:dPr>
                <m:e>
                  <m:f>
                    <m:fPr>
                      <m:type m:val="noBar"/>
                    </m:fPr>
                    <m:num>
                      <m:r>
                        <m:t>6</m:t>
                      </m:r>
                    </m:num>
                    <m:den>
                      <m:r>
                        <m:t>m</m:t>
                      </m:r>
                    </m:den>
                  </m:f>
                </m:e>
              </m:d>
            </m:e>
          </m:nary>
          <m:sSup>
            <m:e>
              <m:r>
                <m:t>2</m:t>
              </m:r>
            </m:e>
            <m:sup>
              <m:r>
                <m:t>m</m:t>
              </m:r>
            </m:sup>
          </m:sSup>
          <m:r>
            <m:rPr>
              <m:sty m:val="p"/>
            </m:rPr>
            <m:t>.</m:t>
          </m:r>
        </m:oMath>
      </m:oMathPara>
    </w:p>
    <w:p>
      <w:pPr>
        <w:pStyle w:val="FirstParagraph"/>
        <w:keepNext/>
      </w:pPr>
      <w:r>
        <w:t xml:space="preserve">For each policy and penalty, its terminal decision, cost, and query count were independently evaluated by replaying all</w:t>
      </w:r>
    </w:p>
    <w:p>
      <w:pPr>
        <w:pStyle w:val="Equation"/>
        <w:jc w:val="center"/>
      </w:pPr>
      <m:oMathPara>
        <m:oMathParaPr>
          <m:jc m:val="center"/>
        </m:oMathParaPr>
        <m:oMath>
          <m:r>
            <m:t>2</m:t>
          </m:r>
          <m:r>
            <m:rPr>
              <m:sty m:val="p"/>
            </m:rPr>
            <m:t>×</m:t>
          </m:r>
          <m:sSup>
            <m:e>
              <m:r>
                <m:t>2</m:t>
              </m:r>
            </m:e>
            <m:sup>
              <m:r>
                <m:t>6</m:t>
              </m:r>
            </m:sup>
          </m:sSup>
          <m:r>
            <m:rPr>
              <m:sty m:val="p"/>
            </m:rPr>
            <m:t>=</m:t>
          </m:r>
          <m:r>
            <m:t>128</m:t>
          </m:r>
        </m:oMath>
      </m:oMathPara>
    </w:p>
    <w:p>
      <w:pPr>
        <w:pStyle w:val="FirstParagraph"/>
      </w:pPr>
      <w:r>
        <w:t xml:space="preserve">latent-state/full-observation combinations with their exact probabilities. Across the eight policy cases, all 1,024 replay outcomes reproduced the dynamic-programming expectations exactly. Table 2 reports exact finite-model expectations, rather than Monte Carlo estimates.</w:t>
      </w:r>
    </w:p>
    <w:bookmarkEnd w:id="43"/>
    <w:bookmarkStart w:id="44" w:name="algebraic-implementation-checks"/>
    <w:p>
      <w:pPr>
        <w:pStyle w:val="Heading2"/>
      </w:pPr>
      <w:r>
        <w:t xml:space="preserve">6.3. Algebraic implementation checks</w:t>
      </w:r>
    </w:p>
    <w:p>
      <w:pPr>
        <w:pStyle w:val="FirstParagraph"/>
      </w:pPr>
      <w:r>
        <w:t xml:space="preserve">A separate verification generated 100 rooted trees with six labeled source vertices. Vertex</w:t>
      </w:r>
      <w:r>
        <w:t xml:space="preserve"> </w:t>
      </w:r>
      <m:oMath>
        <m:r>
          <m:t>i</m:t>
        </m:r>
      </m:oMath>
      <w:r>
        <w:t xml:space="preserve"> </w:t>
      </w:r>
      <w:r>
        <w:t xml:space="preserve">selected its parent among</w:t>
      </w:r>
      <w:r>
        <w:t xml:space="preserve"> </w:t>
      </w:r>
      <m:oMath>
        <m:r>
          <m:t>0</m:t>
        </m:r>
        <m:r>
          <m:rPr>
            <m:sty m:val="p"/>
          </m:rPr>
          <m:t>,</m:t>
        </m:r>
        <m:r>
          <m:rPr>
            <m:sty m:val="p"/>
          </m:rPr>
          <m:t>…</m:t>
        </m:r>
        <m:r>
          <m:rPr>
            <m:sty m:val="p"/>
          </m:rPr>
          <m:t>,</m:t>
        </m:r>
        <m:r>
          <m:t>i</m:t>
        </m:r>
        <m:r>
          <m:rPr>
            <m:sty m:val="p"/>
          </m:rPr>
          <m:t>−</m:t>
        </m:r>
        <m:r>
          <m:t>1</m:t>
        </m:r>
      </m:oMath>
      <w:r>
        <w:t xml:space="preserve">, with vertex 0 the root. Edge weights were selected from</w:t>
      </w:r>
      <w:r>
        <w:t xml:space="preserve"> </w:t>
      </w:r>
      <m:oMath>
        <m:r>
          <m:rPr>
            <m:sty m:val="p"/>
          </m:rPr>
          <m:t>{</m:t>
        </m:r>
        <m:r>
          <m:t>0.1</m:t>
        </m:r>
        <m:r>
          <m:rPr>
            <m:sty m:val="p"/>
          </m:rPr>
          <m:t>,</m:t>
        </m:r>
        <m:r>
          <m:t>0.2</m:t>
        </m:r>
        <m:r>
          <m:rPr>
            <m:sty m:val="p"/>
          </m:rPr>
          <m:t>,</m:t>
        </m:r>
        <m:r>
          <m:rPr>
            <m:sty m:val="p"/>
          </m:rPr>
          <m:t>…</m:t>
        </m:r>
        <m:r>
          <m:rPr>
            <m:sty m:val="p"/>
          </m:rPr>
          <m:t>,</m:t>
        </m:r>
        <m:r>
          <m:t>3.0</m:t>
        </m:r>
        <m:r>
          <m:rPr>
            <m:sty m:val="p"/>
          </m:rPr>
          <m:t>}</m:t>
        </m:r>
      </m:oMath>
      <w:r>
        <w:t xml:space="preserve">, and service costs from</w:t>
      </w:r>
      <w:r>
        <w:t xml:space="preserve"> </w:t>
      </w:r>
      <m:oMath>
        <m:r>
          <m:rPr>
            <m:sty m:val="p"/>
          </m:rPr>
          <m:t>{</m:t>
        </m:r>
        <m:r>
          <m:t>0.1</m:t>
        </m:r>
        <m:r>
          <m:rPr>
            <m:sty m:val="p"/>
          </m:rPr>
          <m:t>,</m:t>
        </m:r>
        <m:r>
          <m:t>0.2</m:t>
        </m:r>
        <m:r>
          <m:rPr>
            <m:sty m:val="p"/>
          </m:rPr>
          <m:t>,</m:t>
        </m:r>
        <m:r>
          <m:rPr>
            <m:sty m:val="p"/>
          </m:rPr>
          <m:t>…</m:t>
        </m:r>
        <m:r>
          <m:rPr>
            <m:sty m:val="p"/>
          </m:rPr>
          <m:t>,</m:t>
        </m:r>
        <m:r>
          <m:t>1.0</m:t>
        </m:r>
        <m:r>
          <m:rPr>
            <m:sty m:val="p"/>
          </m:rPr>
          <m:t>}</m:t>
        </m:r>
      </m:oMath>
      <w:r>
        <w:t xml:space="preserve">. A 32-bit linear congruential generator used seed 20260911, multiplier 1664525, and increment 1013904223.</w:t>
      </w:r>
    </w:p>
    <w:p>
      <w:pPr>
        <w:pStyle w:val="BodyText"/>
      </w:pPr>
      <w:r>
        <w:t xml:space="preserve">For each tree, all 64 subsets were checked. Direct unions of root paths agreed exactly with Proposition 2.2 in all 6,400 cases. All 19,200 available source-addition marginals agreed with (4).</w:t>
      </w:r>
    </w:p>
    <w:p>
      <w:pPr>
        <w:pStyle w:val="BodyText"/>
      </w:pPr>
      <w:r>
        <w:t xml:space="preserve">Singleton and pair measurements were perturbed by values in</w:t>
      </w:r>
      <w:r>
        <w:t xml:space="preserve"> </w:t>
      </w:r>
      <m:oMath>
        <m:r>
          <m:rPr>
            <m:sty m:val="p"/>
          </m:rPr>
          <m:t>{</m:t>
        </m:r>
        <m:r>
          <m:rPr>
            <m:sty m:val="p"/>
          </m:rPr>
          <m:t>−</m:t>
        </m:r>
        <m:r>
          <m:t>1</m:t>
        </m:r>
        <m:r>
          <m:rPr>
            <m:sty m:val="p"/>
          </m:rPr>
          <m:t>/</m:t>
        </m:r>
        <m:r>
          <m:t>20</m:t>
        </m:r>
        <m:r>
          <m:rPr>
            <m:sty m:val="p"/>
          </m:rPr>
          <m:t>,</m:t>
        </m:r>
        <m:r>
          <m:t>0</m:t>
        </m:r>
        <m:r>
          <m:rPr>
            <m:sty m:val="p"/>
          </m:rPr>
          <m:t>,</m:t>
        </m:r>
        <m:r>
          <m:t>1</m:t>
        </m:r>
        <m:r>
          <m:rPr>
            <m:sty m:val="p"/>
          </m:rPr>
          <m:t>/</m:t>
        </m:r>
        <m:r>
          <m:t>20</m:t>
        </m:r>
        <m:r>
          <m:rPr>
            <m:sty m:val="p"/>
          </m:rPr>
          <m:t>}</m:t>
        </m:r>
      </m:oMath>
      <w:r>
        <w:t xml:space="preserve">. All 6,400 direct-estimate bounds and all 6,400 repaired-estimate bounds held, and every repaired overlap table satisfied (3). The sharpness construction was additionally checked for</w:t>
      </w:r>
      <w:r>
        <w:t xml:space="preserve"> </w:t>
      </w:r>
      <m:oMath>
        <m:r>
          <m:t>m</m:t>
        </m:r>
        <m:r>
          <m:rPr>
            <m:sty m:val="p"/>
          </m:rPr>
          <m:t>=</m:t>
        </m:r>
        <m:r>
          <m:t>2</m:t>
        </m:r>
        <m:r>
          <m:rPr>
            <m:sty m:val="p"/>
          </m:rPr>
          <m:t>,</m:t>
        </m:r>
        <m:r>
          <m:rPr>
            <m:sty m:val="p"/>
          </m:rPr>
          <m:t>…</m:t>
        </m:r>
        <m:r>
          <m:rPr>
            <m:sty m:val="p"/>
          </m:rPr>
          <m:t>,</m:t>
        </m:r>
        <m:r>
          <m:t>8</m:t>
        </m:r>
      </m:oMath>
      <w:r>
        <w:t xml:space="preserve">.</w:t>
      </w:r>
    </w:p>
    <w:p>
      <w:pPr>
        <w:pStyle w:val="BodyText"/>
      </w:pPr>
      <w:r>
        <w:t xml:space="preserve">These finite checks support implementation consistency. The universal claims and minimax lower bound follow from the proofs.</w:t>
      </w:r>
    </w:p>
    <w:bookmarkEnd w:id="44"/>
    <w:bookmarkEnd w:id="45"/>
    <w:bookmarkStart w:id="46" w:name="discussion-and-concluding-remarks"/>
    <w:p>
      <w:pPr>
        <w:pStyle w:val="Heading1"/>
      </w:pPr>
      <w:r>
        <w:t xml:space="preserve">7. Discussion and concluding remarks</w:t>
      </w:r>
    </w:p>
    <w:p>
      <w:pPr>
        <w:pStyle w:val="FirstParagraph"/>
      </w:pPr>
      <w:r>
        <w:t xml:space="preserve">The mathematical problem separates into identification, estimation, and decision making. Under the rooted-tree assumption, pairwise overlap data determine every acquisition cost. Under bounded measurement error, the cost of an</w:t>
      </w:r>
      <w:r>
        <w:t xml:space="preserve"> </w:t>
      </w:r>
      <m:oMath>
        <m:r>
          <m:t>m</m:t>
        </m:r>
      </m:oMath>
      <w:r>
        <w:t xml:space="preserve">-source group has minimax recovery radius</w:t>
      </w:r>
      <w:r>
        <w:t xml:space="preserve"> </w:t>
      </w:r>
      <m:oMath>
        <m:d>
          <m:dPr>
            <m:begChr m:val="("/>
            <m:endChr m:val=")"/>
            <m:sepChr m:val=""/>
            <m:grow/>
          </m:dPr>
          <m:e>
            <m:r>
              <m:t>2</m:t>
            </m:r>
            <m:r>
              <m:t>m</m:t>
            </m:r>
            <m:r>
              <m:rPr>
                <m:sty m:val="p"/>
              </m:rPr>
              <m:t>−</m:t>
            </m:r>
            <m:r>
              <m:t>3</m:t>
            </m:r>
          </m:e>
        </m:d>
        <m:r>
          <m:t>ε</m:t>
        </m:r>
      </m:oMath>
      <w:r>
        <w:t xml:space="preserve">. This radius quantifies unavoidable amplification of measurement uncertainty, including cases in which the measured table itself is compatible with a tree.</w:t>
      </w:r>
    </w:p>
    <w:p>
      <w:pPr>
        <w:pStyle w:val="BodyText"/>
      </w:pPr>
      <w:r>
        <w:t xml:space="preserve">For sequential decisions, uniform cost recovery transfers directly to optimal-value and policy excess-loss guarantees. The transfer does not depend on a particular diagnostic classifier, but it requires an unchanged observation model and a common call-constrained policy class. Likelihood misspecification, time-varying costs, repeated queries, resource deactivation, and hard monetary budgets require separate analysis.</w:t>
      </w:r>
    </w:p>
    <w:p>
      <w:pPr>
        <w:pStyle w:val="BodyText"/>
      </w:pPr>
      <w:r>
        <w:t xml:space="preserve">The application illustrates how a coordinator can use the theory to choose sources and determine when to stop. It does not establish industrial validity or the performance of an implemented large-language-model system. Exact adaptive optimization remains exponential in the number of sources; scalable approximations need additional structure.</w:t>
      </w:r>
    </w:p>
    <w:p>
      <w:pPr>
        <w:pStyle w:val="BodyText"/>
      </w:pPr>
      <w:r>
        <w:t xml:space="preserve">The counterexample in Section 5 identifies a substantive boundary: pair measurements suffice within the rooted-path class but do not suffice for general shared resources. Extensions to partially observed routing structures, higher-order calibration measurements, and joint uncertainty in costs and likelihoods provide concrete directions for further research.</w:t>
      </w:r>
    </w:p>
    <w:bookmarkEnd w:id="46"/>
    <w:bookmarkStart w:id="47" w:name="declarations"/>
    <w:p>
      <w:pPr>
        <w:pStyle w:val="Heading1"/>
      </w:pPr>
      <w:r>
        <w:t xml:space="preserve">Declarations</w:t>
      </w:r>
    </w:p>
    <w:p>
      <w:pPr>
        <w:pStyle w:val="FirstParagraph"/>
      </w:pPr>
      <w:r>
        <w:rPr>
          <w:bCs/>
          <w:b/>
        </w:rPr>
        <w:t xml:space="preserve">Funding:</w:t>
      </w:r>
      <w:r>
        <w:t xml:space="preserve"> </w:t>
      </w:r>
      <w:r>
        <w:t xml:space="preserve">[To be completed by the human authors.]</w:t>
      </w:r>
    </w:p>
    <w:p>
      <w:pPr>
        <w:pStyle w:val="BodyText"/>
      </w:pPr>
      <w:r>
        <w:rPr>
          <w:bCs/>
          <w:b/>
        </w:rPr>
        <w:t xml:space="preserve">Competing interests:</w:t>
      </w:r>
      <w:r>
        <w:t xml:space="preserve"> </w:t>
      </w:r>
      <w:r>
        <w:t xml:space="preserve">[To be completed by the human authors.]</w:t>
      </w:r>
    </w:p>
    <w:p>
      <w:pPr>
        <w:pStyle w:val="BodyText"/>
      </w:pPr>
      <w:r>
        <w:rPr>
          <w:bCs/>
          <w:b/>
        </w:rPr>
        <w:t xml:space="preserve">Author contributions:</w:t>
      </w:r>
      <w:r>
        <w:t xml:space="preserve"> </w:t>
      </w:r>
      <w:r>
        <w:t xml:space="preserve">[To be completed by the human authors.]</w:t>
      </w:r>
    </w:p>
    <w:p>
      <w:pPr>
        <w:pStyle w:val="BodyText"/>
      </w:pPr>
      <w:r>
        <w:rPr>
          <w:bCs/>
          <w:b/>
        </w:rPr>
        <w:t xml:space="preserve">Data and code availability:</w:t>
      </w:r>
      <w:r>
        <w:t xml:space="preserve"> </w:t>
      </w:r>
      <w:r>
        <w:t xml:space="preserve">No empirical dataset was collected. All parameters defining the synthetic decision instance are provided in Section 6. The exact-arithmetic verification source and output log must be attached or archived before submission; no public repository is asserted in this draft.</w:t>
      </w:r>
    </w:p>
    <w:p>
      <w:pPr>
        <w:pStyle w:val="BodyText"/>
      </w:pPr>
      <w:r>
        <w:rPr>
          <w:bCs/>
          <w:b/>
        </w:rPr>
        <w:t xml:space="preserve">AI assistance:</w:t>
      </w:r>
      <w:r>
        <w:t xml:space="preserve"> </w:t>
      </w:r>
      <w:r>
        <w:t xml:space="preserve">ChatGPT was used to develop the mathematical formulation, proposed proofs, verification code, and manuscript text. Independent human verification of the mathematical claims, literature positioning, and final manuscript is required before submission.</w:t>
      </w:r>
    </w:p>
    <w:bookmarkEnd w:id="47"/>
    <w:bookmarkStart w:id="48" w:name="references"/>
    <w:p>
      <w:pPr>
        <w:pStyle w:val="Heading1"/>
        <w:pageBreakBefore/>
      </w:pPr>
      <w:r>
        <w:t xml:space="preserve">References</w:t>
      </w:r>
    </w:p>
    <w:p>
      <w:pPr>
        <w:pStyle w:val="Bibliography"/>
      </w:pPr>
      <w:r>
        <w:t xml:space="preserve">[1] G. Carlsson and F. Mémoli,</w:t>
      </w:r>
      <w:r>
        <w:t xml:space="preserve"> </w:t>
      </w:r>
      <w:hyperlink r:id="rId24">
        <w:r>
          <w:rPr>
            <w:rStyle w:val="Hyperlink"/>
          </w:rPr>
          <w:t xml:space="preserve">Characterization, stability and convergence of hierarchical clustering methods</w:t>
        </w:r>
      </w:hyperlink>
      <w:r>
        <w:t xml:space="preserve">,</w:t>
      </w:r>
      <w:r>
        <w:t xml:space="preserve"> </w:t>
      </w:r>
      <w:r>
        <w:rPr>
          <w:iCs/>
          <w:i/>
        </w:rPr>
        <w:t xml:space="preserve">Journal of Machine Learning Research</w:t>
      </w:r>
      <w:r>
        <w:t xml:space="preserve"> </w:t>
      </w:r>
      <w:r>
        <w:rPr>
          <w:bCs/>
          <w:b/>
        </w:rPr>
        <w:t xml:space="preserve">11</w:t>
      </w:r>
      <w:r>
        <w:t xml:space="preserve"> </w:t>
      </w:r>
      <w:r>
        <w:t xml:space="preserve">(2010), 1425–1470.</w:t>
      </w:r>
    </w:p>
    <w:p>
      <w:pPr>
        <w:pStyle w:val="Bibliography"/>
      </w:pPr>
      <w:r>
        <w:t xml:space="preserve">[2] D. Golovin and A. Krause,</w:t>
      </w:r>
      <w:r>
        <w:t xml:space="preserve"> </w:t>
      </w:r>
      <w:hyperlink r:id="rId26">
        <w:r>
          <w:rPr>
            <w:rStyle w:val="Hyperlink"/>
          </w:rPr>
          <w:t xml:space="preserve">Adaptive submodularity: Theory and applications in active learning and stochastic optimization</w:t>
        </w:r>
      </w:hyperlink>
      <w:r>
        <w:t xml:space="preserve">,</w:t>
      </w:r>
      <w:r>
        <w:t xml:space="preserve"> </w:t>
      </w:r>
      <w:r>
        <w:rPr>
          <w:iCs/>
          <w:i/>
        </w:rPr>
        <w:t xml:space="preserve">Journal of Artificial Intelligence Research</w:t>
      </w:r>
      <w:r>
        <w:t xml:space="preserve"> </w:t>
      </w:r>
      <w:r>
        <w:rPr>
          <w:bCs/>
          <w:b/>
        </w:rPr>
        <w:t xml:space="preserve">42</w:t>
      </w:r>
      <w:r>
        <w:t xml:space="preserve"> </w:t>
      </w:r>
      <w:r>
        <w:t xml:space="preserve">(2011), 427–486.</w:t>
      </w:r>
    </w:p>
    <w:p>
      <w:pPr>
        <w:pStyle w:val="Bibliography"/>
      </w:pPr>
      <w:r>
        <w:t xml:space="preserve">[3] D. Hunter,</w:t>
      </w:r>
      <w:r>
        <w:t xml:space="preserve"> </w:t>
      </w:r>
      <w:hyperlink r:id="rId23">
        <w:r>
          <w:rPr>
            <w:rStyle w:val="Hyperlink"/>
          </w:rPr>
          <w:t xml:space="preserve">An upper bound for the probability of a union</w:t>
        </w:r>
      </w:hyperlink>
      <w:r>
        <w:t xml:space="preserve">,</w:t>
      </w:r>
      <w:r>
        <w:t xml:space="preserve"> </w:t>
      </w:r>
      <w:r>
        <w:rPr>
          <w:iCs/>
          <w:i/>
        </w:rPr>
        <w:t xml:space="preserve">Journal of Applied Probability</w:t>
      </w:r>
      <w:r>
        <w:t xml:space="preserve"> </w:t>
      </w:r>
      <w:r>
        <w:rPr>
          <w:bCs/>
          <w:b/>
        </w:rPr>
        <w:t xml:space="preserve">13</w:t>
      </w:r>
      <w:r>
        <w:t xml:space="preserve"> </w:t>
      </w:r>
      <w:r>
        <w:t xml:space="preserve">(1976), no. 3, 597–603.</w:t>
      </w:r>
    </w:p>
    <w:p>
      <w:pPr>
        <w:pStyle w:val="Bibliography"/>
      </w:pPr>
      <w:r>
        <w:t xml:space="preserve">[4] A. Krause, H. B. McMahan, C. Guestrin, and A. Gupta,</w:t>
      </w:r>
      <w:r>
        <w:t xml:space="preserve"> </w:t>
      </w:r>
      <w:hyperlink r:id="rId27">
        <w:r>
          <w:rPr>
            <w:rStyle w:val="Hyperlink"/>
          </w:rPr>
          <w:t xml:space="preserve">Robust submodular observation selection</w:t>
        </w:r>
      </w:hyperlink>
      <w:r>
        <w:t xml:space="preserve">,</w:t>
      </w:r>
      <w:r>
        <w:t xml:space="preserve"> </w:t>
      </w:r>
      <w:r>
        <w:rPr>
          <w:iCs/>
          <w:i/>
        </w:rPr>
        <w:t xml:space="preserve">Journal of Machine Learning Research</w:t>
      </w:r>
      <w:r>
        <w:t xml:space="preserve"> </w:t>
      </w:r>
      <w:r>
        <w:rPr>
          <w:bCs/>
          <w:b/>
        </w:rPr>
        <w:t xml:space="preserve">9</w:t>
      </w:r>
      <w:r>
        <w:t xml:space="preserve"> </w:t>
      </w:r>
      <w:r>
        <w:t xml:space="preserve">(2008), 2761–2801.</w:t>
      </w:r>
    </w:p>
    <w:p>
      <w:pPr>
        <w:pStyle w:val="Bibliography"/>
      </w:pPr>
      <w:r>
        <w:t xml:space="preserve">[5] L. Pachter and D. Speyer,</w:t>
      </w:r>
      <w:r>
        <w:t xml:space="preserve"> </w:t>
      </w:r>
      <w:hyperlink r:id="rId22">
        <w:r>
          <w:rPr>
            <w:rStyle w:val="Hyperlink"/>
          </w:rPr>
          <w:t xml:space="preserve">Reconstructing trees from subtree weights</w:t>
        </w:r>
      </w:hyperlink>
      <w:r>
        <w:t xml:space="preserve">,</w:t>
      </w:r>
      <w:r>
        <w:t xml:space="preserve"> </w:t>
      </w:r>
      <w:r>
        <w:rPr>
          <w:iCs/>
          <w:i/>
        </w:rPr>
        <w:t xml:space="preserve">Applied Mathematics Letters</w:t>
      </w:r>
      <w:r>
        <w:t xml:space="preserve"> </w:t>
      </w:r>
      <w:r>
        <w:rPr>
          <w:bCs/>
          <w:b/>
        </w:rPr>
        <w:t xml:space="preserve">17</w:t>
      </w:r>
      <w:r>
        <w:t xml:space="preserve"> </w:t>
      </w:r>
      <w:r>
        <w:t xml:space="preserve">(2004), no. 6, 615–621. Link provides the authors’ preprint.</w:t>
      </w:r>
    </w:p>
    <w:p>
      <w:pPr>
        <w:pStyle w:val="Bibliography"/>
      </w:pPr>
      <w:r>
        <w:t xml:space="preserve">[6] Z. Qin and Y. Lu,</w:t>
      </w:r>
      <w:r>
        <w:t xml:space="preserve"> </w:t>
      </w:r>
      <w:hyperlink r:id="rId21">
        <w:r>
          <w:rPr>
            <w:rStyle w:val="Hyperlink"/>
          </w:rPr>
          <w:t xml:space="preserve">Knowledge graph-enhanced multi-agent reinforcement learning for adaptive scheduling in smart manufacturing</w:t>
        </w:r>
      </w:hyperlink>
      <w:r>
        <w:t xml:space="preserve">,</w:t>
      </w:r>
      <w:r>
        <w:t xml:space="preserve"> </w:t>
      </w:r>
      <w:r>
        <w:rPr>
          <w:iCs/>
          <w:i/>
        </w:rPr>
        <w:t xml:space="preserve">Journal of Intelligent Manufacturing</w:t>
      </w:r>
      <w:r>
        <w:t xml:space="preserve"> </w:t>
      </w:r>
      <w:r>
        <w:rPr>
          <w:bCs/>
          <w:b/>
        </w:rPr>
        <w:t xml:space="preserve">36</w:t>
      </w:r>
      <w:r>
        <w:t xml:space="preserve"> </w:t>
      </w:r>
      <w:r>
        <w:t xml:space="preserve">(2025), 5943–5966.</w:t>
      </w:r>
    </w:p>
    <w:p>
      <w:pPr>
        <w:pStyle w:val="Bibliography"/>
      </w:pPr>
      <w:r>
        <w:t xml:space="preserve">[7] R. D. Smallwood and E. J. Sondik,</w:t>
      </w:r>
      <w:r>
        <w:t xml:space="preserve"> </w:t>
      </w:r>
      <w:hyperlink r:id="rId25">
        <w:r>
          <w:rPr>
            <w:rStyle w:val="Hyperlink"/>
          </w:rPr>
          <w:t xml:space="preserve">The optimal control of partially observable Markov processes over a finite horizon</w:t>
        </w:r>
      </w:hyperlink>
      <w:r>
        <w:t xml:space="preserve">,</w:t>
      </w:r>
      <w:r>
        <w:t xml:space="preserve"> </w:t>
      </w:r>
      <w:r>
        <w:rPr>
          <w:iCs/>
          <w:i/>
        </w:rPr>
        <w:t xml:space="preserve">Operations Research</w:t>
      </w:r>
      <w:r>
        <w:t xml:space="preserve"> </w:t>
      </w:r>
      <w:r>
        <w:rPr>
          <w:bCs/>
          <w:b/>
        </w:rPr>
        <w:t xml:space="preserve">21</w:t>
      </w:r>
      <w:r>
        <w:t xml:space="preserve"> </w:t>
      </w:r>
      <w:r>
        <w:t xml:space="preserve">(1973), no. 5, 1071–1088.</w:t>
      </w:r>
    </w:p>
    <w:bookmarkEnd w:id="48"/>
    <w:sectPr w:rsidR="00FC693F" w:rsidRPr="0006063C" w:rsidSect="00034616">
      <w:footerReference w:type="default" r:id="rId9"/>
      <w:pgSz w:h="15840" w:w="12240"/>
      <w:pgMar w:bottom="1152" w:footer="504" w:gutter="0" w:header="432"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59" w:lineRule="auto"/>
    </w:pPr>
    <w:rPr>
      <w:rFonts w:ascii="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HeaderChar" w:type="character">
    <w:name w:val="Header Char"/>
    <w:basedOn w:val="DefaultParagraphFont"/>
    <w:link w:val="Header"/>
    <w:uiPriority w:val="99"/>
    <w:rsid w:val="00E618BF"/>
    <w:rPr>
      <w:rFonts w:ascii="Times New Roman" w:hAnsi="Times New Roman"/>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FooterChar" w:type="character">
    <w:name w:val="Footer Char"/>
    <w:basedOn w:val="DefaultParagraphFont"/>
    <w:link w:val="Footer"/>
    <w:uiPriority w:val="99"/>
    <w:rsid w:val="00E618BF"/>
    <w:rPr>
      <w:rFonts w:ascii="Times New Roman" w:hAnsi="Times New Roman"/>
      <w:color w:val="000000"/>
    </w:rPr>
  </w:style>
  <w:style w:styleId="Heading1" w:type="paragraph">
    <w:name w:val="heading 1"/>
    <w:basedOn w:val="Normal"/>
    <w:next w:val="Normal"/>
    <w:link w:val="Heading1Char"/>
    <w:uiPriority w:val="9"/>
    <w:qFormat/>
    <w:rsid w:val="00FC693F"/>
    <w:pPr>
      <w:keepNext/>
      <w:keepLines/>
      <w:spacing w:after="140" w:before="260" w:line="252" w:lineRule="auto"/>
      <w:outlineLvl w:val="0"/>
    </w:pPr>
    <w:rPr>
      <w:rFonts w:ascii="Times New Roman" w:hAnsi="Times New Roman"/>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200" w:line="252" w:lineRule="auto"/>
      <w:outlineLvl w:val="1"/>
    </w:pPr>
    <w:rPr>
      <w:rFonts w:ascii="Times New Roman" w:hAnsi="Times New Roman"/>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80" w:before="160" w:line="252" w:lineRule="auto"/>
      <w:outlineLvl w:val="2"/>
    </w:pPr>
    <w:rPr>
      <w:rFonts w:ascii="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hAnsi="Times New Roman"/>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hAnsi="Times New Roman"/>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hAnsi="Times New Roman"/>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hAnsi="Times New Roman"/>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hAnsi="Times New Roman"/>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hAnsi="Times New Roman"/>
      <w:i/>
      <w:iCs/>
      <w:color w:val="000000"/>
      <w:sz w:val="20"/>
      <w:szCs w:val="20"/>
    </w:rPr>
  </w:style>
  <w:style w:default="1" w:styleId="DefaultParagraphFont" w:type="character">
    <w:name w:val="Default Paragraph Font"/>
    <w:uiPriority w:val="1"/>
    <w:semiHidden/>
    <w:unhideWhenUsed/>
    <w:rPr>
      <w:rFonts w:ascii="Times New Roman" w:hAnsi="Times New Roman"/>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color w:val="000000"/>
    </w:rPr>
  </w:style>
  <w:style w:customStyle="1" w:styleId="Heading1Char" w:type="character">
    <w:name w:val="Heading 1 Char"/>
    <w:basedOn w:val="DefaultParagraphFont"/>
    <w:link w:val="Heading1"/>
    <w:uiPriority w:val="9"/>
    <w:rsid w:val="00FC693F"/>
    <w:rPr>
      <w:rFonts w:ascii="Times New Roman" w:hAnsi="Times New Roman"/>
      <w:b/>
      <w:bCs/>
      <w:color w:val="000000"/>
      <w:sz w:val="28"/>
      <w:szCs w:val="28"/>
    </w:rPr>
  </w:style>
  <w:style w:customStyle="1" w:styleId="Heading2Char" w:type="character">
    <w:name w:val="Heading 2 Char"/>
    <w:basedOn w:val="DefaultParagraphFont"/>
    <w:link w:val="Heading2"/>
    <w:uiPriority w:val="9"/>
    <w:rsid w:val="00FC693F"/>
    <w:rPr>
      <w:rFonts w:ascii="Times New Roman" w:hAnsi="Times New Roman"/>
      <w:b/>
      <w:bCs/>
      <w:color w:val="000000"/>
      <w:sz w:val="26"/>
      <w:szCs w:val="26"/>
    </w:rPr>
  </w:style>
  <w:style w:customStyle="1" w:styleId="Heading3Char" w:type="character">
    <w:name w:val="Heading 3 Char"/>
    <w:basedOn w:val="DefaultParagraphFont"/>
    <w:link w:val="Heading3"/>
    <w:uiPriority w:val="9"/>
    <w:rsid w:val="00FC693F"/>
    <w:rPr>
      <w:rFonts w:ascii="Times New Roman" w:hAnsi="Times New Roman"/>
      <w:b/>
      <w:bCs/>
      <w:color w:val="000000"/>
    </w:rPr>
  </w:style>
  <w:style w:styleId="Title" w:type="paragraph">
    <w:name w:val="Title"/>
    <w:basedOn w:val="Normal"/>
    <w:next w:val="Normal"/>
    <w:link w:val="TitleChar"/>
    <w:uiPriority w:val="10"/>
    <w:qFormat/>
    <w:rsid w:val="00FC693F"/>
    <w:pPr>
      <w:keepNext/>
      <w:spacing w:after="240" w:before="0" w:line="252" w:lineRule="auto"/>
      <w:contextualSpacing/>
      <w:jc w:val="center"/>
    </w:pPr>
    <w:rPr>
      <w:rFonts w:ascii="Times New Roman" w:hAnsi="Times New Roman"/>
      <w:b/>
      <w:color w:val="000000"/>
      <w:spacing w:val="5"/>
      <w:kern w:val="28"/>
      <w:sz w:val="36"/>
      <w:szCs w:val="52"/>
    </w:rPr>
  </w:style>
  <w:style w:customStyle="1" w:styleId="TitleChar" w:type="character">
    <w:name w:val="Title Char"/>
    <w:basedOn w:val="DefaultParagraphFont"/>
    <w:link w:val="Title"/>
    <w:uiPriority w:val="10"/>
    <w:rsid w:val="00FC693F"/>
    <w:rPr>
      <w:rFonts w:ascii="Times New Roman" w:hAnsi="Times New Roman"/>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ascii="Times New Roman" w:hAnsi="Times New Roman"/>
      <w:i/>
      <w:iCs/>
      <w:color w:val="000000"/>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color w:val="000000"/>
    </w:rPr>
  </w:style>
  <w:style w:styleId="BodyText" w:type="paragraph">
    <w:name w:val="Body Text"/>
    <w:basedOn w:val="Normal"/>
    <w:link w:val="BodyTextChar"/>
    <w:uiPriority w:val="99"/>
    <w:unhideWhenUsed/>
    <w:rsid w:val="00AA1D8D"/>
    <w:pPr>
      <w:spacing w:after="100" w:line="259" w:lineRule="auto"/>
    </w:pPr>
    <w:rPr>
      <w:rFonts w:ascii="Times New Roman" w:hAnsi="Times New Roman"/>
      <w:color w:val="000000"/>
    </w:rPr>
  </w:style>
  <w:style w:customStyle="1" w:styleId="BodyTextChar" w:type="character">
    <w:name w:val="Body Text Char"/>
    <w:basedOn w:val="DefaultParagraphFont"/>
    <w:link w:val="BodyText"/>
    <w:uiPriority w:val="99"/>
    <w:rsid w:val="00AA1D8D"/>
    <w:rPr>
      <w:rFonts w:ascii="Times New Roman" w:hAnsi="Times New Roman"/>
      <w:color w:val="000000"/>
    </w:rPr>
  </w:style>
  <w:style w:styleId="BodyText2" w:type="paragraph">
    <w:name w:val="Body Text 2"/>
    <w:basedOn w:val="Normal"/>
    <w:link w:val="BodyText2Char"/>
    <w:uiPriority w:val="99"/>
    <w:unhideWhenUsed/>
    <w:rsid w:val="00AA1D8D"/>
    <w:pPr>
      <w:spacing w:after="120" w:line="480" w:lineRule="auto"/>
    </w:pPr>
    <w:rPr>
      <w:rFonts w:ascii="Times New Roman" w:hAnsi="Times New Roman"/>
      <w:color w:val="000000"/>
    </w:rPr>
  </w:style>
  <w:style w:customStyle="1" w:styleId="BodyText2Char" w:type="character">
    <w:name w:val="Body Text 2 Char"/>
    <w:basedOn w:val="DefaultParagraphFont"/>
    <w:link w:val="BodyText2"/>
    <w:uiPriority w:val="99"/>
    <w:rsid w:val="00AA1D8D"/>
    <w:rPr>
      <w:rFonts w:ascii="Times New Roman" w:hAnsi="Times New Roman"/>
      <w:color w:val="000000"/>
    </w:rPr>
  </w:style>
  <w:style w:styleId="BodyText3" w:type="paragraph">
    <w:name w:val="Body Text 3"/>
    <w:basedOn w:val="Normal"/>
    <w:link w:val="BodyText3Char"/>
    <w:uiPriority w:val="99"/>
    <w:unhideWhenUsed/>
    <w:rsid w:val="00AA1D8D"/>
    <w:pPr>
      <w:spacing w:after="120"/>
    </w:pPr>
    <w:rPr>
      <w:rFonts w:ascii="Times New Roman" w:hAnsi="Times New Roman"/>
      <w:color w:val="000000"/>
      <w:sz w:val="16"/>
      <w:szCs w:val="16"/>
    </w:rPr>
  </w:style>
  <w:style w:customStyle="1" w:styleId="BodyText3Char" w:type="character">
    <w:name w:val="Body Text 3 Char"/>
    <w:basedOn w:val="DefaultParagraphFont"/>
    <w:link w:val="BodyText3"/>
    <w:uiPriority w:val="99"/>
    <w:rsid w:val="00AA1D8D"/>
    <w:rPr>
      <w:rFonts w:ascii="Times New Roman" w:hAnsi="Times New Roman"/>
      <w:color w:val="000000"/>
      <w:sz w:val="16"/>
      <w:szCs w:val="16"/>
    </w:rPr>
  </w:style>
  <w:style w:styleId="List" w:type="paragraph">
    <w:name w:val="List"/>
    <w:basedOn w:val="Normal"/>
    <w:uiPriority w:val="99"/>
    <w:unhideWhenUsed/>
    <w:rsid w:val="00AA1D8D"/>
    <w:pPr>
      <w:ind w:hanging="360" w:left="360"/>
      <w:contextualSpacing/>
    </w:pPr>
    <w:rPr>
      <w:rFonts w:ascii="Times New Roman" w:hAnsi="Times New Roman"/>
      <w:color w:val="000000"/>
    </w:rPr>
  </w:style>
  <w:style w:styleId="List2" w:type="paragraph">
    <w:name w:val="List 2"/>
    <w:basedOn w:val="Normal"/>
    <w:uiPriority w:val="99"/>
    <w:unhideWhenUsed/>
    <w:rsid w:val="00326F90"/>
    <w:pPr>
      <w:ind w:hanging="360" w:left="720"/>
      <w:contextualSpacing/>
    </w:pPr>
    <w:rPr>
      <w:rFonts w:ascii="Times New Roman" w:hAnsi="Times New Roman"/>
      <w:color w:val="000000"/>
    </w:rPr>
  </w:style>
  <w:style w:styleId="List3" w:type="paragraph">
    <w:name w:val="List 3"/>
    <w:basedOn w:val="Normal"/>
    <w:uiPriority w:val="99"/>
    <w:unhideWhenUsed/>
    <w:rsid w:val="00326F90"/>
    <w:pPr>
      <w:ind w:hanging="360" w:left="1080"/>
      <w:contextualSpacing/>
    </w:pPr>
    <w:rPr>
      <w:rFonts w:ascii="Times New Roman" w:hAnsi="Times New Roman"/>
      <w:color w:val="000000"/>
    </w:rPr>
  </w:style>
  <w:style w:styleId="ListBullet" w:type="paragraph">
    <w:name w:val="List Bullet"/>
    <w:basedOn w:val="Normal"/>
    <w:uiPriority w:val="99"/>
    <w:unhideWhenUsed/>
    <w:rsid w:val="00326F90"/>
    <w:pPr>
      <w:numPr>
        <w:numId w:val="1"/>
      </w:numPr>
      <w:contextualSpacing/>
    </w:pPr>
    <w:rPr>
      <w:rFonts w:ascii="Times New Roman" w:hAnsi="Times New Roman"/>
      <w:color w:val="000000"/>
    </w:rPr>
  </w:style>
  <w:style w:styleId="ListBullet2" w:type="paragraph">
    <w:name w:val="List Bullet 2"/>
    <w:basedOn w:val="Normal"/>
    <w:uiPriority w:val="99"/>
    <w:unhideWhenUsed/>
    <w:rsid w:val="00326F90"/>
    <w:pPr>
      <w:numPr>
        <w:numId w:val="2"/>
      </w:numPr>
      <w:contextualSpacing/>
    </w:pPr>
    <w:rPr>
      <w:rFonts w:ascii="Times New Roman" w:hAnsi="Times New Roman"/>
      <w:color w:val="000000"/>
    </w:rPr>
  </w:style>
  <w:style w:styleId="ListBullet3" w:type="paragraph">
    <w:name w:val="List Bullet 3"/>
    <w:basedOn w:val="Normal"/>
    <w:uiPriority w:val="99"/>
    <w:unhideWhenUsed/>
    <w:rsid w:val="00326F90"/>
    <w:pPr>
      <w:numPr>
        <w:numId w:val="3"/>
      </w:numPr>
      <w:contextualSpacing/>
    </w:pPr>
    <w:rPr>
      <w:rFonts w:ascii="Times New Roman" w:hAnsi="Times New Roman"/>
      <w:color w:val="000000"/>
    </w:rPr>
  </w:style>
  <w:style w:styleId="ListNumber" w:type="paragraph">
    <w:name w:val="List Number"/>
    <w:basedOn w:val="Normal"/>
    <w:uiPriority w:val="99"/>
    <w:unhideWhenUsed/>
    <w:rsid w:val="00326F90"/>
    <w:pPr>
      <w:numPr>
        <w:numId w:val="5"/>
      </w:numPr>
      <w:contextualSpacing/>
    </w:pPr>
    <w:rPr>
      <w:rFonts w:ascii="Times New Roman" w:hAnsi="Times New Roman"/>
      <w:color w:val="000000"/>
    </w:rPr>
  </w:style>
  <w:style w:styleId="ListNumber2" w:type="paragraph">
    <w:name w:val="List Number 2"/>
    <w:basedOn w:val="Normal"/>
    <w:uiPriority w:val="99"/>
    <w:unhideWhenUsed/>
    <w:rsid w:val="0029639D"/>
    <w:pPr>
      <w:numPr>
        <w:numId w:val="6"/>
      </w:numPr>
      <w:contextualSpacing/>
    </w:pPr>
    <w:rPr>
      <w:rFonts w:ascii="Times New Roman" w:hAnsi="Times New Roman"/>
      <w:color w:val="000000"/>
    </w:rPr>
  </w:style>
  <w:style w:styleId="ListNumber3" w:type="paragraph">
    <w:name w:val="List Number 3"/>
    <w:basedOn w:val="Normal"/>
    <w:uiPriority w:val="99"/>
    <w:unhideWhenUsed/>
    <w:rsid w:val="0029639D"/>
    <w:pPr>
      <w:numPr>
        <w:numId w:val="7"/>
      </w:numPr>
      <w:contextualSpacing/>
    </w:pPr>
    <w:rPr>
      <w:rFonts w:ascii="Times New Roman" w:hAnsi="Times New Roman"/>
      <w:color w:val="000000"/>
    </w:rPr>
  </w:style>
  <w:style w:styleId="ListContinue" w:type="paragraph">
    <w:name w:val="List Continue"/>
    <w:basedOn w:val="Normal"/>
    <w:uiPriority w:val="99"/>
    <w:unhideWhenUsed/>
    <w:rsid w:val="0029639D"/>
    <w:pPr>
      <w:spacing w:after="120"/>
      <w:ind w:left="360"/>
      <w:contextualSpacing/>
    </w:pPr>
    <w:rPr>
      <w:rFonts w:ascii="Times New Roman" w:hAnsi="Times New Roman"/>
      <w:color w:val="000000"/>
    </w:rPr>
  </w:style>
  <w:style w:styleId="ListContinue2" w:type="paragraph">
    <w:name w:val="List Continue 2"/>
    <w:basedOn w:val="Normal"/>
    <w:uiPriority w:val="99"/>
    <w:unhideWhenUsed/>
    <w:rsid w:val="0029639D"/>
    <w:pPr>
      <w:spacing w:after="120"/>
      <w:ind w:left="720"/>
      <w:contextualSpacing/>
    </w:pPr>
    <w:rPr>
      <w:rFonts w:ascii="Times New Roman" w:hAnsi="Times New Roman"/>
      <w:color w:val="000000"/>
    </w:rPr>
  </w:style>
  <w:style w:styleId="ListContinue3" w:type="paragraph">
    <w:name w:val="List Continue 3"/>
    <w:basedOn w:val="Normal"/>
    <w:uiPriority w:val="99"/>
    <w:unhideWhenUsed/>
    <w:rsid w:val="0029639D"/>
    <w:pPr>
      <w:spacing w:after="120"/>
      <w:ind w:left="1080"/>
      <w:contextualSpacing/>
    </w:pPr>
    <w:rPr>
      <w:rFonts w:ascii="Times New Roman" w:hAnsi="Times New Roman"/>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color w:val="000000"/>
      <w:sz w:val="20"/>
      <w:szCs w:val="20"/>
    </w:rPr>
  </w:style>
  <w:style w:customStyle="1" w:styleId="MacroTextChar" w:type="character">
    <w:name w:val="Macro Text Char"/>
    <w:basedOn w:val="DefaultParagraphFont"/>
    <w:link w:val="MacroText"/>
    <w:uiPriority w:val="99"/>
    <w:rsid w:val="0029639D"/>
    <w:rPr>
      <w:rFonts w:ascii="Times New Roman" w:hAnsi="Times New Roman"/>
      <w:color w:val="000000"/>
      <w:sz w:val="20"/>
      <w:szCs w:val="20"/>
    </w:rPr>
  </w:style>
  <w:style w:styleId="Quote" w:type="paragraph">
    <w:name w:val="Quote"/>
    <w:basedOn w:val="Normal"/>
    <w:next w:val="Normal"/>
    <w:link w:val="QuoteChar"/>
    <w:uiPriority w:val="29"/>
    <w:qFormat/>
    <w:rsid w:val="00FC693F"/>
    <w:rPr>
      <w:rFonts w:ascii="Times New Roman" w:hAnsi="Times New Roman"/>
      <w:i/>
      <w:iCs/>
      <w:color w:val="000000"/>
    </w:rPr>
  </w:style>
  <w:style w:customStyle="1" w:styleId="QuoteChar" w:type="character">
    <w:name w:val="Quote Char"/>
    <w:basedOn w:val="DefaultParagraphFont"/>
    <w:link w:val="Quote"/>
    <w:uiPriority w:val="29"/>
    <w:rsid w:val="00FC693F"/>
    <w:rPr>
      <w:rFonts w:ascii="Times New Roman" w:hAnsi="Times New Roman"/>
      <w:i/>
      <w:iCs/>
      <w:color w:val="000000"/>
    </w:rPr>
  </w:style>
  <w:style w:customStyle="1" w:styleId="Heading4Char" w:type="character">
    <w:name w:val="Heading 4 Char"/>
    <w:basedOn w:val="DefaultParagraphFont"/>
    <w:link w:val="Heading4"/>
    <w:uiPriority w:val="9"/>
    <w:semiHidden/>
    <w:rsid w:val="00FC693F"/>
    <w:rPr>
      <w:rFonts w:ascii="Times New Roman" w:hAnsi="Times New Roman"/>
      <w:b/>
      <w:bCs/>
      <w:i/>
      <w:iCs/>
      <w:color w:val="000000"/>
    </w:rPr>
  </w:style>
  <w:style w:customStyle="1" w:styleId="Heading5Char" w:type="character">
    <w:name w:val="Heading 5 Char"/>
    <w:basedOn w:val="DefaultParagraphFont"/>
    <w:link w:val="Heading5"/>
    <w:uiPriority w:val="9"/>
    <w:semiHidden/>
    <w:rsid w:val="00FC693F"/>
    <w:rPr>
      <w:rFonts w:ascii="Times New Roman" w:hAnsi="Times New Roman"/>
      <w:color w:val="000000"/>
    </w:rPr>
  </w:style>
  <w:style w:customStyle="1" w:styleId="Heading6Char" w:type="character">
    <w:name w:val="Heading 6 Char"/>
    <w:basedOn w:val="DefaultParagraphFont"/>
    <w:link w:val="Heading6"/>
    <w:uiPriority w:val="9"/>
    <w:semiHidden/>
    <w:rsid w:val="00FC693F"/>
    <w:rPr>
      <w:rFonts w:ascii="Times New Roman" w:hAnsi="Times New Roman"/>
      <w:i/>
      <w:iCs/>
      <w:color w:val="000000"/>
    </w:rPr>
  </w:style>
  <w:style w:customStyle="1" w:styleId="Heading7Char" w:type="character">
    <w:name w:val="Heading 7 Char"/>
    <w:basedOn w:val="DefaultParagraphFont"/>
    <w:link w:val="Heading7"/>
    <w:uiPriority w:val="9"/>
    <w:semiHidden/>
    <w:rsid w:val="00FC693F"/>
    <w:rPr>
      <w:rFonts w:ascii="Times New Roman" w:hAnsi="Times New Roman"/>
      <w:i/>
      <w:iCs/>
      <w:color w:val="000000"/>
    </w:rPr>
  </w:style>
  <w:style w:customStyle="1" w:styleId="Heading8Char" w:type="character">
    <w:name w:val="Heading 8 Char"/>
    <w:basedOn w:val="DefaultParagraphFont"/>
    <w:link w:val="Heading8"/>
    <w:uiPriority w:val="9"/>
    <w:semiHidden/>
    <w:rsid w:val="00FC693F"/>
    <w:rPr>
      <w:rFonts w:ascii="Times New Roman" w:hAnsi="Times New Roman"/>
      <w:color w:val="000000"/>
      <w:sz w:val="20"/>
      <w:szCs w:val="20"/>
    </w:rPr>
  </w:style>
  <w:style w:customStyle="1" w:styleId="Heading9Char" w:type="character">
    <w:name w:val="Heading 9 Char"/>
    <w:basedOn w:val="DefaultParagraphFont"/>
    <w:link w:val="Heading9"/>
    <w:uiPriority w:val="9"/>
    <w:semiHidden/>
    <w:rsid w:val="00FC693F"/>
    <w:rPr>
      <w:rFonts w:ascii="Times New Roman" w:hAnsi="Times New Roman"/>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styleId="Strong" w:type="character">
    <w:name w:val="Strong"/>
    <w:basedOn w:val="DefaultParagraphFont"/>
    <w:uiPriority w:val="22"/>
    <w:qFormat/>
    <w:rsid w:val="00FC693F"/>
    <w:rPr>
      <w:rFonts w:ascii="Times New Roman" w:hAnsi="Times New Roman"/>
      <w:b/>
      <w:bCs/>
      <w:color w:val="000000"/>
    </w:rPr>
  </w:style>
  <w:style w:styleId="Emphasis" w:type="character">
    <w:name w:val="Emphasis"/>
    <w:basedOn w:val="DefaultParagraphFont"/>
    <w:uiPriority w:val="20"/>
    <w:qFormat/>
    <w:rsid w:val="00FC693F"/>
    <w:rPr>
      <w:rFonts w:ascii="Times New Roman" w:hAnsi="Times New Roman"/>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hAnsi="Times New Roman"/>
      <w:b/>
      <w:bCs/>
      <w:i/>
      <w:iCs/>
      <w:color w:val="000000"/>
    </w:rPr>
  </w:style>
  <w:style w:customStyle="1" w:styleId="IntenseQuoteChar" w:type="character">
    <w:name w:val="Intense Quote Char"/>
    <w:basedOn w:val="DefaultParagraphFont"/>
    <w:link w:val="IntenseQuote"/>
    <w:uiPriority w:val="30"/>
    <w:rsid w:val="00FC693F"/>
    <w:rPr>
      <w:rFonts w:ascii="Times New Roman" w:hAnsi="Times New Roman"/>
      <w:b/>
      <w:bCs/>
      <w:i/>
      <w:iCs/>
      <w:color w:val="000000"/>
    </w:rPr>
  </w:style>
  <w:style w:styleId="SubtleEmphasis" w:type="character">
    <w:name w:val="Subtle Emphasis"/>
    <w:basedOn w:val="DefaultParagraphFont"/>
    <w:uiPriority w:val="19"/>
    <w:qFormat/>
    <w:rsid w:val="00FC693F"/>
    <w:rPr>
      <w:rFonts w:ascii="Times New Roman" w:hAnsi="Times New Roman"/>
      <w:i/>
      <w:iCs/>
      <w:color w:val="000000"/>
    </w:rPr>
  </w:style>
  <w:style w:styleId="IntenseEmphasis" w:type="character">
    <w:name w:val="Intense Emphasis"/>
    <w:basedOn w:val="DefaultParagraphFont"/>
    <w:uiPriority w:val="21"/>
    <w:qFormat/>
    <w:rsid w:val="00FC693F"/>
    <w:rPr>
      <w:rFonts w:ascii="Times New Roman" w:hAnsi="Times New Roman"/>
      <w:b/>
      <w:bCs/>
      <w:i/>
      <w:iCs/>
      <w:color w:val="000000"/>
    </w:rPr>
  </w:style>
  <w:style w:styleId="SubtleReference" w:type="character">
    <w:name w:val="Subtle Reference"/>
    <w:basedOn w:val="DefaultParagraphFont"/>
    <w:uiPriority w:val="31"/>
    <w:qFormat/>
    <w:rsid w:val="00FC693F"/>
    <w:rPr>
      <w:rFonts w:ascii="Times New Roman" w:hAnsi="Times New Roman"/>
      <w:smallCaps/>
      <w:color w:val="000000"/>
      <w:u w:val="single"/>
    </w:rPr>
  </w:style>
  <w:style w:styleId="IntenseReference" w:type="character">
    <w:name w:val="Intense Reference"/>
    <w:basedOn w:val="DefaultParagraphFont"/>
    <w:uiPriority w:val="32"/>
    <w:qFormat/>
    <w:rsid w:val="00FC693F"/>
    <w:rPr>
      <w:rFonts w:ascii="Times New Roman" w:hAnsi="Times New Roman"/>
      <w:b/>
      <w:bCs/>
      <w:smallCaps/>
      <w:color w:val="000000"/>
      <w:spacing w:val="5"/>
      <w:u w:val="single"/>
    </w:rPr>
  </w:style>
  <w:style w:styleId="BookTitle" w:type="character">
    <w:name w:val="Book Title"/>
    <w:basedOn w:val="DefaultParagraphFont"/>
    <w:uiPriority w:val="33"/>
    <w:qFormat/>
    <w:rsid w:val="00FC693F"/>
    <w:rPr>
      <w:rFonts w:ascii="Times New Roman" w:hAnsi="Times New Roman"/>
      <w:b/>
      <w:bCs/>
      <w:smallCaps/>
      <w:color w:val="000000"/>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9" w:lineRule="auto"/>
    </w:pPr>
  </w:style>
  <w:style w:customStyle="1" w:styleId="Compact" w:type="paragraph">
    <w:name w:val="Compact"/>
    <w:basedOn w:val="Normal"/>
  </w:style>
  <w:style w:customStyle="1" w:styleId="Bibliography" w:type="paragraph">
    <w:name w:val="Bibliography"/>
    <w:basedOn w:val="Normal"/>
    <w:pPr>
      <w:spacing w:after="140"/>
      <w:ind w:hanging="360" w:left="360"/>
    </w:pPr>
  </w:style>
  <w:style w:customStyle="1" w:styleId="Equation" w:type="paragraph">
    <w:name w:val="Equation"/>
    <w:basedOn w:val="Normal"/>
    <w:pPr>
      <w:keepLines/>
      <w:spacing w:after="120" w:before="100"/>
    </w:pPr>
  </w:style>
  <w:style w:customStyle="1" w:styleId="TableBody" w:type="paragraph">
    <w:name w:val="Table Body"/>
    <w:basedOn w:val="Normal"/>
    <w:pPr>
      <w:spacing w:after="0" w:line="252" w:lineRule="auto"/>
    </w:pPr>
    <w:rPr>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arxiv.org/abs/math/0311156" TargetMode="External"/><Relationship Id="rId21" Type="http://schemas.openxmlformats.org/officeDocument/2006/relationships/hyperlink" Target="https://doi.org/10.1007/s10845-024-02494-0" TargetMode="External"/><Relationship Id="rId25" Type="http://schemas.openxmlformats.org/officeDocument/2006/relationships/hyperlink" Target="https://doi.org/10.1287/opre.21.5.1071" TargetMode="External"/><Relationship Id="rId26" Type="http://schemas.openxmlformats.org/officeDocument/2006/relationships/hyperlink" Target="https://doi.org/10.1613/jair.3278" TargetMode="External"/><Relationship Id="rId23" Type="http://schemas.openxmlformats.org/officeDocument/2006/relationships/hyperlink" Target="https://doi.org/10.2307/3212481" TargetMode="External"/><Relationship Id="rId24" Type="http://schemas.openxmlformats.org/officeDocument/2006/relationships/hyperlink" Target="https://jmlr.csail.mit.edu/papers/v11/carlsson10a.html" TargetMode="External"/><Relationship Id="rId27" Type="http://schemas.openxmlformats.org/officeDocument/2006/relationships/hyperlink" Target="https://jmlr.org/papers/v9/krause08b.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arxiv.org/abs/math/0311156" TargetMode="External"/><Relationship Id="rId21" Type="http://schemas.openxmlformats.org/officeDocument/2006/relationships/hyperlink" Target="https://doi.org/10.1007/s10845-024-02494-0" TargetMode="External"/><Relationship Id="rId25" Type="http://schemas.openxmlformats.org/officeDocument/2006/relationships/hyperlink" Target="https://doi.org/10.1287/opre.21.5.1071" TargetMode="External"/><Relationship Id="rId26" Type="http://schemas.openxmlformats.org/officeDocument/2006/relationships/hyperlink" Target="https://doi.org/10.1613/jair.3278" TargetMode="External"/><Relationship Id="rId23" Type="http://schemas.openxmlformats.org/officeDocument/2006/relationships/hyperlink" Target="https://doi.org/10.2307/3212481" TargetMode="External"/><Relationship Id="rId24" Type="http://schemas.openxmlformats.org/officeDocument/2006/relationships/hyperlink" Target="https://jmlr.csail.mit.edu/papers/v11/carlsson10a.html" TargetMode="External"/><Relationship Id="rId27" Type="http://schemas.openxmlformats.org/officeDocument/2006/relationships/hyperlink" Target="https://jmlr.org/papers/v9/krause08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Minimax recovery and decision stability for tree-based evidence acquisition</dc:title>
  <dc:creator/>
  <cp:keywords>rooted tree; minimax estimation; Bayesian sequential decision</cp:keywords>
  <dcterms:created xsi:type="dcterms:W3CDTF">2026-09-12T11:04:30Z</dcterms:created>
  <dcterms:modified xsi:type="dcterms:W3CDTF">2026-09-12T11:04:30Z</dcterms:modified>
  <dc:subject>Mathematical manuscript</dc:subject>
</cp:coreProperties>
</file>

<file path=docProps/custom.xml><?xml version="1.0" encoding="utf-8"?>
<Properties xmlns="http://schemas.openxmlformats.org/officeDocument/2006/custom-properties" xmlns:vt="http://schemas.openxmlformats.org/officeDocument/2006/docPropsVTypes"/>
</file>