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Minimax recovery and decision stability for tree-based evidence acquisition</w:t>
      </w:r>
    </w:p>
    <w:p>
      <w:pPr>
        <w:pStyle w:val="BodyText"/>
        <w:spacing w:after="240"/>
        <w:jc w:val="center"/>
      </w:pPr>
      <w:r>
        <w:rPr>
          <w:bCs/>
          <w:b/>
        </w:rPr>
        <w:t xml:space="preserve">Author(s):</w:t>
      </w:r>
      <w:r>
        <w:t xml:space="preserve"> </w:t>
      </w:r>
      <w:r>
        <w:t xml:space="preserve">[Names, affiliations, ORCID identifiers, and corresponding-author email]</w:t>
      </w:r>
    </w:p>
    <w:bookmarkStart w:id="20" w:name="abstract"/>
    <w:p>
      <w:pPr>
        <w:pStyle w:val="Heading1"/>
      </w:pPr>
      <w:r>
        <w:t xml:space="preserve">Abstract</w:t>
      </w:r>
    </w:p>
    <w:p>
      <w:pPr>
        <w:pStyle w:val="FirstParagraph"/>
      </w:pPr>
      <w:r>
        <w:t xml:space="preserve">An evidence-acquisition policy must decide which sources to query and when to stop while accounting for routes activated by earlier queries. We study deterministic recovery of rooted-tree acquisition costs from inaccurate singleton and pair measurements. With coordinatewise error at most</w:t>
      </w:r>
      <w:r>
        <w:t xml:space="preserve"> </w:t>
      </w:r>
      <m:oMath>
        <m:r>
          <m:t>ε</m:t>
        </m:r>
      </m:oMath>
      <w:r>
        <w:t xml:space="preserve">, the exact minimax radius for the total cost of</w:t>
      </w:r>
      <w:r>
        <w:t xml:space="preserve"> </w:t>
      </w:r>
      <m:oMath>
        <m:r>
          <m:t>m</m:t>
        </m:r>
        <m:r>
          <m:rPr>
            <m:sty m:val="p"/>
          </m:rPr>
          <m:t>≥</m:t>
        </m:r>
        <m:r>
          <m:t>2</m:t>
        </m:r>
      </m:oMath>
      <w:r>
        <w:t xml:space="preserve"> </w:t>
      </w:r>
      <w:r>
        <w:t xml:space="preserve">sources is</w:t>
      </w:r>
      <w:r>
        <w:t xml:space="preserve"> </w:t>
      </w:r>
      <m:oMath>
        <m:d>
          <m:dPr>
            <m:begChr m:val="("/>
            <m:endChr m:val=")"/>
            <m:sepChr m:val=""/>
            <m:grow/>
          </m:dPr>
          <m:e>
            <m:r>
              <m:t>2</m:t>
            </m:r>
            <m:r>
              <m:t>m</m:t>
            </m:r>
            <m:r>
              <m:rPr>
                <m:sty m:val="p"/>
              </m:rPr>
              <m:t>−</m:t>
            </m:r>
            <m:r>
              <m:t>3</m:t>
            </m:r>
          </m:e>
        </m:d>
        <m:r>
          <m:t>ε</m:t>
        </m:r>
      </m:oMath>
      <w:r>
        <w:t xml:space="preserve">. Our principal extension concerns continuation: after any nonempty set of routes has been activated, the additional cost of</w:t>
      </w:r>
      <w:r>
        <w:t xml:space="preserve"> </w:t>
      </w:r>
      <m:oMath>
        <m:r>
          <m:t>k</m:t>
        </m:r>
      </m:oMath>
      <w:r>
        <w:t xml:space="preserve"> </w:t>
      </w:r>
      <w:r>
        <w:t xml:space="preserve">new sources has exact minimax radius</w:t>
      </w:r>
      <w:r>
        <w:t xml:space="preserve"> </w:t>
      </w:r>
      <m:oMath>
        <m:r>
          <m:t>2</m:t>
        </m:r>
        <m:r>
          <m:t>k</m:t>
        </m:r>
        <m:r>
          <m:t>ε</m:t>
        </m:r>
      </m:oMath>
      <w:r>
        <w:t xml:space="preserve">, independent of the number of earlier sources. An estimator based on a forest rooted at the earlier sources attains this radius and reduces to one minimum spanning tree. A counterexample shows that subtracting two total-cost estimates can instead incur error</w:t>
      </w:r>
      <w:r>
        <w:t xml:space="preserve"> </w:t>
      </w:r>
      <m:oMath>
        <m:r>
          <m:t>4</m:t>
        </m:r>
        <m:d>
          <m:dPr>
            <m:begChr m:val="("/>
            <m:endChr m:val=")"/>
            <m:sepChr m:val=""/>
            <m:grow/>
          </m:dPr>
          <m:e>
            <m:r>
              <m:t>h</m:t>
            </m:r>
            <m:r>
              <m:rPr>
                <m:sty m:val="p"/>
              </m:rPr>
              <m:t>−</m:t>
            </m:r>
            <m:r>
              <m:t>1</m:t>
            </m:r>
          </m:e>
        </m:d>
        <m:r>
          <m:t>ε</m:t>
        </m:r>
      </m:oMath>
      <w:r>
        <w:t xml:space="preserve"> </w:t>
      </w:r>
      <w:r>
        <w:t xml:space="preserve">for a single new source after</w:t>
      </w:r>
      <w:r>
        <w:t xml:space="preserve"> </w:t>
      </w:r>
      <m:oMath>
        <m:r>
          <m:t>h</m:t>
        </m:r>
      </m:oMath>
      <w:r>
        <w:t xml:space="preserve"> </w:t>
      </w:r>
      <w:r>
        <w:t xml:space="preserve">earlier sources. We also give sharp radii for separate singleton and pair tolerances, certified intervals for heterogeneous tolerances, and value and policy-loss bounds for finite-horizon Bayesian decisions. Two-branch examples prove that the factor two in the policy-loss bounds cannot be reduced for policies optimized using measured costs. Exact-arithmetic computations reproduce the synthetic decision example and verify the new constructions. The contribution concerns sharp functional recovery and its decision consequences within an established tree-cost model. No empirical manufacturing validation is claimed.</w:t>
      </w:r>
    </w:p>
    <w:p>
      <w:pPr>
        <w:pStyle w:val="BodyText"/>
      </w:pPr>
      <w:r>
        <w:rPr>
          <w:bCs/>
          <w:b/>
        </w:rPr>
        <w:t xml:space="preserve">Keywords:</w:t>
      </w:r>
      <w:r>
        <w:t xml:space="preserve"> </w:t>
      </w:r>
      <w:r>
        <w:t xml:space="preserve">rooted tree; minimax estimation; shared acquisition cost; Bayesian sequential decision; agentic manufacturing diagnosis.</w:t>
      </w:r>
    </w:p>
    <w:bookmarkEnd w:id="20"/>
    <w:bookmarkStart w:id="29" w:name="introduction"/>
    <w:p>
      <w:pPr>
        <w:pStyle w:val="Heading1"/>
      </w:pPr>
      <w:r>
        <w:t xml:space="preserve">1. Introduction</w:t>
      </w:r>
    </w:p>
    <w:p>
      <w:pPr>
        <w:pStyle w:val="FirstParagraph"/>
      </w:pPr>
      <w:r>
        <w:t xml:space="preserve">An agentic manufacturing diagnosis system can be viewed as a coordinator that acquires information from specialized sources, updates its belief about a fault, and chooses a final diagnosis. Graph representations already support multi-agent scheduling in manufacturing; for example,</w:t>
      </w:r>
      <w:r>
        <w:t xml:space="preserve"> </w:t>
      </w:r>
      <w:hyperlink r:id="rId21">
        <w:r>
          <w:rPr>
            <w:rStyle w:val="Hyperlink"/>
          </w:rPr>
          <w:t xml:space="preserve">Qin and Lu</w:t>
        </w:r>
      </w:hyperlink>
      <w:r>
        <w:t xml:space="preserve"> </w:t>
      </w:r>
      <w:r>
        <w:t xml:space="preserve">[23] combine knowledge graphs with multi-agent reinforcement learning. The present problem concerns the cost of accessing evidence when several sources share communication or session-activation resources.</w:t>
      </w:r>
    </w:p>
    <w:p>
      <w:pPr>
        <w:pStyle w:val="BodyText"/>
      </w:pPr>
      <w:r>
        <w:t xml:space="preserve">Charging every query its full standalone access cost is appropriate when all communication expenses recur independently. If part of the expense is incurred once per investigation, however, later queries may reuse an activated route. A useful theoretical question is whether individual and pairwise cost measurements determine the cost of every larger group. A second question asks how errors in these measurements affect an optimal sequential diagnostic policy.</w:t>
      </w:r>
    </w:p>
    <w:p>
      <w:pPr>
        <w:pStyle w:val="BodyText"/>
      </w:pPr>
      <w:r>
        <w:t xml:space="preserve">The mathematical ingredients have established antecedents.</w:t>
      </w:r>
      <w:r>
        <w:t xml:space="preserve"> </w:t>
      </w:r>
      <w:hyperlink r:id="rId22">
        <w:r>
          <w:rPr>
            <w:rStyle w:val="Hyperlink"/>
          </w:rPr>
          <w:t xml:space="preserve">Pachter and Speyer</w:t>
        </w:r>
      </w:hyperlink>
      <w:r>
        <w:t xml:space="preserve"> </w:t>
      </w:r>
      <w:r>
        <w:t xml:space="preserve">[22] study reconstruction of trees from subtree weights.</w:t>
      </w:r>
      <w:r>
        <w:t xml:space="preserve"> </w:t>
      </w:r>
      <w:hyperlink r:id="rId23">
        <w:r>
          <w:rPr>
            <w:rStyle w:val="Hyperlink"/>
          </w:rPr>
          <w:t xml:space="preserve">Hunter</w:t>
        </w:r>
      </w:hyperlink>
      <w:r>
        <w:t xml:space="preserve"> </w:t>
      </w:r>
      <w:r>
        <w:t xml:space="preserve">[12] uses spanning trees to optimize bounds on unions from first- and second-order information. Hierarchical representations and their stability are studied by</w:t>
      </w:r>
      <w:r>
        <w:t xml:space="preserve"> </w:t>
      </w:r>
      <w:hyperlink r:id="rId24">
        <w:r>
          <w:rPr>
            <w:rStyle w:val="Hyperlink"/>
          </w:rPr>
          <w:t xml:space="preserve">Carlsson and Mémoli</w:t>
        </w:r>
      </w:hyperlink>
      <w:r>
        <w:t xml:space="preserve"> </w:t>
      </w:r>
      <w:r>
        <w:t xml:space="preserve">[5]. Belief-state dynamic programming follows the finite-horizon partially observed control framework of</w:t>
      </w:r>
      <w:r>
        <w:t xml:space="preserve"> </w:t>
      </w:r>
      <w:hyperlink r:id="rId25">
        <w:r>
          <w:rPr>
            <w:rStyle w:val="Hyperlink"/>
          </w:rPr>
          <w:t xml:space="preserve">Smallwood and Sondik</w:t>
        </w:r>
      </w:hyperlink>
      <w:r>
        <w:t xml:space="preserve"> </w:t>
      </w:r>
      <w:r>
        <w:t xml:space="preserve">[24].</w:t>
      </w:r>
      <w:r>
        <w:t xml:space="preserve"> </w:t>
      </w:r>
      <w:hyperlink r:id="rId26">
        <w:r>
          <w:rPr>
            <w:rStyle w:val="Hyperlink"/>
          </w:rPr>
          <w:t xml:space="preserve">Adaptive submodularity</w:t>
        </w:r>
      </w:hyperlink>
      <w:r>
        <w:t xml:space="preserve"> </w:t>
      </w:r>
      <w:r>
        <w:t xml:space="preserve">[10] and</w:t>
      </w:r>
      <w:r>
        <w:t xml:space="preserve"> </w:t>
      </w:r>
      <w:hyperlink r:id="rId27">
        <w:r>
          <w:rPr>
            <w:rStyle w:val="Hyperlink"/>
          </w:rPr>
          <w:t xml:space="preserve">robust observation selection</w:t>
        </w:r>
      </w:hyperlink>
      <w:r>
        <w:t xml:space="preserve"> </w:t>
      </w:r>
      <w:r>
        <w:t xml:space="preserve">[15] address related acquisition problems under different assumptions and objectives.</w:t>
      </w:r>
    </w:p>
    <w:p>
      <w:pPr>
        <w:pStyle w:val="BodyText"/>
      </w:pPr>
      <w:r>
        <w:t xml:space="preserve">The principal contribution is sharp recovery of the additional cost of a planned acquisition after some routes have already been activated. Theorem 3.3 gives an estimator and a matching minimax lower bound whose radius depends only on the number of new queries. Proposition 3.4 shows why this result does not follow from subtracting the total-cost estimates in Theorem 3.1: that procedure can amplify uncertainty in proportion to the investigation history. Proposition 3.5 accommodates unequal measurement tolerances. Theorems 4.3 and 4.4 establish sharp policy-loss constants for initial and continuation decisions. Tree representation, spanning-tree algorithms, and belief-state dynamic programming provide the mathematical foundations; the claimed contribution is the precise recovery and decision guarantees under the stated measurement model.</w:t>
      </w:r>
    </w:p>
    <w:p>
      <w:pPr>
        <w:pStyle w:val="BodyText"/>
      </w:pPr>
      <w:r>
        <w:t xml:space="preserve">The application extends graph-orchestrated manufacturing diagnosis by introducing shared activation costs and optional stopping. These assumptions differ from a model that charges a complete route cost for every query. The numerical illustration is entirely synthetic.</w:t>
      </w:r>
    </w:p>
    <w:bookmarkStart w:id="28" w:name="related-work-and-scope"/>
    <w:p>
      <w:pPr>
        <w:pStyle w:val="Heading2"/>
      </w:pPr>
      <w:r>
        <w:t xml:space="preserve">1.1. Related work and scope</w:t>
      </w:r>
    </w:p>
    <w:p>
      <w:pPr>
        <w:pStyle w:val="FirstParagraph"/>
      </w:pPr>
      <w:r>
        <w:rPr>
          <w:bCs/>
          <w:b/>
        </w:rPr>
        <w:t xml:space="preserve">Rooted diversity and tree cost sharing.</w:t>
      </w:r>
      <w:r>
        <w:t xml:space="preserve"> </w:t>
      </w:r>
      <w:r>
        <w:t xml:space="preserve">After service costs are absorbed into pendant edges, the set function used here is rooted phylogenetic diversity in the sense of Faith [8] and Steel, Mimoto, and Mooers [25]. Bryant and Tupper [3] place phylogenetic diversity within a general theory of distances on finite sets. Rooted-tree cost sharing is also studied through fixed-tree and irrigation games; Márkus, Pintér, and Radványi [18] characterize the game class and investigate Shapley allocations. These connections identify the cost model as established. The marginal quantity itself is also established: Steel et al. explicitly study the increase in diversity from adding a species. Here the target is its deterministic worst-case recovery from inaccurate acquisition-cost measurements, including a matching lower bound and a computational estimator.</w:t>
      </w:r>
    </w:p>
    <w:p>
      <w:pPr>
        <w:pStyle w:val="BodyText"/>
        <w:keepNext/>
      </w:pPr>
      <w:r>
        <w:rPr>
          <w:bCs/>
          <w:b/>
        </w:rPr>
        <w:t xml:space="preserve">Tree fitting and measurement coordinates.</w:t>
      </w:r>
      <w:r>
        <w:t xml:space="preserve"> </w:t>
      </w:r>
      <w:r>
        <w:t xml:space="preserve">Farach, Kannan, and Warnow [9] study fitting additive or ultrametric distances, including interval constraints. Adding a label 0 at the root converts exact acquisition measurements into tree distances through</w:t>
      </w:r>
    </w:p>
    <w:p>
      <w:pPr>
        <w:pStyle w:val="Equation"/>
        <w:tabs>
          <w:tab w:pos="4680" w:val="center"/>
          <w:tab w:pos="9792" w:val="right"/>
        </w:tabs>
        <w:jc w:val="left"/>
      </w:pPr>
      <w:r>
        <w:tab/>
      </w:r>
      <m:oMath>
        <m:sSub>
          <m:e>
            <m:r>
              <m:t>d</m:t>
            </m:r>
          </m:e>
          <m:sub>
            <m:r>
              <m:t>0</m:t>
            </m:r>
            <m:r>
              <m:t>i</m:t>
            </m:r>
          </m:sub>
        </m:sSub>
        <m:r>
          <m:rPr>
            <m:sty m:val="p"/>
          </m:rPr>
          <m:t>=</m:t>
        </m:r>
        <m:sSub>
          <m:e>
            <m:r>
              <m:t>c</m:t>
            </m:r>
          </m:e>
          <m:sub>
            <m:r>
              <m:t>i</m:t>
            </m:r>
          </m:sub>
        </m:sSub>
        <m:r>
          <m:rPr>
            <m:sty m:val="p"/>
          </m:rPr>
          <m:t>,</m:t>
        </m:r>
        <m:r>
          <m:t>  </m:t>
        </m:r>
        <m:sSub>
          <m:e>
            <m:r>
              <m:t>d</m:t>
            </m:r>
          </m:e>
          <m:sub>
            <m:r>
              <m:t>i</m:t>
            </m:r>
            <m:r>
              <m:t>j</m:t>
            </m:r>
          </m:sub>
        </m:sSub>
        <m:r>
          <m:rPr>
            <m:sty m:val="p"/>
          </m:rPr>
          <m:t>=</m:t>
        </m:r>
        <m:r>
          <m:t>2</m:t>
        </m:r>
        <m:sSub>
          <m:e>
            <m:r>
              <m:t>c</m:t>
            </m:r>
          </m:e>
          <m:sub>
            <m:r>
              <m:t>i</m:t>
            </m:r>
            <m:r>
              <m:t>j</m:t>
            </m:r>
          </m:sub>
        </m:sSub>
        <m:r>
          <m:rPr>
            <m:sty m:val="p"/>
          </m:rPr>
          <m:t>−</m:t>
        </m:r>
        <m:sSub>
          <m:e>
            <m:r>
              <m:t>c</m:t>
            </m:r>
          </m:e>
          <m:sub>
            <m:r>
              <m:t>i</m:t>
            </m:r>
          </m:sub>
        </m:sSub>
        <m:r>
          <m:rPr>
            <m:sty m:val="p"/>
          </m:rPr>
          <m:t>−</m:t>
        </m:r>
        <m:sSub>
          <m:e>
            <m:r>
              <m:t>c</m:t>
            </m:r>
          </m:e>
          <m:sub>
            <m:r>
              <m:t>j</m:t>
            </m:r>
          </m:sub>
        </m:sSub>
        <m:r>
          <m:rPr>
            <m:sty m:val="p"/>
          </m:rPr>
          <m:t>.</m:t>
        </m:r>
      </m:oMath>
      <w:r>
        <w:tab/>
        <w:t>(1)</w:t>
      </w:r>
    </w:p>
    <w:p>
      <w:pPr>
        <w:pStyle w:val="BodyText"/>
      </w:pPr>
      <w:r>
        <w:t xml:space="preserve">Consequently, the underlying representation is connected directly to classical additive-tree reconstruction. However, independent coordinatewise bounds on singleton and pair acquisition costs induce shared error terms in these distances. The present recovery radii are stated in the acquisition-cost coordinates and concern a specified set-cost functional. This distinguishes the information model and target from a generic tree-fitting objective; it does not by itself establish priority over every result in that literature.</w:t>
      </w:r>
    </w:p>
    <w:p>
      <w:pPr>
        <w:pStyle w:val="BodyText"/>
      </w:pPr>
      <w:r>
        <w:rPr>
          <w:bCs/>
          <w:b/>
        </w:rPr>
        <w:t xml:space="preserve">Tree identification and hierarchical representation.</w:t>
      </w:r>
      <w:r>
        <w:t xml:space="preserve"> </w:t>
      </w:r>
      <w:r>
        <w:t xml:space="preserve">Buneman [4] gives a metric characterization of trees, while Aho et al. [1] construct trees subject to common-ancestor constraints. Pachter and Speyer [22] study recovery from weighted subtrees. These works establish a broader setting for reconstructing a tree from partial descriptions. Here the measurements are acquisition costs for one or two labeled sources, and the target is the cost of a specified source set. Proposition 2.1 expresses the relevant hierarchy through common-prefix depths; it does not identify a unique physical subdivision of the network. The spanning-tree relation between single linkage and hierarchical clustering studied by Gower and Ross [11], together with the stability framework of Carlsson and Mémoli [5], also provides context for the overlap repair in Section 3.2.</w:t>
      </w:r>
    </w:p>
    <w:p>
      <w:pPr>
        <w:pStyle w:val="BodyText"/>
      </w:pPr>
      <w:r>
        <w:rPr>
          <w:bCs/>
          <w:b/>
        </w:rPr>
        <w:t xml:space="preserve">Recovery from inaccurate measurements.</w:t>
      </w:r>
      <w:r>
        <w:t xml:space="preserve"> </w:t>
      </w:r>
      <w:r>
        <w:t xml:space="preserve">Optimal recovery asks what can be determined about a target quantity from limited information and a specified model class. Donoho [7] connects this viewpoint to minimax statistical estimation of linear functionals under Gaussian noise. The present formulation instead uses deterministic, coordinatewise bounded errors and the class of nonnegative rooted-tree costs. Theorem 3.1 concerns the exact error radius of a set-cost functional under this information model. Its lower bound is obtained from two admissible trees consistent with the same measurements. Thus the result addresses unavoidable uncertainty in acquisition cost without requiring recovery of a particular tree topology.</w:t>
      </w:r>
    </w:p>
    <w:p>
      <w:pPr>
        <w:pStyle w:val="BodyText"/>
      </w:pPr>
      <w:r>
        <w:rPr>
          <w:bCs/>
          <w:b/>
        </w:rPr>
        <w:t xml:space="preserve">Sequential testing and partially observed control.</w:t>
      </w:r>
      <w:r>
        <w:t xml:space="preserve"> </w:t>
      </w:r>
      <w:r>
        <w:t xml:space="preserve">Wald [26] develops sequential hypothesis testing, and Chernoff [6] studies the sequential choice of experiments. Naghshvar and Javidi [19] analyze active sequential hypothesis testing through information acquisition, decision penalties, and asymptotically optimal policies. The finite-horizon belief-state formulation used here belongs to the framework of Smallwood and Sondik [24] and the planning treatment of Kaelbling, Littman, and Cassandra [14]. Our model restricts each source to one query and records the queried set because shared activation makes the next acquisition cost depend on earlier choices. The Bellman recursion is a specialization of this established framework.</w:t>
      </w:r>
    </w:p>
    <w:p>
      <w:pPr>
        <w:pStyle w:val="BodyText"/>
      </w:pPr>
      <w:r>
        <w:rPr>
          <w:bCs/>
          <w:b/>
        </w:rPr>
        <w:t xml:space="preserve">Submodularity and active feature acquisition.</w:t>
      </w:r>
      <w:r>
        <w:t xml:space="preserve"> </w:t>
      </w:r>
      <w:r>
        <w:t xml:space="preserve">Nemhauser, Wolsey, and Fisher [20] establish approximation guarantees for monotone submodular maximization under a cardinality constraint. Golovin and Krause [10] identify adaptive diminishing-returns conditions supporting greedy acquisition, while Krause et al. [15] study observation selection against multiple possible objectives, including extensions with communication and path costs. These results motivate scalable acquisition methods, but their assumptions concern the information objective as well as its constraints. Submodularity of the shared acquisition cost alone does not establish the required diminishing returns in diagnostic value; the parity example in Section 4.2 makes that distinction explicit.</w:t>
      </w:r>
    </w:p>
    <w:p>
      <w:pPr>
        <w:pStyle w:val="BodyText"/>
      </w:pPr>
      <w:r>
        <w:t xml:space="preserve">Active feature acquisition also studies how to choose additional observations for a partially observed instance. Ma et al. [17] combine a partial variational autoencoder with an expected-information-gain acquisition rule, and Li and Oliva [16] use a generative surrogate model to support acquisition-policy learning. These approaches address representation and policy computation. The present analysis isolates a complementary question: how calibration error in a structured acquisition-cost model propagates to decision values when the observation model is held fixed. The synthetic example therefore illustrates the mathematical guarantees, rather than providing a benchmark against learned acquisition methods.</w:t>
      </w:r>
    </w:p>
    <w:bookmarkEnd w:id="28"/>
    <w:bookmarkEnd w:id="29"/>
    <w:bookmarkStart w:id="33" w:name="shared-costs-on-a-rooted-tree"/>
    <w:p>
      <w:pPr>
        <w:pStyle w:val="Heading1"/>
      </w:pPr>
      <w:r>
        <w:t xml:space="preserve">2. Shared costs on a rooted tree</w:t>
      </w:r>
    </w:p>
    <w:bookmarkStart w:id="30" w:name="model-and-notation"/>
    <w:p>
      <w:pPr>
        <w:pStyle w:val="Heading2"/>
      </w:pPr>
      <w:r>
        <w:t xml:space="preserve">2.1. Model and notation</w:t>
      </w:r>
    </w:p>
    <w:p>
      <w:pPr>
        <w:pStyle w:val="FirstParagraph"/>
      </w:pPr>
      <w:r>
        <w:t xml:space="preserve">Let</w:t>
      </w:r>
      <w:r>
        <w:t xml:space="preserve"> </w:t>
      </w:r>
      <m:oMath>
        <m:r>
          <m:t>N</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label evidence sources, and let</w:t>
      </w:r>
      <w:r>
        <w:t xml:space="preserve"> </w:t>
      </w:r>
      <m:oMath>
        <m:r>
          <m:t>T</m:t>
        </m:r>
      </m:oMath>
      <w:r>
        <w:t xml:space="preserve"> </w:t>
      </w:r>
      <w:r>
        <w:t xml:space="preserve">be a finite tree rooted at a coordinator</w:t>
      </w:r>
      <w:r>
        <w:t xml:space="preserve"> </w:t>
      </w:r>
      <m:oMath>
        <m:r>
          <m:t>r</m:t>
        </m:r>
      </m:oMath>
      <w:r>
        <w:t xml:space="preserve">. Source</w:t>
      </w:r>
      <w:r>
        <w:t xml:space="preserve"> </w:t>
      </w:r>
      <m:oMath>
        <m:r>
          <m:t>i</m:t>
        </m:r>
      </m:oMath>
      <w:r>
        <w:t xml:space="preserve"> </w:t>
      </w:r>
      <w:r>
        <w:t xml:space="preserve">is associated with a vertex and the unique root-to-source path</w:t>
      </w:r>
      <w:r>
        <w:t xml:space="preserve"> </w:t>
      </w:r>
      <m:oMath>
        <m:sSub>
          <m:e>
            <m:r>
              <m:t>P</m:t>
            </m:r>
          </m:e>
          <m:sub>
            <m:r>
              <m:t>i</m:t>
            </m:r>
          </m:sub>
        </m:sSub>
      </m:oMath>
      <w:r>
        <w:t xml:space="preserve">. Each edge</w:t>
      </w:r>
      <w:r>
        <w:t xml:space="preserve"> </w:t>
      </w:r>
      <m:oMath>
        <m:r>
          <m:t>e</m:t>
        </m:r>
      </m:oMath>
      <w:r>
        <w:t xml:space="preserve"> </w:t>
      </w:r>
      <w:r>
        <w:t xml:space="preserve">has activation cost</w:t>
      </w:r>
      <w:r>
        <w:t xml:space="preserve"> </w:t>
      </w:r>
      <m:oMath>
        <m:sSub>
          <m:e>
            <m:r>
              <m:t>a</m:t>
            </m:r>
          </m:e>
          <m:sub>
            <m:r>
              <m:t>e</m:t>
            </m:r>
          </m:sub>
        </m:sSub>
        <m:r>
          <m:rPr>
            <m:sty m:val="p"/>
          </m:rPr>
          <m:t>≥</m:t>
        </m:r>
        <m:r>
          <m:t>0</m:t>
        </m:r>
      </m:oMath>
      <w:r>
        <w:t xml:space="preserve">, and source</w:t>
      </w:r>
      <w:r>
        <w:t xml:space="preserve"> </w:t>
      </w:r>
      <m:oMath>
        <m:r>
          <m:t>i</m:t>
        </m:r>
      </m:oMath>
      <w:r>
        <w:t xml:space="preserve"> </w:t>
      </w:r>
      <w:r>
        <w:t xml:space="preserve">has service cost</w:t>
      </w:r>
      <w:r>
        <w:t xml:space="preserve"> </w:t>
      </w:r>
      <m:oMath>
        <m:sSub>
          <m:e>
            <m:r>
              <m:t>s</m:t>
            </m:r>
          </m:e>
          <m:sub>
            <m:r>
              <m:t>i</m:t>
            </m:r>
          </m:sub>
        </m:sSub>
        <m:r>
          <m:rPr>
            <m:sty m:val="p"/>
          </m:rPr>
          <m:t>≥</m:t>
        </m:r>
        <m:r>
          <m:t>0</m:t>
        </m:r>
      </m:oMath>
      <w:r>
        <w:t xml:space="preserve">.</w:t>
      </w:r>
    </w:p>
    <w:p>
      <w:pPr>
        <w:pStyle w:val="BodyText"/>
      </w:pPr>
      <w:r>
        <w:t xml:space="preserve">Each source is queried at most once during an investigation. An edge is charged when first activated and remains available until the investigation ends.</w:t>
      </w:r>
    </w:p>
    <w:p>
      <w:pPr>
        <w:pStyle w:val="BodyText"/>
        <w:keepNext/>
      </w:pPr>
      <w:r>
        <w:t xml:space="preserve">For</w:t>
      </w:r>
      <w:r>
        <w:t xml:space="preserve"> </w:t>
      </w:r>
      <m:oMath>
        <m:r>
          <m:t>S</m:t>
        </m:r>
        <m:r>
          <m:rPr>
            <m:sty m:val="p"/>
          </m:rPr>
          <m:t>⊆</m:t>
        </m:r>
        <m:r>
          <m:t>N</m:t>
        </m:r>
      </m:oMath>
      <w:r>
        <w:t xml:space="preserve">, define</w:t>
      </w:r>
    </w:p>
    <w:p>
      <w:pPr>
        <w:pStyle w:val="Equation"/>
        <w:tabs>
          <w:tab w:pos="4680" w:val="center"/>
          <w:tab w:pos="9792" w:val="right"/>
        </w:tabs>
        <w:jc w:val="left"/>
      </w:pPr>
      <w:r>
        <w:tab/>
      </w:r>
      <m:oMath>
        <m:r>
          <m:t>F</m:t>
        </m:r>
        <m:d>
          <m:dPr>
            <m:begChr m:val="("/>
            <m:endChr m:val=")"/>
            <m:sepChr m:val=""/>
            <m:grow/>
          </m:dPr>
          <m:e>
            <m:r>
              <m:t>S</m:t>
            </m:r>
          </m:e>
        </m:d>
        <m:r>
          <m:rPr>
            <m:sty m:val="p"/>
          </m:rPr>
          <m:t>=</m:t>
        </m:r>
        <m:nary>
          <m:naryPr>
            <m:chr m:val="∑"/>
            <m:limLoc m:val="undOvr"/>
            <m:subHide m:val="off"/>
            <m:supHide m:val="on"/>
          </m:naryPr>
          <m:sub>
            <m:r>
              <m:t>e</m:t>
            </m:r>
            <m:r>
              <m:rPr>
                <m:sty m:val="p"/>
              </m:rPr>
              <m:t>∈</m:t>
            </m:r>
            <m:limLow>
              <m:e>
                <m:r>
                  <m:rPr>
                    <m:sty m:val="p"/>
                  </m:rPr>
                  <m:t>⋃</m:t>
                </m:r>
              </m:e>
              <m:lim>
                <m:r>
                  <m:t>i</m:t>
                </m:r>
                <m:r>
                  <m:rPr>
                    <m:sty m:val="p"/>
                  </m:rPr>
                  <m:t>∈</m:t>
                </m:r>
                <m:r>
                  <m:t>S</m:t>
                </m:r>
              </m:lim>
            </m:limLow>
            <m:sSub>
              <m:e>
                <m:r>
                  <m:t>P</m:t>
                </m:r>
              </m:e>
              <m:sub>
                <m:r>
                  <m:t>i</m:t>
                </m:r>
              </m:sub>
            </m:sSub>
          </m:sub>
          <m:sup>
            <m:r>
              <m:t>​</m:t>
            </m:r>
          </m:sup>
          <m:e>
            <m:sSub>
              <m:e>
                <m:r>
                  <m:t>a</m:t>
                </m:r>
              </m:e>
              <m:sub>
                <m:r>
                  <m:t>e</m:t>
                </m:r>
              </m:sub>
            </m:sSub>
          </m:e>
        </m:nary>
        <m:r>
          <m:rPr>
            <m:sty m:val="p"/>
          </m:rPr>
          <m:t>+</m:t>
        </m:r>
        <m:nary>
          <m:naryPr>
            <m:chr m:val="∑"/>
            <m:limLoc m:val="undOvr"/>
            <m:subHide m:val="off"/>
            <m:supHide m:val="on"/>
          </m:naryPr>
          <m:sub>
            <m:r>
              <m:t>i</m:t>
            </m:r>
            <m:r>
              <m:rPr>
                <m:sty m:val="p"/>
              </m:rPr>
              <m:t>∈</m:t>
            </m:r>
            <m:r>
              <m:t>S</m:t>
            </m:r>
          </m:sub>
          <m:sup>
            <m:r>
              <m:t>​</m:t>
            </m:r>
          </m:sup>
          <m:e>
            <m:sSub>
              <m:e>
                <m:r>
                  <m:t>s</m:t>
                </m:r>
              </m:e>
              <m:sub>
                <m:r>
                  <m:t>i</m:t>
                </m:r>
              </m:sub>
            </m:sSub>
          </m:e>
        </m:nary>
        <m:r>
          <m:rPr>
            <m:sty m:val="p"/>
          </m:rPr>
          <m:t>,</m:t>
        </m:r>
        <m:r>
          <m:t>  </m:t>
        </m:r>
        <m:r>
          <m:t>F</m:t>
        </m:r>
        <m:d>
          <m:dPr>
            <m:begChr m:val="("/>
            <m:endChr m:val=")"/>
            <m:sepChr m:val=""/>
            <m:grow/>
          </m:dPr>
          <m:e>
            <m:r>
              <m:rPr>
                <m:sty m:val="p"/>
              </m:rPr>
              <m:t>⌀</m:t>
            </m:r>
          </m:e>
        </m:d>
        <m:r>
          <m:rPr>
            <m:sty m:val="p"/>
          </m:rPr>
          <m:t>=</m:t>
        </m:r>
        <m:r>
          <m:t>0</m:t>
        </m:r>
        <m:r>
          <m:rPr>
            <m:sty m:val="p"/>
          </m:rPr>
          <m:t>.</m:t>
        </m:r>
      </m:oMath>
      <w:r>
        <w:tab/>
        <w:t>(2)</w:t>
      </w:r>
    </w:p>
    <w:p>
      <w:pPr>
        <w:pStyle w:val="BodyText"/>
      </w:pPr>
      <w:r>
        <w:t xml:space="preserve">This is a nonnegative, monotone weighted-coverage function. Service costs can be absorbed into private pendant edges of lengths</w:t>
      </w:r>
      <w:r>
        <w:t xml:space="preserve"> </w:t>
      </w:r>
      <m:oMath>
        <m:sSub>
          <m:e>
            <m:r>
              <m:t>s</m:t>
            </m:r>
          </m:e>
          <m:sub>
            <m:r>
              <m:t>i</m:t>
            </m:r>
          </m:sub>
        </m:sSub>
      </m:oMath>
      <w:r>
        <w:t xml:space="preserve">, placing each source label at the new endpoint. Thus all costs may be represented by root-path lengths, allowing zero-length edges.</w:t>
      </w:r>
    </w:p>
    <w:p>
      <w:pPr>
        <w:pStyle w:val="BodyText"/>
        <w:keepNext/>
      </w:pPr>
      <w:r>
        <w:t xml:space="preserve">Write</w:t>
      </w:r>
    </w:p>
    <w:p>
      <w:pPr>
        <w:pStyle w:val="Equation"/>
        <w:tabs>
          <w:tab w:pos="4680" w:val="center"/>
          <w:tab w:pos="9792" w:val="right"/>
        </w:tabs>
        <w:jc w:val="left"/>
      </w:pPr>
      <w:r>
        <w:tab/>
      </w:r>
      <m:oMath>
        <m:sSub>
          <m:e>
            <m:r>
              <m:t>c</m:t>
            </m:r>
          </m:e>
          <m:sub>
            <m:r>
              <m:t>i</m:t>
            </m:r>
          </m:sub>
        </m:sSub>
        <m:r>
          <m:rPr>
            <m:sty m:val="p"/>
          </m:rPr>
          <m:t>=</m:t>
        </m:r>
        <m:r>
          <m:t>F</m:t>
        </m:r>
        <m:d>
          <m:dPr>
            <m:begChr m:val="("/>
            <m:endChr m:val=")"/>
            <m:sepChr m:val=""/>
            <m:grow/>
          </m:dPr>
          <m:e>
            <m:r>
              <m:rPr>
                <m:sty m:val="p"/>
              </m:rPr>
              <m:t>{</m:t>
            </m:r>
            <m:r>
              <m:t>i</m:t>
            </m:r>
            <m:r>
              <m:rPr>
                <m:sty m:val="p"/>
              </m:rPr>
              <m:t>}</m:t>
            </m:r>
          </m:e>
        </m:d>
        <m:r>
          <m:rPr>
            <m:sty m:val="p"/>
          </m:rPr>
          <m:t>,</m:t>
        </m:r>
        <m:r>
          <m:t>  </m:t>
        </m:r>
        <m:sSub>
          <m:e>
            <m:r>
              <m:t>c</m:t>
            </m:r>
          </m:e>
          <m:sub>
            <m:r>
              <m:t>i</m:t>
            </m:r>
            <m:r>
              <m:t>j</m:t>
            </m:r>
          </m:sub>
        </m:sSub>
        <m:r>
          <m:rPr>
            <m:sty m:val="p"/>
          </m:rPr>
          <m:t>=</m:t>
        </m:r>
        <m:r>
          <m:t>F</m:t>
        </m:r>
        <m:d>
          <m:dPr>
            <m:begChr m:val="("/>
            <m:endChr m:val=")"/>
            <m:sepChr m:val=""/>
            <m:grow/>
          </m:dPr>
          <m:e>
            <m:r>
              <m:rPr>
                <m:sty m:val="p"/>
              </m:rPr>
              <m:t>{</m:t>
            </m:r>
            <m:r>
              <m:t>i</m:t>
            </m:r>
            <m:r>
              <m:rPr>
                <m:sty m:val="p"/>
              </m:rPr>
              <m:t>,</m:t>
            </m:r>
            <m:r>
              <m:t>j</m:t>
            </m:r>
            <m:r>
              <m:rPr>
                <m:sty m:val="p"/>
              </m:rPr>
              <m:t>}</m:t>
            </m:r>
          </m:e>
        </m:d>
        <m:r>
          <m:rPr>
            <m:sty m:val="p"/>
          </m:rPr>
          <m:t>,</m:t>
        </m:r>
        <m:r>
          <m:t>  </m:t>
        </m:r>
        <m:sSub>
          <m:e>
            <m:r>
              <m:t>o</m:t>
            </m:r>
          </m:e>
          <m:sub>
            <m:r>
              <m:t>i</m:t>
            </m:r>
            <m:r>
              <m:t>j</m:t>
            </m:r>
          </m:sub>
        </m:sSub>
        <m:r>
          <m:rPr>
            <m:sty m:val="p"/>
          </m:rPr>
          <m:t>=</m:t>
        </m:r>
        <m:sSub>
          <m:e>
            <m:r>
              <m:t>c</m:t>
            </m:r>
          </m:e>
          <m:sub>
            <m:r>
              <m:t>i</m:t>
            </m:r>
          </m:sub>
        </m:sSub>
        <m:r>
          <m:rPr>
            <m:sty m:val="p"/>
          </m:rPr>
          <m:t>+</m:t>
        </m:r>
        <m:sSub>
          <m:e>
            <m:r>
              <m:t>c</m:t>
            </m:r>
          </m:e>
          <m:sub>
            <m:r>
              <m:t>j</m:t>
            </m:r>
          </m:sub>
        </m:sSub>
        <m:r>
          <m:rPr>
            <m:sty m:val="p"/>
          </m:rPr>
          <m:t>−</m:t>
        </m:r>
        <m:sSub>
          <m:e>
            <m:r>
              <m:t>c</m:t>
            </m:r>
          </m:e>
          <m:sub>
            <m:r>
              <m:t>i</m:t>
            </m:r>
            <m:r>
              <m:t>j</m:t>
            </m:r>
          </m:sub>
        </m:sSub>
        <m:r>
          <m:rPr>
            <m:sty m:val="p"/>
          </m:rPr>
          <m:t>,</m:t>
        </m:r>
        <m:r>
          <m:t> </m:t>
        </m:r>
        <m:r>
          <m:t>i</m:t>
        </m:r>
        <m:r>
          <m:rPr>
            <m:sty m:val="p"/>
          </m:rPr>
          <m:t>≠</m:t>
        </m:r>
        <m:r>
          <m:t>j</m:t>
        </m:r>
        <m:r>
          <m:rPr>
            <m:sty m:val="p"/>
          </m:rPr>
          <m:t>.</m:t>
        </m:r>
      </m:oMath>
      <w:r>
        <w:tab/>
        <w:t>(3)</w:t>
      </w:r>
    </w:p>
    <w:p>
      <w:pPr>
        <w:pStyle w:val="BodyText"/>
      </w:pPr>
      <w:r>
        <w:t xml:space="preserve">The quantity</w:t>
      </w:r>
      <w:r>
        <w:t xml:space="preserve"> </w:t>
      </w:r>
      <m:oMath>
        <m:sSub>
          <m:e>
            <m:r>
              <m:t>o</m:t>
            </m:r>
          </m:e>
          <m:sub>
            <m:r>
              <m:t>i</m:t>
            </m:r>
            <m:r>
              <m:t>j</m:t>
            </m:r>
          </m:sub>
        </m:sSub>
      </m:oMath>
      <w:r>
        <w:t xml:space="preserve"> </w:t>
      </w:r>
      <w:r>
        <w:t xml:space="preserve">is the cost of the common prefix of the two root paths. Service costs cancel from this overlap. Let</w:t>
      </w:r>
      <w:r>
        <w:t xml:space="preserve"> </w:t>
      </w:r>
      <m:oMath>
        <m:r>
          <m:rPr>
            <m:sty m:val="p"/>
          </m:rPr>
          <m:t>𝒯</m:t>
        </m:r>
        <m:d>
          <m:dPr>
            <m:begChr m:val="("/>
            <m:endChr m:val=")"/>
            <m:sepChr m:val=""/>
            <m:grow/>
          </m:dPr>
          <m:e>
            <m:r>
              <m:t>S</m:t>
            </m:r>
          </m:e>
        </m:d>
      </m:oMath>
      <w:r>
        <w:t xml:space="preserve"> </w:t>
      </w:r>
      <w:r>
        <w:t xml:space="preserve">denote the spanning trees of the complete graph on</w:t>
      </w:r>
      <w:r>
        <w:t xml:space="preserve"> </w:t>
      </w:r>
      <m:oMath>
        <m:r>
          <m:t>S</m:t>
        </m:r>
      </m:oMath>
      <w:r>
        <w:t xml:space="preserve">, when</w:t>
      </w:r>
      <w:r>
        <w:t xml:space="preserve"> </w:t>
      </w:r>
      <m:oMath>
        <m:box>
          <m:e>
            <m:r>
              <m:rPr>
                <m:sty m:val="p"/>
              </m:rPr>
              <m:t>|</m:t>
            </m:r>
            <m:r>
              <m:t>S</m:t>
            </m:r>
            <m:r>
              <m:rPr>
                <m:sty m:val="p"/>
              </m:rPr>
              <m:t>|</m:t>
            </m:r>
          </m:e>
        </m:box>
        <m:r>
          <m:rPr>
            <m:sty m:val="p"/>
          </m:rPr>
          <m:t>≥</m:t>
        </m:r>
        <m:r>
          <m:t>2</m:t>
        </m:r>
      </m:oMath>
      <w:r>
        <w:t xml:space="preserve">.</w:t>
      </w:r>
    </w:p>
    <w:p>
      <w:pPr>
        <w:pStyle w:val="BodyText"/>
      </w:pPr>
      <w:r>
        <w:t xml:space="preserve">The model describes shared activation or setup expenses. These expenses need not equal packet traffic, inference tokens, or wall-clock latency.</w:t>
      </w:r>
    </w:p>
    <w:bookmarkEnd w:id="30"/>
    <w:bookmarkStart w:id="31" w:name="compatibility-and-marginal-costs"/>
    <w:p>
      <w:pPr>
        <w:pStyle w:val="Heading2"/>
      </w:pPr>
      <w:r>
        <w:t xml:space="preserve">2.2. Compatibility and marginal costs</w:t>
      </w:r>
    </w:p>
    <w:p>
      <w:pPr>
        <w:pStyle w:val="FirstParagraph"/>
        <w:keepNext/>
        <w:spacing w:before="140" w:after="100"/>
      </w:pPr>
      <w:r>
        <w:rPr>
          <w:bCs/>
          <w:b/>
        </w:rPr>
        <w:t xml:space="preserve">Proposition 2.1 — Rooted-tree compatibility.</w:t>
      </w:r>
      <w:r>
        <w:t xml:space="preserve"> </w:t>
      </w:r>
      <w:r>
        <w:t xml:space="preserve">A singleton and pair table admits a representation of the form (2) if and only if</w:t>
      </w:r>
      <w:r>
        <w:t xml:space="preserve"> </w:t>
      </w:r>
      <m:oMath>
        <m:sSub>
          <m:e>
            <m:r>
              <m:t>c</m:t>
            </m:r>
          </m:e>
          <m:sub>
            <m:r>
              <m:t>i</m:t>
            </m:r>
          </m:sub>
        </m:sSub>
        <m:r>
          <m:rPr>
            <m:sty m:val="p"/>
          </m:rPr>
          <m:t>≥</m:t>
        </m:r>
        <m:r>
          <m:t>0</m:t>
        </m:r>
      </m:oMath>
      <w:r>
        <w:t xml:space="preserve">, the overlaps are symmetric, and</w:t>
      </w:r>
    </w:p>
    <w:p>
      <w:pPr>
        <w:pStyle w:val="Equation"/>
        <w:tabs>
          <w:tab w:pos="4680" w:val="center"/>
          <w:tab w:pos="9792" w:val="right"/>
        </w:tabs>
        <w:jc w:val="left"/>
      </w:pPr>
      <w:r>
        <w:tab/>
      </w:r>
      <m:oMath>
        <m:r>
          <m:t>0</m:t>
        </m:r>
        <m:r>
          <m:rPr>
            <m:sty m:val="p"/>
          </m:rPr>
          <m:t>≤</m:t>
        </m:r>
        <m:sSub>
          <m:e>
            <m:r>
              <m:t>o</m:t>
            </m:r>
          </m:e>
          <m:sub>
            <m:r>
              <m:t>i</m:t>
            </m:r>
            <m:r>
              <m:t>j</m:t>
            </m:r>
          </m:sub>
        </m:sSub>
        <m:r>
          <m:rPr>
            <m:sty m:val="p"/>
          </m:rPr>
          <m:t>≤</m:t>
        </m:r>
        <m:r>
          <m:rPr>
            <m:sty m:val="p"/>
            <m:nor/>
          </m:rPr>
          <m:t>min</m:t>
        </m:r>
        <m:d>
          <m:dPr>
            <m:begChr m:val="("/>
            <m:endChr m:val=")"/>
            <m:sepChr m:val=""/>
            <m:grow/>
          </m:dPr>
          <m:e>
            <m:sSub>
              <m:e>
                <m:r>
                  <m:t>c</m:t>
                </m:r>
              </m:e>
              <m:sub>
                <m:r>
                  <m:t>i</m:t>
                </m:r>
              </m:sub>
            </m:sSub>
            <m:r>
              <m:rPr>
                <m:sty m:val="p"/>
              </m:rPr>
              <m:t>,</m:t>
            </m:r>
            <m:sSub>
              <m:e>
                <m:r>
                  <m:t>c</m:t>
                </m:r>
              </m:e>
              <m:sub>
                <m:r>
                  <m:t>j</m:t>
                </m:r>
              </m:sub>
            </m:sSub>
          </m:e>
        </m:d>
        <m:r>
          <m:rPr>
            <m:sty m:val="p"/>
          </m:rPr>
          <m:t>,</m:t>
        </m:r>
        <m:r>
          <m:t>  </m:t>
        </m:r>
        <m:sSub>
          <m:e>
            <m:r>
              <m:t>o</m:t>
            </m:r>
          </m:e>
          <m:sub>
            <m:r>
              <m:t>i</m:t>
            </m:r>
            <m:r>
              <m:t>j</m:t>
            </m:r>
          </m:sub>
        </m:sSub>
        <m:r>
          <m:rPr>
            <m:sty m:val="p"/>
          </m:rPr>
          <m:t>≥</m:t>
        </m:r>
        <m:r>
          <m:rPr>
            <m:sty m:val="p"/>
            <m:nor/>
          </m:rPr>
          <m:t>min</m:t>
        </m:r>
        <m:d>
          <m:dPr>
            <m:begChr m:val="("/>
            <m:endChr m:val=")"/>
            <m:sepChr m:val=""/>
            <m:grow/>
          </m:dPr>
          <m:e>
            <m:sSub>
              <m:e>
                <m:r>
                  <m:t>o</m:t>
                </m:r>
              </m:e>
              <m:sub>
                <m:r>
                  <m:t>i</m:t>
                </m:r>
                <m:r>
                  <m:t>k</m:t>
                </m:r>
              </m:sub>
            </m:sSub>
            <m:r>
              <m:rPr>
                <m:sty m:val="p"/>
              </m:rPr>
              <m:t>,</m:t>
            </m:r>
            <m:sSub>
              <m:e>
                <m:r>
                  <m:t>o</m:t>
                </m:r>
              </m:e>
              <m:sub>
                <m:r>
                  <m:t>j</m:t>
                </m:r>
                <m:r>
                  <m:t>k</m:t>
                </m:r>
              </m:sub>
            </m:sSub>
          </m:e>
        </m:d>
      </m:oMath>
      <w:r>
        <w:tab/>
        <w:t>(4)</w:t>
      </w:r>
    </w:p>
    <w:p>
      <w:pPr>
        <w:pStyle w:val="BodyText"/>
        <w:keepNext/>
      </w:pPr>
      <w:r>
        <w:t xml:space="preserve">for distinct relevant indices. Under these conditions,</w:t>
      </w:r>
    </w:p>
    <w:p>
      <w:pPr>
        <w:pStyle w:val="Equation"/>
        <w:tabs>
          <w:tab w:pos="4680" w:val="center"/>
          <w:tab w:pos="9792" w:val="right"/>
        </w:tabs>
        <w:jc w:val="left"/>
      </w:pPr>
      <w:r>
        <w:tab/>
      </w:r>
      <m:oMath>
        <m:r>
          <m:t>F</m:t>
        </m:r>
        <m:d>
          <m:dPr>
            <m:begChr m:val="("/>
            <m:endChr m:val=")"/>
            <m:sepChr m:val=""/>
            <m:grow/>
          </m:dPr>
          <m:e>
            <m:r>
              <m:t>A</m:t>
            </m:r>
            <m:r>
              <m:rPr>
                <m:sty m:val="p"/>
              </m:rPr>
              <m:t>∪</m:t>
            </m:r>
            <m:r>
              <m:rPr>
                <m:sty m:val="p"/>
              </m:rPr>
              <m:t>{</m:t>
            </m:r>
            <m:r>
              <m:t>j</m:t>
            </m:r>
            <m:r>
              <m:rPr>
                <m:sty m:val="p"/>
              </m:rPr>
              <m:t>}</m:t>
            </m:r>
          </m:e>
        </m:d>
        <m:r>
          <m:rPr>
            <m:sty m:val="p"/>
          </m:rPr>
          <m:t>−</m:t>
        </m:r>
        <m:r>
          <m:t>F</m:t>
        </m:r>
        <m:d>
          <m:dPr>
            <m:begChr m:val="("/>
            <m:endChr m:val=")"/>
            <m:sepChr m:val=""/>
            <m:grow/>
          </m:dPr>
          <m:e>
            <m:r>
              <m:t>A</m:t>
            </m:r>
          </m:e>
        </m:d>
        <m:r>
          <m:rPr>
            <m:sty m:val="p"/>
          </m:rPr>
          <m:t>=</m:t>
        </m:r>
        <m:sSub>
          <m:e>
            <m:r>
              <m:t>c</m:t>
            </m:r>
          </m:e>
          <m:sub>
            <m:r>
              <m:t>j</m:t>
            </m:r>
          </m:sub>
        </m:sSub>
        <m:r>
          <m:rPr>
            <m:sty m:val="p"/>
          </m:rPr>
          <m:t>−</m:t>
        </m:r>
        <m:limLow>
          <m:e>
            <m:r>
              <m:rPr>
                <m:sty m:val="p"/>
                <m:nor/>
              </m:rPr>
              <m:t>max</m:t>
            </m:r>
          </m:e>
          <m:lim>
            <m:r>
              <m:t>i</m:t>
            </m:r>
            <m:r>
              <m:rPr>
                <m:sty m:val="p"/>
              </m:rPr>
              <m:t>∈</m:t>
            </m:r>
            <m:r>
              <m:t>A</m:t>
            </m:r>
          </m:lim>
        </m:limLow>
        <m:sSub>
          <m:e>
            <m:r>
              <m:t>o</m:t>
            </m:r>
          </m:e>
          <m:sub>
            <m:r>
              <m:t>i</m:t>
            </m:r>
            <m:r>
              <m:t>j</m:t>
            </m:r>
          </m:sub>
        </m:sSub>
        <m:r>
          <m:rPr>
            <m:sty m:val="p"/>
          </m:rPr>
          <m:t>,</m:t>
        </m:r>
        <m:r>
          <m:t>  </m:t>
        </m:r>
        <m:r>
          <m:t>j</m:t>
        </m:r>
        <m:r>
          <m:rPr>
            <m:sty m:val="p"/>
          </m:rPr>
          <m:t>∉</m:t>
        </m:r>
        <m:r>
          <m:t>A</m:t>
        </m:r>
        <m:r>
          <m:rPr>
            <m:sty m:val="p"/>
          </m:rPr>
          <m:t>,</m:t>
        </m:r>
      </m:oMath>
      <w:r>
        <w:tab/>
        <w:t>(5)</w:t>
      </w:r>
    </w:p>
    <w:p>
      <w:pPr>
        <w:pStyle w:val="BodyText"/>
      </w:pPr>
      <w:r>
        <w:t xml:space="preserve">where the maximum over the empty set is zero.</w:t>
      </w:r>
    </w:p>
    <w:p>
      <w:pPr>
        <w:pStyle w:val="BodyText"/>
      </w:pPr>
      <w:r>
        <w:rPr>
          <w:iCs/>
          <w:i/>
        </w:rPr>
        <w:t xml:space="preserve">Proof.</w:t>
      </w:r>
      <w:r>
        <w:t xml:space="preserve"> </w:t>
      </w:r>
      <w:r>
        <w:t xml:space="preserve">In a rooted tree, intersections of root paths are common prefixes. Their lengths give the bounds in (4). If the paths to</w:t>
      </w:r>
      <w:r>
        <w:t xml:space="preserve"> </w:t>
      </w:r>
      <m:oMath>
        <m:r>
          <m:t>i</m:t>
        </m:r>
      </m:oMath>
      <w:r>
        <w:t xml:space="preserve"> </w:t>
      </w:r>
      <w:r>
        <w:t xml:space="preserve">and</w:t>
      </w:r>
      <w:r>
        <w:t xml:space="preserve"> </w:t>
      </w:r>
      <m:oMath>
        <m:r>
          <m:t>k</m:t>
        </m:r>
      </m:oMath>
      <w:r>
        <w:t xml:space="preserve"> </w:t>
      </w:r>
      <w:r>
        <w:t xml:space="preserve">agree to depth</w:t>
      </w:r>
      <w:r>
        <w:t xml:space="preserve"> </w:t>
      </w:r>
      <m:oMath>
        <m:r>
          <m:t>u</m:t>
        </m:r>
      </m:oMath>
      <w:r>
        <w:t xml:space="preserve">, and those to</w:t>
      </w:r>
      <w:r>
        <w:t xml:space="preserve"> </w:t>
      </w:r>
      <m:oMath>
        <m:r>
          <m:t>j</m:t>
        </m:r>
      </m:oMath>
      <w:r>
        <w:t xml:space="preserve"> </w:t>
      </w:r>
      <w:r>
        <w:t xml:space="preserve">and</w:t>
      </w:r>
      <w:r>
        <w:t xml:space="preserve"> </w:t>
      </w:r>
      <m:oMath>
        <m:r>
          <m:t>k</m:t>
        </m:r>
      </m:oMath>
      <w:r>
        <w:t xml:space="preserve"> </w:t>
      </w:r>
      <w:r>
        <w:t xml:space="preserve">agree to depth</w:t>
      </w:r>
      <w:r>
        <w:t xml:space="preserve"> </w:t>
      </w:r>
      <m:oMath>
        <m:r>
          <m:t>v</m:t>
        </m:r>
      </m:oMath>
      <w:r>
        <w:t xml:space="preserve">, the paths to</w:t>
      </w:r>
      <w:r>
        <w:t xml:space="preserve"> </w:t>
      </w:r>
      <m:oMath>
        <m:r>
          <m:t>i</m:t>
        </m:r>
      </m:oMath>
      <w:r>
        <w:t xml:space="preserve"> </w:t>
      </w:r>
      <w:r>
        <w:t xml:space="preserve">and</w:t>
      </w:r>
      <w:r>
        <w:t xml:space="preserve"> </w:t>
      </w:r>
      <m:oMath>
        <m:r>
          <m:t>j</m:t>
        </m:r>
      </m:oMath>
      <w:r>
        <w:t xml:space="preserve"> </w:t>
      </w:r>
      <w:r>
        <w:t xml:space="preserve">agree to depth at least</w:t>
      </w:r>
      <w:r>
        <w:t xml:space="preserve"> </w:t>
      </w:r>
      <m:oMath>
        <m:r>
          <m:rPr>
            <m:sty m:val="p"/>
            <m:nor/>
          </m:rPr>
          <m:t>min</m:t>
        </m:r>
        <m:d>
          <m:dPr>
            <m:begChr m:val="("/>
            <m:endChr m:val=")"/>
            <m:sepChr m:val=""/>
            <m:grow/>
          </m:dPr>
          <m:e>
            <m:r>
              <m:t>u</m:t>
            </m:r>
            <m:r>
              <m:rPr>
                <m:sty m:val="p"/>
              </m:rPr>
              <m:t>,</m:t>
            </m:r>
            <m:r>
              <m:t>v</m:t>
            </m:r>
          </m:e>
        </m:d>
      </m:oMath>
      <w:r>
        <w:t xml:space="preserve">. This proves the last inequality.</w:t>
      </w:r>
    </w:p>
    <w:p>
      <w:pPr>
        <w:pStyle w:val="BodyText"/>
      </w:pPr>
      <w:r>
        <w:t xml:space="preserve">Conversely, at height</w:t>
      </w:r>
      <w:r>
        <w:t xml:space="preserve"> </w:t>
      </w:r>
      <m:oMath>
        <m:r>
          <m:t>t</m:t>
        </m:r>
        <m:r>
          <m:rPr>
            <m:sty m:val="p"/>
          </m:rPr>
          <m:t>≥</m:t>
        </m:r>
        <m:r>
          <m:t>0</m:t>
        </m:r>
      </m:oMath>
      <w:r>
        <w:t xml:space="preserve">, group distinct labels satisfying</w:t>
      </w:r>
      <w:r>
        <w:t xml:space="preserve"> </w:t>
      </w:r>
      <m:oMath>
        <m:sSub>
          <m:e>
            <m:r>
              <m:t>o</m:t>
            </m:r>
          </m:e>
          <m:sub>
            <m:r>
              <m:t>i</m:t>
            </m:r>
            <m:r>
              <m:t>j</m:t>
            </m:r>
          </m:sub>
        </m:sSub>
        <m:r>
          <m:rPr>
            <m:sty m:val="p"/>
          </m:rPr>
          <m:t>≥</m:t>
        </m:r>
        <m:r>
          <m:t>t</m:t>
        </m:r>
      </m:oMath>
      <w:r>
        <w:t xml:space="preserve">, retaining each label as equivalent to itself. The last inequality in (4) makes these groups equivalence classes. As</w:t>
      </w:r>
      <w:r>
        <w:t xml:space="preserve"> </w:t>
      </w:r>
      <m:oMath>
        <m:r>
          <m:t>t</m:t>
        </m:r>
      </m:oMath>
      <w:r>
        <w:t xml:space="preserve"> </w:t>
      </w:r>
      <w:r>
        <w:t xml:space="preserve">increases, the classes refine and form a hierarchy.</w:t>
      </w:r>
    </w:p>
    <w:p>
      <w:pPr>
        <w:pStyle w:val="BodyText"/>
      </w:pPr>
      <w:r>
        <w:t xml:space="preserve">Realize this hierarchy as a rooted tree whose branching depths are the distinct overlap values, with root depth zero. Place label</w:t>
      </w:r>
      <w:r>
        <w:t xml:space="preserve"> </w:t>
      </w:r>
      <m:oMath>
        <m:r>
          <m:t>i</m:t>
        </m:r>
      </m:oMath>
      <w:r>
        <w:t xml:space="preserve"> </w:t>
      </w:r>
      <w:r>
        <w:t xml:space="preserve">at depth</w:t>
      </w:r>
      <w:r>
        <w:t xml:space="preserve"> </w:t>
      </w:r>
      <m:oMath>
        <m:sSub>
          <m:e>
            <m:r>
              <m:t>c</m:t>
            </m:r>
          </m:e>
          <m:sub>
            <m:r>
              <m:t>i</m:t>
            </m:r>
          </m:sub>
        </m:sSub>
      </m:oMath>
      <w:r>
        <w:t xml:space="preserve">. Every nontrivial class containing</w:t>
      </w:r>
      <w:r>
        <w:t xml:space="preserve"> </w:t>
      </w:r>
      <m:oMath>
        <m:r>
          <m:t>i</m:t>
        </m:r>
      </m:oMath>
      <w:r>
        <w:t xml:space="preserve"> </w:t>
      </w:r>
      <w:r>
        <w:t xml:space="preserve">occurs at depth at most</w:t>
      </w:r>
      <w:r>
        <w:t xml:space="preserve"> </w:t>
      </w:r>
      <m:oMath>
        <m:sSub>
          <m:e>
            <m:r>
              <m:t>c</m:t>
            </m:r>
          </m:e>
          <m:sub>
            <m:r>
              <m:t>i</m:t>
            </m:r>
          </m:sub>
        </m:sSub>
      </m:oMath>
      <w:r>
        <w:t xml:space="preserve">, so all edge lengths are nonnegative. Zero-length edges accommodate tied depths. The resulting common-prefix depths are exactly</w:t>
      </w:r>
      <w:r>
        <w:t xml:space="preserve"> </w:t>
      </w:r>
      <m:oMath>
        <m:sSub>
          <m:e>
            <m:r>
              <m:t>o</m:t>
            </m:r>
          </m:e>
          <m:sub>
            <m:r>
              <m:t>i</m:t>
            </m:r>
            <m:r>
              <m:t>j</m:t>
            </m:r>
          </m:sub>
        </m:sSub>
      </m:oMath>
      <w:r>
        <w:t xml:space="preserve">, giving the prescribed individual and pair costs.</w:t>
      </w:r>
    </w:p>
    <w:p>
      <w:pPr>
        <w:pStyle w:val="BodyText"/>
      </w:pPr>
      <w:r>
        <w:t xml:space="preserve">Finally, the intersection of</w:t>
      </w:r>
      <w:r>
        <w:t xml:space="preserve"> </w:t>
      </w:r>
      <m:oMath>
        <m:sSub>
          <m:e>
            <m:r>
              <m:t>P</m:t>
            </m:r>
          </m:e>
          <m:sub>
            <m:r>
              <m:t>j</m:t>
            </m:r>
          </m:sub>
        </m:sSub>
      </m:oMath>
      <w:r>
        <w:t xml:space="preserve"> </w:t>
      </w:r>
      <w:r>
        <w:t xml:space="preserve">with the union of previously activated paths is its longest common prefix with those paths. Subtracting this already-paid length from</w:t>
      </w:r>
      <w:r>
        <w:t xml:space="preserve"> </w:t>
      </w:r>
      <m:oMath>
        <m:sSub>
          <m:e>
            <m:r>
              <m:t>c</m:t>
            </m:r>
          </m:e>
          <m:sub>
            <m:r>
              <m:t>j</m:t>
            </m:r>
          </m:sub>
        </m:sSub>
      </m:oMath>
      <w:r>
        <w:t xml:space="preserve"> </w:t>
      </w:r>
      <w:r>
        <w:t xml:space="preserve">proves (5).</w:t>
      </w:r>
      <w:r>
        <w:t xml:space="preserve"> </w:t>
      </w:r>
      <m:oMath>
        <m:r>
          <m:rPr>
            <m:sty m:val="p"/>
          </m:rPr>
          <m:t>▫</m:t>
        </m:r>
      </m:oMath>
    </w:p>
    <w:p>
      <w:pPr>
        <w:pStyle w:val="BodyText"/>
      </w:pPr>
      <w:r>
        <w:t xml:space="preserve">This construction uses the established correspondence between hierarchical similarities and rooted trees [5,22]. It identifies the set-cost function. A physical subdivision of edges, or a separate decomposition into service and communication expenses, need not be identifiable.</w:t>
      </w:r>
    </w:p>
    <w:bookmarkEnd w:id="31"/>
    <w:bookmarkStart w:id="32" w:name="reconstruction-from-pairs"/>
    <w:p>
      <w:pPr>
        <w:pStyle w:val="Heading2"/>
      </w:pPr>
      <w:r>
        <w:t xml:space="preserve">2.3. Reconstruction from pairs</w:t>
      </w:r>
    </w:p>
    <w:p>
      <w:pPr>
        <w:pStyle w:val="FirstParagraph"/>
        <w:keepNext/>
        <w:spacing w:before="140" w:after="100"/>
      </w:pPr>
      <w:r>
        <w:rPr>
          <w:bCs/>
          <w:b/>
        </w:rPr>
        <w:t xml:space="preserve">Proposition 2.2 — Spanning-tree reconstruction.</w:t>
      </w:r>
      <w:r>
        <w:t xml:space="preserve"> </w:t>
      </w:r>
      <w:r>
        <w:t xml:space="preserve">For every</w:t>
      </w:r>
      <w:r>
        <w:t xml:space="preserve"> </w:t>
      </w:r>
      <m:oMath>
        <m:r>
          <m:t>S</m:t>
        </m:r>
        <m:r>
          <m:rPr>
            <m:sty m:val="p"/>
          </m:rPr>
          <m:t>⊆</m:t>
        </m:r>
        <m:r>
          <m:t>N</m:t>
        </m:r>
      </m:oMath>
      <w:r>
        <w:t xml:space="preserve"> </w:t>
      </w:r>
      <w:r>
        <w:t xml:space="preserve">with</w:t>
      </w:r>
      <w:r>
        <w:t xml:space="preserve"> </w:t>
      </w:r>
      <m:oMath>
        <m:r>
          <m:t>m</m:t>
        </m:r>
        <m:r>
          <m:rPr>
            <m:sty m:val="p"/>
          </m:rPr>
          <m:t>=</m:t>
        </m:r>
        <m:box>
          <m:e>
            <m:r>
              <m:rPr>
                <m:sty m:val="p"/>
              </m:rPr>
              <m:t>|</m:t>
            </m:r>
            <m:r>
              <m:t>S</m:t>
            </m:r>
            <m:r>
              <m:rPr>
                <m:sty m:val="p"/>
              </m:rPr>
              <m:t>|</m:t>
            </m:r>
          </m:e>
        </m:box>
        <m:r>
          <m:rPr>
            <m:sty m:val="p"/>
          </m:rPr>
          <m:t>≥</m:t>
        </m:r>
        <m:r>
          <m:t>2</m:t>
        </m:r>
      </m:oMath>
      <w:r>
        <w:t xml:space="preserve">,</w:t>
      </w:r>
    </w:p>
    <w:p>
      <w:pPr>
        <w:pStyle w:val="Equation"/>
        <w:tabs>
          <w:tab w:pos="4680" w:val="center"/>
          <w:tab w:pos="9792" w:val="right"/>
        </w:tabs>
        <w:jc w:val="left"/>
      </w:pPr>
      <w:r>
        <w:tab/>
      </w:r>
      <m:oMath>
        <m:r>
          <m:t>F</m:t>
        </m:r>
        <m:d>
          <m:dPr>
            <m:begChr m:val="("/>
            <m:endChr m:val=")"/>
            <m:sepChr m:val=""/>
            <m:grow/>
          </m:dPr>
          <m:e>
            <m:r>
              <m:t>S</m:t>
            </m:r>
          </m:e>
        </m:d>
        <m:r>
          <m:rPr>
            <m:sty m:val="p"/>
          </m:rPr>
          <m:t>=</m:t>
        </m:r>
        <m:nary>
          <m:naryPr>
            <m:chr m:val="∑"/>
            <m:limLoc m:val="undOvr"/>
            <m:subHide m:val="off"/>
            <m:supHide m:val="on"/>
          </m:naryPr>
          <m:sub>
            <m:r>
              <m:t>i</m:t>
            </m:r>
            <m:r>
              <m:rPr>
                <m:sty m:val="p"/>
              </m:rPr>
              <m:t>∈</m:t>
            </m:r>
            <m:r>
              <m:t>S</m:t>
            </m:r>
          </m:sub>
          <m:sup>
            <m:r>
              <m:t>​</m:t>
            </m:r>
          </m:sup>
          <m:e>
            <m:sSub>
              <m:e>
                <m:r>
                  <m:t>c</m:t>
                </m:r>
              </m:e>
              <m:sub>
                <m:r>
                  <m:t>i</m:t>
                </m:r>
              </m:sub>
            </m:sSub>
          </m:e>
        </m:nary>
        <m:r>
          <m:rPr>
            <m:sty m:val="p"/>
          </m:rPr>
          <m:t>−</m:t>
        </m:r>
        <m:limLow>
          <m:e>
            <m:r>
              <m:rPr>
                <m:sty m:val="p"/>
                <m:nor/>
              </m:rPr>
              <m:t>max</m:t>
            </m:r>
          </m:e>
          <m:lim>
            <m:r>
              <m:t>M</m:t>
            </m:r>
            <m:r>
              <m:rPr>
                <m:sty m:val="p"/>
              </m:rPr>
              <m:t>∈</m:t>
            </m:r>
            <m:r>
              <m:rPr>
                <m:sty m:val="p"/>
              </m:rPr>
              <m:t>𝒯</m:t>
            </m:r>
            <m:d>
              <m:dPr>
                <m:begChr m:val="("/>
                <m:endChr m:val=")"/>
                <m:sepChr m:val=""/>
                <m:grow/>
              </m:dPr>
              <m:e>
                <m:r>
                  <m:t>S</m:t>
                </m:r>
              </m:e>
            </m:d>
          </m:lim>
        </m:limLow>
        <m:nary>
          <m:naryPr>
            <m:chr m:val="∑"/>
            <m:limLoc m:val="undOvr"/>
            <m:subHide m:val="off"/>
            <m:supHide m:val="on"/>
          </m:naryPr>
          <m:sub>
            <m:r>
              <m:rPr>
                <m:sty m:val="p"/>
              </m:rPr>
              <m:t>{</m:t>
            </m:r>
            <m:r>
              <m:t>i</m:t>
            </m:r>
            <m:r>
              <m:rPr>
                <m:sty m:val="p"/>
              </m:rPr>
              <m:t>,</m:t>
            </m:r>
            <m:r>
              <m:t>j</m:t>
            </m:r>
            <m:r>
              <m:rPr>
                <m:sty m:val="p"/>
              </m:rPr>
              <m:t>}</m:t>
            </m:r>
            <m:r>
              <m:rPr>
                <m:sty m:val="p"/>
              </m:rPr>
              <m:t>∈</m:t>
            </m:r>
            <m:r>
              <m:t>E</m:t>
            </m:r>
            <m:d>
              <m:dPr>
                <m:begChr m:val="("/>
                <m:endChr m:val=")"/>
                <m:sepChr m:val=""/>
                <m:grow/>
              </m:dPr>
              <m:e>
                <m:r>
                  <m:t>M</m:t>
                </m:r>
              </m:e>
            </m:d>
          </m:sub>
          <m:sup>
            <m:r>
              <m:t>​</m:t>
            </m:r>
          </m:sup>
          <m:e>
            <m:sSub>
              <m:e>
                <m:r>
                  <m:t>o</m:t>
                </m:r>
              </m:e>
              <m:sub>
                <m:r>
                  <m:t>i</m:t>
                </m:r>
                <m:r>
                  <m:t>j</m:t>
                </m:r>
              </m:sub>
            </m:sSub>
          </m:e>
        </m:nary>
        <m:r>
          <m:rPr>
            <m:sty m:val="p"/>
          </m:rPr>
          <m:t>.</m:t>
        </m:r>
      </m:oMath>
      <w:r>
        <w:tab/>
        <w:t>(6)</w:t>
      </w:r>
    </w:p>
    <w:p>
      <w:pPr>
        <w:pStyle w:val="BodyText"/>
        <w:keepNext/>
      </w:pPr>
      <w:r>
        <w:t xml:space="preserve">Equivalently,</w:t>
      </w:r>
    </w:p>
    <w:p>
      <w:pPr>
        <w:pStyle w:val="Equation"/>
        <w:tabs>
          <w:tab w:pos="4680" w:val="center"/>
          <w:tab w:pos="9792" w:val="right"/>
        </w:tabs>
        <w:jc w:val="left"/>
      </w:pPr>
      <w:r>
        <w:tab/>
      </w:r>
      <m:oMath>
        <m:r>
          <m:t>F</m:t>
        </m:r>
        <m:d>
          <m:dPr>
            <m:begChr m:val="("/>
            <m:endChr m:val=")"/>
            <m:sepChr m:val=""/>
            <m:grow/>
          </m:dPr>
          <m:e>
            <m:r>
              <m:t>S</m:t>
            </m:r>
          </m:e>
        </m:d>
        <m:r>
          <m:rPr>
            <m:sty m:val="p"/>
          </m:rPr>
          <m:t>=</m:t>
        </m:r>
        <m:limLow>
          <m:e>
            <m:r>
              <m:rPr>
                <m:sty m:val="p"/>
                <m:nor/>
              </m:rPr>
              <m:t>min</m:t>
            </m:r>
          </m:e>
          <m:lim>
            <m:r>
              <m:t>M</m:t>
            </m:r>
            <m:r>
              <m:rPr>
                <m:sty m:val="p"/>
              </m:rPr>
              <m:t>∈</m:t>
            </m:r>
            <m:r>
              <m:rPr>
                <m:sty m:val="p"/>
              </m:rPr>
              <m:t>𝒯</m:t>
            </m:r>
            <m:d>
              <m:dPr>
                <m:begChr m:val="("/>
                <m:endChr m:val=")"/>
                <m:sepChr m:val=""/>
                <m:grow/>
              </m:dPr>
              <m:e>
                <m:r>
                  <m:t>S</m:t>
                </m:r>
              </m:e>
            </m:d>
          </m:lim>
        </m:limLow>
        <m:box>
          <m:e>
            <m:r>
              <m:rPr>
                <m:sty m:val="p"/>
              </m:rPr>
              <m:t>[</m:t>
            </m:r>
            <m:nary>
              <m:naryPr>
                <m:chr m:val="∑"/>
                <m:limLoc m:val="undOvr"/>
                <m:subHide m:val="off"/>
                <m:supHide m:val="on"/>
              </m:naryPr>
              <m:sub>
                <m:r>
                  <m:rPr>
                    <m:sty m:val="p"/>
                  </m:rPr>
                  <m:t>{</m:t>
                </m:r>
                <m:r>
                  <m:t>i</m:t>
                </m:r>
                <m:r>
                  <m:rPr>
                    <m:sty m:val="p"/>
                  </m:rPr>
                  <m:t>,</m:t>
                </m:r>
                <m:r>
                  <m:t>j</m:t>
                </m:r>
                <m:r>
                  <m:rPr>
                    <m:sty m:val="p"/>
                  </m:rPr>
                  <m:t>}</m:t>
                </m:r>
                <m:r>
                  <m:rPr>
                    <m:sty m:val="p"/>
                  </m:rPr>
                  <m:t>∈</m:t>
                </m:r>
                <m:r>
                  <m:t>E</m:t>
                </m:r>
                <m:d>
                  <m:dPr>
                    <m:begChr m:val="("/>
                    <m:endChr m:val=")"/>
                    <m:sepChr m:val=""/>
                    <m:grow/>
                  </m:dPr>
                  <m:e>
                    <m:r>
                      <m:t>M</m:t>
                    </m:r>
                  </m:e>
                </m:d>
              </m:sub>
              <m:sup>
                <m:r>
                  <m:t>​</m:t>
                </m:r>
              </m:sup>
              <m:e>
                <m:sSub>
                  <m:e>
                    <m:r>
                      <m:t>c</m:t>
                    </m:r>
                  </m:e>
                  <m:sub>
                    <m:r>
                      <m:t>i</m:t>
                    </m:r>
                    <m:r>
                      <m:t>j</m:t>
                    </m:r>
                  </m:sub>
                </m:sSub>
              </m:e>
            </m:nary>
            <m:r>
              <m:rPr>
                <m:sty m:val="p"/>
              </m:rPr>
              <m:t>−</m:t>
            </m:r>
            <m:nary>
              <m:naryPr>
                <m:chr m:val="∑"/>
                <m:limLoc m:val="undOvr"/>
                <m:subHide m:val="off"/>
                <m:supHide m:val="on"/>
              </m:naryPr>
              <m:sub>
                <m:r>
                  <m:t>i</m:t>
                </m:r>
                <m:r>
                  <m:rPr>
                    <m:sty m:val="p"/>
                  </m:rPr>
                  <m:t>∈</m:t>
                </m:r>
                <m:r>
                  <m:t>S</m:t>
                </m:r>
              </m:sub>
              <m:sup>
                <m:r>
                  <m:t>​</m:t>
                </m:r>
              </m:sup>
              <m:e>
                <m:r>
                  <m:rPr>
                    <m:sty m:val="p"/>
                  </m:rPr>
                  <m:t>(</m:t>
                </m:r>
              </m:e>
            </m:nary>
            <m:sSub>
              <m:e>
                <m:r>
                  <m:rPr>
                    <m:sty m:val="p"/>
                    <m:nor/>
                  </m:rPr>
                  <m:t>deg</m:t>
                </m:r>
              </m:e>
              <m:sub>
                <m:r>
                  <m:t>M</m:t>
                </m:r>
              </m:sub>
            </m:sSub>
            <m:d>
              <m:dPr>
                <m:begChr m:val="("/>
                <m:endChr m:val=")"/>
                <m:sepChr m:val=""/>
                <m:grow/>
              </m:dPr>
              <m:e>
                <m:r>
                  <m:t>i</m:t>
                </m:r>
              </m:e>
            </m:d>
            <m:r>
              <m:rPr>
                <m:sty m:val="p"/>
              </m:rPr>
              <m:t>−</m:t>
            </m:r>
            <m:r>
              <m:t>1</m:t>
            </m:r>
            <m:r>
              <m:rPr>
                <m:sty m:val="p"/>
              </m:rPr>
              <m:t>)</m:t>
            </m:r>
            <m:sSub>
              <m:e>
                <m:r>
                  <m:t>c</m:t>
                </m:r>
              </m:e>
              <m:sub>
                <m:r>
                  <m:t>i</m:t>
                </m:r>
              </m:sub>
            </m:sSub>
            <m:r>
              <m:rPr>
                <m:sty m:val="p"/>
              </m:rPr>
              <m:t>]</m:t>
            </m:r>
          </m:e>
        </m:box>
        <m:r>
          <m:rPr>
            <m:sty m:val="p"/>
          </m:rPr>
          <m:t>.</m:t>
        </m:r>
      </m:oMath>
      <w:r>
        <w:tab/>
        <w:t>(7)</w:t>
      </w:r>
    </w:p>
    <w:p>
      <w:pPr>
        <w:pStyle w:val="BodyText"/>
        <w:keepNext/>
      </w:pPr>
      <w:r>
        <w:rPr>
          <w:iCs/>
          <w:i/>
        </w:rPr>
        <w:t xml:space="preserve">Proof.</w:t>
      </w:r>
      <w:r>
        <w:t xml:space="preserve"> </w:t>
      </w:r>
      <w:r>
        <w:t xml:space="preserve">Let</w:t>
      </w:r>
      <w:r>
        <w:t xml:space="preserve"> </w:t>
      </w:r>
      <m:oMath>
        <m:r>
          <m:t>W</m:t>
        </m:r>
        <m:d>
          <m:dPr>
            <m:begChr m:val="("/>
            <m:endChr m:val=")"/>
            <m:sepChr m:val=""/>
            <m:grow/>
          </m:dPr>
          <m:e>
            <m:r>
              <m:t>S</m:t>
            </m:r>
          </m:e>
        </m:d>
      </m:oMath>
      <w:r>
        <w:t xml:space="preserve"> </w:t>
      </w:r>
      <w:r>
        <w:t xml:space="preserve">be the maximum spanning-tree weight in (6). Choose a pair</w:t>
      </w:r>
      <w:r>
        <w:t xml:space="preserve"> </w:t>
      </w:r>
      <m:oMath>
        <m:r>
          <m:t>i</m:t>
        </m:r>
        <m:r>
          <m:rPr>
            <m:sty m:val="p"/>
          </m:rPr>
          <m:t>,</m:t>
        </m:r>
        <m:r>
          <m:t>j</m:t>
        </m:r>
      </m:oMath>
      <w:r>
        <w:t xml:space="preserve"> </w:t>
      </w:r>
      <w:r>
        <w:t xml:space="preserve">of maximum overlap</w:t>
      </w:r>
      <w:r>
        <w:t xml:space="preserve"> </w:t>
      </w:r>
      <m:oMath>
        <m:r>
          <m:t>h</m:t>
        </m:r>
      </m:oMath>
      <w:r>
        <w:t xml:space="preserve"> </w:t>
      </w:r>
      <w:r>
        <w:t xml:space="preserve">in</w:t>
      </w:r>
      <w:r>
        <w:t xml:space="preserve"> </w:t>
      </w:r>
      <m:oMath>
        <m:r>
          <m:t>S</m:t>
        </m:r>
      </m:oMath>
      <w:r>
        <w:t xml:space="preserve">. Equation (5) gives</w:t>
      </w:r>
    </w:p>
    <w:p>
      <w:pPr>
        <w:pStyle w:val="Equation"/>
        <w:jc w:val="center"/>
      </w:pPr>
      <m:oMathPara>
        <m:oMathParaPr>
          <m:jc m:val="center"/>
        </m:oMathParaPr>
        <m:oMath>
          <m:r>
            <m:t>F</m:t>
          </m:r>
          <m:d>
            <m:dPr>
              <m:begChr m:val="("/>
              <m:endChr m:val=")"/>
              <m:sepChr m:val=""/>
              <m:grow/>
            </m:dPr>
            <m:e>
              <m:r>
                <m:t>S</m:t>
              </m:r>
            </m:e>
          </m:d>
          <m:r>
            <m:rPr>
              <m:sty m:val="p"/>
            </m:rPr>
            <m:t>=</m:t>
          </m:r>
          <m:r>
            <m:t>F</m:t>
          </m:r>
          <m:d>
            <m:dPr>
              <m:begChr m:val="("/>
              <m:endChr m:val=")"/>
              <m:sepChr m:val=""/>
              <m:grow/>
            </m:dPr>
            <m:e>
              <m:r>
                <m:t>S</m:t>
              </m:r>
              <m:r>
                <m:rPr>
                  <m:sty m:val="p"/>
                </m:rPr>
                <m:t>∖</m:t>
              </m:r>
              <m:r>
                <m:rPr>
                  <m:sty m:val="p"/>
                </m:rPr>
                <m:t>{</m:t>
              </m:r>
              <m:r>
                <m:t>j</m:t>
              </m:r>
              <m:r>
                <m:rPr>
                  <m:sty m:val="p"/>
                </m:rPr>
                <m:t>}</m:t>
              </m:r>
            </m:e>
          </m:d>
          <m:r>
            <m:rPr>
              <m:sty m:val="p"/>
            </m:rPr>
            <m:t>+</m:t>
          </m:r>
          <m:sSub>
            <m:e>
              <m:r>
                <m:t>c</m:t>
              </m:r>
            </m:e>
            <m:sub>
              <m:r>
                <m:t>j</m:t>
              </m:r>
            </m:sub>
          </m:sSub>
          <m:r>
            <m:rPr>
              <m:sty m:val="p"/>
            </m:rPr>
            <m:t>−</m:t>
          </m:r>
          <m:r>
            <m:t>h</m:t>
          </m:r>
          <m:r>
            <m:rPr>
              <m:sty m:val="p"/>
            </m:rPr>
            <m:t>.</m:t>
          </m:r>
        </m:oMath>
      </m:oMathPara>
    </w:p>
    <w:p>
      <w:pPr>
        <w:pStyle w:val="FirstParagraph"/>
      </w:pPr>
      <w:r>
        <w:t xml:space="preserve">There is a maximum-weight spanning tree containing edge</w:t>
      </w:r>
      <w:r>
        <w:t xml:space="preserve"> </w:t>
      </w:r>
      <m:oMath>
        <m:r>
          <m:t>i</m:t>
        </m:r>
        <m:r>
          <m:t>j</m:t>
        </m:r>
      </m:oMath>
      <w:r>
        <w:t xml:space="preserve">: adding this globally maximum-weight edge to a maximum tree and removing an edge from the resulting cycle cannot decrease its weight.</w:t>
      </w:r>
    </w:p>
    <w:p>
      <w:pPr>
        <w:pStyle w:val="BodyText"/>
        <w:keepNext/>
      </w:pPr>
      <w:r>
        <w:t xml:space="preserve">Moreover, (4) implies</w:t>
      </w:r>
      <w:r>
        <w:t xml:space="preserve"> </w:t>
      </w:r>
      <m:oMath>
        <m:sSub>
          <m:e>
            <m:r>
              <m:t>o</m:t>
            </m:r>
          </m:e>
          <m:sub>
            <m:r>
              <m:t>i</m:t>
            </m:r>
            <m:r>
              <m:t>k</m:t>
            </m:r>
          </m:sub>
        </m:sSub>
        <m:r>
          <m:rPr>
            <m:sty m:val="p"/>
          </m:rPr>
          <m:t>≥</m:t>
        </m:r>
        <m:sSub>
          <m:e>
            <m:r>
              <m:t>o</m:t>
            </m:r>
          </m:e>
          <m:sub>
            <m:r>
              <m:t>j</m:t>
            </m:r>
            <m:r>
              <m:t>k</m:t>
            </m:r>
          </m:sub>
        </m:sSub>
      </m:oMath>
      <w:r>
        <w:t xml:space="preserve"> </w:t>
      </w:r>
      <w:r>
        <w:t xml:space="preserve">for every</w:t>
      </w:r>
      <w:r>
        <w:t xml:space="preserve"> </w:t>
      </w:r>
      <m:oMath>
        <m:r>
          <m:t>k</m:t>
        </m:r>
        <m:r>
          <m:rPr>
            <m:sty m:val="p"/>
          </m:rPr>
          <m:t>∉</m:t>
        </m:r>
        <m:r>
          <m:rPr>
            <m:sty m:val="p"/>
          </m:rPr>
          <m:t>{</m:t>
        </m:r>
        <m:r>
          <m:t>i</m:t>
        </m:r>
        <m:r>
          <m:rPr>
            <m:sty m:val="p"/>
          </m:rPr>
          <m:t>,</m:t>
        </m:r>
        <m:r>
          <m:t>j</m:t>
        </m:r>
        <m:r>
          <m:rPr>
            <m:sty m:val="p"/>
          </m:rPr>
          <m:t>}</m:t>
        </m:r>
      </m:oMath>
      <w:r>
        <w:t xml:space="preserve">, since</w:t>
      </w:r>
      <w:r>
        <w:t xml:space="preserve"> </w:t>
      </w:r>
      <m:oMath>
        <m:r>
          <m:t>h</m:t>
        </m:r>
        <m:r>
          <m:rPr>
            <m:sty m:val="p"/>
          </m:rPr>
          <m:t>≥</m:t>
        </m:r>
        <m:sSub>
          <m:e>
            <m:r>
              <m:t>o</m:t>
            </m:r>
          </m:e>
          <m:sub>
            <m:r>
              <m:t>j</m:t>
            </m:r>
            <m:r>
              <m:t>k</m:t>
            </m:r>
          </m:sub>
        </m:sSub>
      </m:oMath>
      <w:r>
        <w:t xml:space="preserve">. In a maximum tree containing</w:t>
      </w:r>
      <w:r>
        <w:t xml:space="preserve"> </w:t>
      </w:r>
      <m:oMath>
        <m:r>
          <m:t>i</m:t>
        </m:r>
        <m:r>
          <m:t>j</m:t>
        </m:r>
      </m:oMath>
      <w:r>
        <w:t xml:space="preserve">, replace every other edge</w:t>
      </w:r>
      <w:r>
        <w:t xml:space="preserve"> </w:t>
      </w:r>
      <m:oMath>
        <m:r>
          <m:t>j</m:t>
        </m:r>
        <m:r>
          <m:t>k</m:t>
        </m:r>
      </m:oMath>
      <w:r>
        <w:t xml:space="preserve"> </w:t>
      </w:r>
      <w:r>
        <w:t xml:space="preserve">by</w:t>
      </w:r>
      <w:r>
        <w:t xml:space="preserve"> </w:t>
      </w:r>
      <m:oMath>
        <m:r>
          <m:t>i</m:t>
        </m:r>
        <m:r>
          <m:t>k</m:t>
        </m:r>
      </m:oMath>
      <w:r>
        <w:t xml:space="preserve">. The result remains a spanning tree, its weight does not decrease, and</w:t>
      </w:r>
      <w:r>
        <w:t xml:space="preserve"> </w:t>
      </w:r>
      <m:oMath>
        <m:r>
          <m:t>j</m:t>
        </m:r>
      </m:oMath>
      <w:r>
        <w:t xml:space="preserve"> </w:t>
      </w:r>
      <w:r>
        <w:t xml:space="preserve">becomes a leaf. Its restriction to</w:t>
      </w:r>
      <w:r>
        <w:t xml:space="preserve"> </w:t>
      </w:r>
      <m:oMath>
        <m:r>
          <m:t>S</m:t>
        </m:r>
        <m:r>
          <m:rPr>
            <m:sty m:val="p"/>
          </m:rPr>
          <m:t>∖</m:t>
        </m:r>
        <m:r>
          <m:rPr>
            <m:sty m:val="p"/>
          </m:rPr>
          <m:t>{</m:t>
        </m:r>
        <m:r>
          <m:t>j</m:t>
        </m:r>
        <m:r>
          <m:rPr>
            <m:sty m:val="p"/>
          </m:rPr>
          <m:t>}</m:t>
        </m:r>
      </m:oMath>
      <w:r>
        <w:t xml:space="preserve"> </w:t>
      </w:r>
      <w:r>
        <w:t xml:space="preserve">must also be maximum. Consequently,</w:t>
      </w:r>
    </w:p>
    <w:p>
      <w:pPr>
        <w:pStyle w:val="Equation"/>
        <w:jc w:val="center"/>
      </w:pPr>
      <m:oMathPara>
        <m:oMathParaPr>
          <m:jc m:val="center"/>
        </m:oMathParaPr>
        <m:oMath>
          <m:r>
            <m:t>W</m:t>
          </m:r>
          <m:d>
            <m:dPr>
              <m:begChr m:val="("/>
              <m:endChr m:val=")"/>
              <m:sepChr m:val=""/>
              <m:grow/>
            </m:dPr>
            <m:e>
              <m:r>
                <m:t>S</m:t>
              </m:r>
            </m:e>
          </m:d>
          <m:r>
            <m:rPr>
              <m:sty m:val="p"/>
            </m:rPr>
            <m:t>=</m:t>
          </m:r>
          <m:r>
            <m:t>W</m:t>
          </m:r>
          <m:d>
            <m:dPr>
              <m:begChr m:val="("/>
              <m:endChr m:val=")"/>
              <m:sepChr m:val=""/>
              <m:grow/>
            </m:dPr>
            <m:e>
              <m:r>
                <m:t>S</m:t>
              </m:r>
              <m:r>
                <m:rPr>
                  <m:sty m:val="p"/>
                </m:rPr>
                <m:t>∖</m:t>
              </m:r>
              <m:r>
                <m:rPr>
                  <m:sty m:val="p"/>
                </m:rPr>
                <m:t>{</m:t>
              </m:r>
              <m:r>
                <m:t>j</m:t>
              </m:r>
              <m:r>
                <m:rPr>
                  <m:sty m:val="p"/>
                </m:rPr>
                <m:t>}</m:t>
              </m:r>
            </m:e>
          </m:d>
          <m:r>
            <m:rPr>
              <m:sty m:val="p"/>
            </m:rPr>
            <m:t>+</m:t>
          </m:r>
          <m:r>
            <m:t>h</m:t>
          </m:r>
          <m:r>
            <m:rPr>
              <m:sty m:val="p"/>
            </m:rPr>
            <m:t>.</m:t>
          </m:r>
        </m:oMath>
      </m:oMathPara>
    </w:p>
    <w:p>
      <w:pPr>
        <w:pStyle w:val="FirstParagraph"/>
      </w:pPr>
      <w:r>
        <w:t xml:space="preserve">Induction, beginning with a singleton of spanning-tree weight zero, proves (6). Substituting (3) and collecting singleton coefficients proves (7).</w:t>
      </w:r>
      <w:r>
        <w:t xml:space="preserve"> </w:t>
      </w:r>
      <m:oMath>
        <m:r>
          <m:rPr>
            <m:sty m:val="p"/>
          </m:rPr>
          <m:t>▫</m:t>
        </m:r>
      </m:oMath>
    </w:p>
    <w:p>
      <w:pPr>
        <w:pStyle w:val="BodyText"/>
      </w:pPr>
      <w:r>
        <w:t xml:space="preserve">The expression has the same spanning-tree structure as Hunter’s union bound [12]; rooted-path structure makes it exact. A dense maximum-spanning-tree algorithm evaluates a specified</w:t>
      </w:r>
      <w:r>
        <w:t xml:space="preserve"> </w:t>
      </w:r>
      <m:oMath>
        <m:r>
          <m:t>m</m:t>
        </m:r>
      </m:oMath>
      <w:r>
        <w:t xml:space="preserve">-source cost in</w:t>
      </w:r>
      <w:r>
        <w:t xml:space="preserve"> </w:t>
      </w:r>
      <m:oMath>
        <m:r>
          <m:t>O</m:t>
        </m:r>
        <m:d>
          <m:dPr>
            <m:begChr m:val="("/>
            <m:endChr m:val=")"/>
            <m:sepChr m:val=""/>
            <m:grow/>
          </m:dPr>
          <m:e>
            <m:sSup>
              <m:e>
                <m:r>
                  <m:t>m</m:t>
                </m:r>
              </m:e>
              <m:sup>
                <m:r>
                  <m:t>2</m:t>
                </m:r>
              </m:sup>
            </m:sSup>
          </m:e>
        </m:d>
      </m:oMath>
      <w:r>
        <w:t xml:space="preserve"> </w:t>
      </w:r>
      <w:r>
        <w:t xml:space="preserve">arithmetic operations. All subset costs are represented by</w:t>
      </w:r>
      <w:r>
        <w:t xml:space="preserve"> </w:t>
      </w:r>
      <m:oMath>
        <m:r>
          <m:t>O</m:t>
        </m:r>
        <m:d>
          <m:dPr>
            <m:begChr m:val="("/>
            <m:endChr m:val=")"/>
            <m:sepChr m:val=""/>
            <m:grow/>
          </m:dPr>
          <m:e>
            <m:sSup>
              <m:e>
                <m:r>
                  <m:t>n</m:t>
                </m:r>
              </m:e>
              <m:sup>
                <m:r>
                  <m:t>2</m:t>
                </m:r>
              </m:sup>
            </m:sSup>
          </m:e>
        </m:d>
      </m:oMath>
      <w:r>
        <w:t xml:space="preserve"> </w:t>
      </w:r>
      <w:r>
        <w:t xml:space="preserve">measurements, although explicitly listing them requires exponential space.</w:t>
      </w:r>
    </w:p>
    <w:bookmarkEnd w:id="32"/>
    <w:bookmarkEnd w:id="33"/>
    <w:bookmarkStart w:id="39" w:name="minimax-recovery-under-measurement-error"/>
    <w:p>
      <w:pPr>
        <w:pStyle w:val="Heading1"/>
      </w:pPr>
      <w:r>
        <w:t xml:space="preserve">3. Minimax recovery under measurement error</w:t>
      </w:r>
    </w:p>
    <w:p>
      <w:pPr>
        <w:pStyle w:val="FirstParagraph"/>
        <w:keepNext/>
      </w:pPr>
      <w:r>
        <w:t xml:space="preserve">Suppose measurements satisfy</w:t>
      </w:r>
    </w:p>
    <w:p>
      <w:pPr>
        <w:pStyle w:val="Equation"/>
        <w:tabs>
          <w:tab w:pos="4680" w:val="center"/>
          <w:tab w:pos="9792" w:val="right"/>
        </w:tabs>
        <w:jc w:val="left"/>
      </w:pPr>
      <w:r>
        <w:tab/>
      </w:r>
      <m:oMath>
        <m:box>
          <m:e>
            <m:r>
              <m:rPr>
                <m:sty m:val="p"/>
              </m:rPr>
              <m:t>|</m:t>
            </m:r>
            <m:sSub>
              <m:e>
                <m:acc>
                  <m:accPr>
                    <m:chr m:val="̃"/>
                  </m:accPr>
                  <m:e>
                    <m:r>
                      <m:t>c</m:t>
                    </m:r>
                  </m:e>
                </m:acc>
              </m:e>
              <m:sub>
                <m:r>
                  <m:t>i</m:t>
                </m:r>
              </m:sub>
            </m:sSub>
            <m:r>
              <m:rPr>
                <m:sty m:val="p"/>
              </m:rPr>
              <m:t>−</m:t>
            </m:r>
            <m:sSub>
              <m:e>
                <m:r>
                  <m:t>c</m:t>
                </m:r>
              </m:e>
              <m:sub>
                <m:r>
                  <m:t>i</m:t>
                </m:r>
              </m:sub>
            </m:sSub>
            <m:r>
              <m:rPr>
                <m:sty m:val="p"/>
              </m:rPr>
              <m:t>|</m:t>
            </m:r>
          </m:e>
        </m:box>
        <m:r>
          <m:rPr>
            <m:sty m:val="p"/>
          </m:rPr>
          <m:t>≤</m:t>
        </m:r>
        <m:r>
          <m:t>ε</m:t>
        </m:r>
        <m:r>
          <m:rPr>
            <m:sty m:val="p"/>
          </m:rPr>
          <m:t>,</m:t>
        </m:r>
        <m:r>
          <m:t>  </m:t>
        </m:r>
        <m:box>
          <m:e>
            <m:r>
              <m:rPr>
                <m:sty m:val="p"/>
              </m:rPr>
              <m:t>|</m:t>
            </m:r>
            <m:sSub>
              <m:e>
                <m:acc>
                  <m:accPr>
                    <m:chr m:val="̃"/>
                  </m:accPr>
                  <m:e>
                    <m:r>
                      <m:t>c</m:t>
                    </m:r>
                  </m:e>
                </m:acc>
              </m:e>
              <m:sub>
                <m:r>
                  <m:t>i</m:t>
                </m:r>
                <m:r>
                  <m:t>j</m:t>
                </m:r>
              </m:sub>
            </m:sSub>
            <m:r>
              <m:rPr>
                <m:sty m:val="p"/>
              </m:rPr>
              <m:t>−</m:t>
            </m:r>
            <m:sSub>
              <m:e>
                <m:r>
                  <m:t>c</m:t>
                </m:r>
              </m:e>
              <m:sub>
                <m:r>
                  <m:t>i</m:t>
                </m:r>
                <m:r>
                  <m:t>j</m:t>
                </m:r>
              </m:sub>
            </m:sSub>
            <m:r>
              <m:rPr>
                <m:sty m:val="p"/>
              </m:rPr>
              <m:t>|</m:t>
            </m:r>
          </m:e>
        </m:box>
        <m:r>
          <m:rPr>
            <m:sty m:val="p"/>
          </m:rPr>
          <m:t>≤</m:t>
        </m:r>
        <m:r>
          <m:t>ε</m:t>
        </m:r>
        <m:r>
          <m:rPr>
            <m:sty m:val="p"/>
          </m:rPr>
          <m:t>.</m:t>
        </m:r>
      </m:oMath>
      <w:r>
        <w:tab/>
        <w:t>(8)</w:t>
      </w:r>
    </w:p>
    <w:p>
      <w:pPr>
        <w:pStyle w:val="BodyText"/>
      </w:pPr>
      <w:r>
        <w:t xml:space="preserve">The measured table need not satisfy (4). Define</w:t>
      </w:r>
      <w:r>
        <w:t xml:space="preserve"> </w:t>
      </w:r>
      <m:oMath>
        <m:r>
          <m:t>H</m:t>
        </m:r>
        <m:d>
          <m:dPr>
            <m:begChr m:val="("/>
            <m:endChr m:val=")"/>
            <m:sepChr m:val=""/>
            <m:grow/>
          </m:dPr>
          <m:e>
            <m:r>
              <m:rPr>
                <m:sty m:val="p"/>
              </m:rPr>
              <m:t>⌀</m:t>
            </m:r>
          </m:e>
        </m:d>
        <m:r>
          <m:rPr>
            <m:sty m:val="p"/>
          </m:rPr>
          <m:t>=</m:t>
        </m:r>
        <m:r>
          <m:t>0</m:t>
        </m:r>
      </m:oMath>
      <w:r>
        <w:t xml:space="preserve">,</w:t>
      </w:r>
      <w:r>
        <w:t xml:space="preserve"> </w:t>
      </w:r>
      <m:oMath>
        <m:r>
          <m:t>H</m:t>
        </m:r>
        <m:d>
          <m:dPr>
            <m:begChr m:val="("/>
            <m:endChr m:val=")"/>
            <m:sepChr m:val=""/>
            <m:grow/>
          </m:dPr>
          <m:e>
            <m:r>
              <m:rPr>
                <m:sty m:val="p"/>
              </m:rPr>
              <m:t>{</m:t>
            </m:r>
            <m:r>
              <m:t>i</m:t>
            </m:r>
            <m:r>
              <m:rPr>
                <m:sty m:val="p"/>
              </m:rPr>
              <m:t>}</m:t>
            </m:r>
          </m:e>
        </m:d>
        <m:r>
          <m:rPr>
            <m:sty m:val="p"/>
          </m:rPr>
          <m:t>=</m:t>
        </m:r>
        <m:sSub>
          <m:e>
            <m:acc>
              <m:accPr>
                <m:chr m:val="̃"/>
              </m:accPr>
              <m:e>
                <m:r>
                  <m:t>c</m:t>
                </m:r>
              </m:e>
            </m:acc>
          </m:e>
          <m:sub>
            <m:r>
              <m:t>i</m:t>
            </m:r>
          </m:sub>
        </m:sSub>
      </m:oMath>
      <w:r>
        <w:t xml:space="preserve">, and, for</w:t>
      </w:r>
      <w:r>
        <w:t xml:space="preserve"> </w:t>
      </w:r>
      <m:oMath>
        <m:box>
          <m:e>
            <m:r>
              <m:rPr>
                <m:sty m:val="p"/>
              </m:rPr>
              <m:t>|</m:t>
            </m:r>
            <m:r>
              <m:t>S</m:t>
            </m:r>
            <m:r>
              <m:rPr>
                <m:sty m:val="p"/>
              </m:rPr>
              <m:t>|</m:t>
            </m:r>
          </m:e>
        </m:box>
        <m:r>
          <m:rPr>
            <m:sty m:val="p"/>
          </m:rPr>
          <m:t>≥</m:t>
        </m:r>
        <m:r>
          <m:t>2</m:t>
        </m:r>
      </m:oMath>
      <w:r>
        <w:t xml:space="preserve">, define</w:t>
      </w:r>
      <w:r>
        <w:t xml:space="preserve"> </w:t>
      </w:r>
      <m:oMath>
        <m:r>
          <m:t>H</m:t>
        </m:r>
        <m:d>
          <m:dPr>
            <m:begChr m:val="("/>
            <m:endChr m:val=")"/>
            <m:sepChr m:val=""/>
            <m:grow/>
          </m:dPr>
          <m:e>
            <m:r>
              <m:t>S</m:t>
            </m:r>
          </m:e>
        </m:d>
      </m:oMath>
      <w:r>
        <w:t xml:space="preserve"> </w:t>
      </w:r>
      <w:r>
        <w:t xml:space="preserve">by the right side of (7) using measured values.</w:t>
      </w:r>
    </w:p>
    <w:bookmarkStart w:id="34" w:name="exact-recovery-radius"/>
    <w:p>
      <w:pPr>
        <w:pStyle w:val="Heading2"/>
      </w:pPr>
      <w:r>
        <w:t xml:space="preserve">3.1. Exact recovery radius</w:t>
      </w:r>
    </w:p>
    <w:p>
      <w:pPr>
        <w:pStyle w:val="FirstParagraph"/>
        <w:keepNext/>
        <w:spacing w:before="140" w:after="100"/>
      </w:pPr>
      <w:r>
        <w:rPr>
          <w:bCs/>
          <w:b/>
        </w:rPr>
        <w:t xml:space="preserve">Theorem 3.1 — Sharp error bound and minimax optimality.</w:t>
      </w:r>
      <w:r>
        <w:t xml:space="preserve"> </w:t>
      </w:r>
      <w:r>
        <w:t xml:space="preserve">Set</w:t>
      </w:r>
    </w:p>
    <w:p>
      <w:pPr>
        <w:pStyle w:val="Equation"/>
        <w:jc w:val="center"/>
      </w:pPr>
      <m:oMathPara>
        <m:oMathParaPr>
          <m:jc m:val="center"/>
        </m:oMathParaPr>
        <m:oMath>
          <m:sSub>
            <m:e>
              <m:r>
                <m:t>α</m:t>
              </m:r>
            </m:e>
            <m:sub>
              <m:r>
                <m:t>0</m:t>
              </m:r>
            </m:sub>
          </m:sSub>
          <m:r>
            <m:rPr>
              <m:sty m:val="p"/>
            </m:rPr>
            <m:t>=</m:t>
          </m:r>
          <m:r>
            <m:t>0</m:t>
          </m:r>
          <m:r>
            <m:rPr>
              <m:sty m:val="p"/>
            </m:rPr>
            <m:t>,</m:t>
          </m:r>
          <m:r>
            <m:t>  </m:t>
          </m:r>
          <m:sSub>
            <m:e>
              <m:r>
                <m:t>α</m:t>
              </m:r>
            </m:e>
            <m:sub>
              <m:r>
                <m:t>1</m:t>
              </m:r>
            </m:sub>
          </m:sSub>
          <m:r>
            <m:rPr>
              <m:sty m:val="p"/>
            </m:rPr>
            <m:t>=</m:t>
          </m:r>
          <m:r>
            <m:t>1</m:t>
          </m:r>
          <m:r>
            <m:rPr>
              <m:sty m:val="p"/>
            </m:rPr>
            <m:t>,</m:t>
          </m:r>
          <m:r>
            <m:t>  </m:t>
          </m:r>
          <m:sSub>
            <m:e>
              <m:r>
                <m:t>α</m:t>
              </m:r>
            </m:e>
            <m:sub>
              <m:r>
                <m:t>m</m:t>
              </m:r>
            </m:sub>
          </m:sSub>
          <m:r>
            <m:rPr>
              <m:sty m:val="p"/>
            </m:rPr>
            <m:t>=</m:t>
          </m:r>
          <m:r>
            <m:t>2</m:t>
          </m:r>
          <m:r>
            <m:t>m</m:t>
          </m:r>
          <m:r>
            <m:rPr>
              <m:sty m:val="p"/>
            </m:rPr>
            <m:t>−</m:t>
          </m:r>
          <m:r>
            <m:t>3</m:t>
          </m:r>
          <m:r>
            <m:t> </m:t>
          </m:r>
          <m:d>
            <m:dPr>
              <m:begChr m:val="("/>
              <m:endChr m:val=")"/>
              <m:sepChr m:val=""/>
              <m:grow/>
            </m:dPr>
            <m:e>
              <m:r>
                <m:t>m</m:t>
              </m:r>
              <m:r>
                <m:rPr>
                  <m:sty m:val="p"/>
                </m:rPr>
                <m:t>≥</m:t>
              </m:r>
              <m:r>
                <m:t>2</m:t>
              </m:r>
            </m:e>
          </m:d>
          <m:r>
            <m:rPr>
              <m:sty m:val="p"/>
            </m:rPr>
            <m:t>.</m:t>
          </m:r>
        </m:oMath>
      </m:oMathPara>
    </w:p>
    <w:p>
      <w:pPr>
        <w:pStyle w:val="FirstParagraph"/>
        <w:keepNext/>
      </w:pPr>
      <w:r>
        <w:t xml:space="preserve">Then</w:t>
      </w:r>
    </w:p>
    <w:p>
      <w:pPr>
        <w:pStyle w:val="Equation"/>
        <w:tabs>
          <w:tab w:pos="4680" w:val="center"/>
          <w:tab w:pos="9792" w:val="right"/>
        </w:tabs>
        <w:jc w:val="left"/>
      </w:pPr>
      <w:r>
        <w:tab/>
      </w:r>
      <m:oMath>
        <m:box>
          <m:e>
            <m:r>
              <m:rPr>
                <m:sty m:val="p"/>
              </m:rPr>
              <m:t>|</m:t>
            </m:r>
            <m:r>
              <m:t>H</m:t>
            </m:r>
            <m:d>
              <m:dPr>
                <m:begChr m:val="("/>
                <m:endChr m:val=")"/>
                <m:sepChr m:val=""/>
                <m:grow/>
              </m:dPr>
              <m:e>
                <m:r>
                  <m:t>S</m:t>
                </m:r>
              </m:e>
            </m:d>
            <m:r>
              <m:rPr>
                <m:sty m:val="p"/>
              </m:rPr>
              <m:t>−</m:t>
            </m:r>
            <m:r>
              <m:t>F</m:t>
            </m:r>
            <m:d>
              <m:dPr>
                <m:begChr m:val="("/>
                <m:endChr m:val=")"/>
                <m:sepChr m:val=""/>
                <m:grow/>
              </m:dPr>
              <m:e>
                <m:r>
                  <m:t>S</m:t>
                </m:r>
              </m:e>
            </m:d>
            <m:r>
              <m:rPr>
                <m:sty m:val="p"/>
              </m:rPr>
              <m:t>|</m:t>
            </m:r>
          </m:e>
        </m:box>
        <m:r>
          <m:rPr>
            <m:sty m:val="p"/>
          </m:rPr>
          <m:t>≤</m:t>
        </m:r>
        <m:sSub>
          <m:e>
            <m:r>
              <m:t>α</m:t>
            </m:r>
          </m:e>
          <m:sub>
            <m:box>
              <m:e>
                <m:r>
                  <m:rPr>
                    <m:sty m:val="p"/>
                  </m:rPr>
                  <m:t>|</m:t>
                </m:r>
                <m:r>
                  <m:t>S</m:t>
                </m:r>
                <m:r>
                  <m:rPr>
                    <m:sty m:val="p"/>
                  </m:rPr>
                  <m:t>|</m:t>
                </m:r>
              </m:e>
            </m:box>
          </m:sub>
        </m:sSub>
        <m:r>
          <m:t>ε</m:t>
        </m:r>
        <m:r>
          <m:rPr>
            <m:sty m:val="p"/>
          </m:rPr>
          <m:t>.</m:t>
        </m:r>
      </m:oMath>
      <w:r>
        <w:tab/>
        <w:t>(9)</w:t>
      </w:r>
    </w:p>
    <w:p>
      <w:pPr>
        <w:pStyle w:val="BodyText"/>
      </w:pPr>
      <w:r>
        <w:t xml:space="preserve">For each</w:t>
      </w:r>
      <w:r>
        <w:t xml:space="preserve"> </w:t>
      </w:r>
      <m:oMath>
        <m:r>
          <m:t>m</m:t>
        </m:r>
        <m:r>
          <m:rPr>
            <m:sty m:val="p"/>
          </m:rPr>
          <m:t>≥</m:t>
        </m:r>
        <m:r>
          <m:t>2</m:t>
        </m:r>
      </m:oMath>
      <w:r>
        <w:t xml:space="preserve">, the coefficient</w:t>
      </w:r>
      <w:r>
        <w:t xml:space="preserve"> </w:t>
      </w:r>
      <m:oMath>
        <m:r>
          <m:t>2</m:t>
        </m:r>
        <m:r>
          <m:t>m</m:t>
        </m:r>
        <m:r>
          <m:rPr>
            <m:sty m:val="p"/>
          </m:rPr>
          <m:t>−</m:t>
        </m:r>
        <m:r>
          <m:t>3</m:t>
        </m:r>
      </m:oMath>
      <w:r>
        <w:t xml:space="preserve"> </w:t>
      </w:r>
      <w:r>
        <w:t xml:space="preserve">cannot be reduced by replacing</w:t>
      </w:r>
      <w:r>
        <w:t xml:space="preserve"> </w:t>
      </w:r>
      <m:oMath>
        <m:r>
          <m:t>H</m:t>
        </m:r>
      </m:oMath>
      <w:r>
        <w:t xml:space="preserve"> </w:t>
      </w:r>
      <w:r>
        <w:t xml:space="preserve">with any other estimator based only on the individual and pairwise measurements.</w:t>
      </w:r>
    </w:p>
    <w:p>
      <w:pPr>
        <w:pStyle w:val="BodyText"/>
        <w:keepNext/>
      </w:pPr>
      <w:r>
        <w:rPr>
          <w:iCs/>
          <w:i/>
        </w:rPr>
        <w:t xml:space="preserve">Proof.</w:t>
      </w:r>
      <w:r>
        <w:t xml:space="preserve"> </w:t>
      </w:r>
      <w:r>
        <w:t xml:space="preserve">Fix</w:t>
      </w:r>
      <w:r>
        <w:t xml:space="preserve"> </w:t>
      </w:r>
      <m:oMath>
        <m:r>
          <m:t>S</m:t>
        </m:r>
      </m:oMath>
      <w:r>
        <w:t xml:space="preserve"> </w:t>
      </w:r>
      <w:r>
        <w:t xml:space="preserve">of size</w:t>
      </w:r>
      <w:r>
        <w:t xml:space="preserve"> </w:t>
      </w:r>
      <m:oMath>
        <m:r>
          <m:t>m</m:t>
        </m:r>
        <m:r>
          <m:rPr>
            <m:sty m:val="p"/>
          </m:rPr>
          <m:t>≥</m:t>
        </m:r>
        <m:r>
          <m:t>2</m:t>
        </m:r>
      </m:oMath>
      <w:r>
        <w:t xml:space="preserve">. Each spanning-tree expression in (7) contains</w:t>
      </w:r>
      <w:r>
        <w:t xml:space="preserve"> </w:t>
      </w:r>
      <m:oMath>
        <m:r>
          <m:t>m</m:t>
        </m:r>
        <m:r>
          <m:rPr>
            <m:sty m:val="p"/>
          </m:rPr>
          <m:t>−</m:t>
        </m:r>
        <m:r>
          <m:t>1</m:t>
        </m:r>
      </m:oMath>
      <w:r>
        <w:t xml:space="preserve"> </w:t>
      </w:r>
      <w:r>
        <w:t xml:space="preserve">pair terms with coefficient</w:t>
      </w:r>
      <w:r>
        <w:t xml:space="preserve"> </w:t>
      </w:r>
      <m:oMath>
        <m:r>
          <m:rPr>
            <m:sty m:val="p"/>
          </m:rPr>
          <m:t>+</m:t>
        </m:r>
        <m:r>
          <m:t>1</m:t>
        </m:r>
      </m:oMath>
      <w:r>
        <w:t xml:space="preserve">. Since every vertex has degree at least one,</w:t>
      </w:r>
    </w:p>
    <w:p>
      <w:pPr>
        <w:pStyle w:val="Equation"/>
        <w:jc w:val="center"/>
      </w:pPr>
      <m:oMathPara>
        <m:oMathParaPr>
          <m:jc m:val="center"/>
        </m:oMathParaPr>
        <m:oMath>
          <m:nary>
            <m:naryPr>
              <m:chr m:val="∑"/>
              <m:limLoc m:val="undOvr"/>
              <m:subHide m:val="off"/>
              <m:supHide m:val="on"/>
            </m:naryPr>
            <m:sub>
              <m:r>
                <m:t>i</m:t>
              </m:r>
              <m:r>
                <m:rPr>
                  <m:sty m:val="p"/>
                </m:rPr>
                <m:t>∈</m:t>
              </m:r>
              <m:r>
                <m:t>S</m:t>
              </m:r>
            </m:sub>
            <m:sup>
              <m:r>
                <m:t>​</m:t>
              </m:r>
            </m:sup>
            <m:e>
              <m:box>
                <m:e>
                  <m:r>
                    <m:rPr>
                      <m:sty m:val="p"/>
                    </m:rPr>
                    <m:t>|</m:t>
                  </m:r>
                  <m:sSub>
                    <m:e>
                      <m:r>
                        <m:rPr>
                          <m:sty m:val="p"/>
                          <m:nor/>
                        </m:rPr>
                        <m:t>deg</m:t>
                      </m:r>
                    </m:e>
                    <m:sub>
                      <m:r>
                        <m:t>M</m:t>
                      </m:r>
                    </m:sub>
                  </m:sSub>
                  <m:d>
                    <m:dPr>
                      <m:begChr m:val="("/>
                      <m:endChr m:val=")"/>
                      <m:sepChr m:val=""/>
                      <m:grow/>
                    </m:dPr>
                    <m:e>
                      <m:r>
                        <m:t>i</m:t>
                      </m:r>
                    </m:e>
                  </m:d>
                  <m:r>
                    <m:rPr>
                      <m:sty m:val="p"/>
                    </m:rPr>
                    <m:t>−</m:t>
                  </m:r>
                  <m:r>
                    <m:t>1</m:t>
                  </m:r>
                  <m:r>
                    <m:rPr>
                      <m:sty m:val="p"/>
                    </m:rPr>
                    <m:t>|</m:t>
                  </m:r>
                </m:e>
              </m:box>
            </m:e>
          </m:nary>
          <m:r>
            <m:rPr>
              <m:sty m:val="p"/>
            </m:rPr>
            <m:t>=</m:t>
          </m:r>
          <m:r>
            <m:t>2</m:t>
          </m:r>
          <m:d>
            <m:dPr>
              <m:begChr m:val="("/>
              <m:endChr m:val=")"/>
              <m:sepChr m:val=""/>
              <m:grow/>
            </m:dPr>
            <m:e>
              <m:r>
                <m:t>m</m:t>
              </m:r>
              <m:r>
                <m:rPr>
                  <m:sty m:val="p"/>
                </m:rPr>
                <m:t>−</m:t>
              </m:r>
              <m:r>
                <m:t>1</m:t>
              </m:r>
            </m:e>
          </m:d>
          <m:r>
            <m:rPr>
              <m:sty m:val="p"/>
            </m:rPr>
            <m:t>−</m:t>
          </m:r>
          <m:r>
            <m:t>m</m:t>
          </m:r>
          <m:r>
            <m:rPr>
              <m:sty m:val="p"/>
            </m:rPr>
            <m:t>=</m:t>
          </m:r>
          <m:r>
            <m:t>m</m:t>
          </m:r>
          <m:r>
            <m:rPr>
              <m:sty m:val="p"/>
            </m:rPr>
            <m:t>−</m:t>
          </m:r>
          <m:r>
            <m:t>2</m:t>
          </m:r>
          <m:r>
            <m:rPr>
              <m:sty m:val="p"/>
            </m:rPr>
            <m:t>.</m:t>
          </m:r>
        </m:oMath>
      </m:oMathPara>
    </w:p>
    <w:p>
      <w:pPr>
        <w:pStyle w:val="FirstParagraph"/>
        <w:keepNext/>
      </w:pPr>
      <w:r>
        <w:t xml:space="preserve">Thus each expression changes by at most</w:t>
      </w:r>
    </w:p>
    <w:p>
      <w:pPr>
        <w:pStyle w:val="Equation"/>
        <w:jc w:val="center"/>
      </w:pPr>
      <m:oMathPara>
        <m:oMathParaPr>
          <m:jc m:val="center"/>
        </m:oMathParaPr>
        <m:oMath>
          <m:d>
            <m:dPr>
              <m:begChr m:val="("/>
              <m:endChr m:val=")"/>
              <m:sepChr m:val=""/>
              <m:grow/>
            </m:dPr>
            <m:e>
              <m:r>
                <m:t>m</m:t>
              </m:r>
              <m:r>
                <m:rPr>
                  <m:sty m:val="p"/>
                </m:rPr>
                <m:t>−</m:t>
              </m:r>
              <m:r>
                <m:t>1</m:t>
              </m:r>
            </m:e>
          </m:d>
          <m:r>
            <m:t>ε</m:t>
          </m:r>
          <m:r>
            <m:rPr>
              <m:sty m:val="p"/>
            </m:rPr>
            <m:t>+</m:t>
          </m:r>
          <m:d>
            <m:dPr>
              <m:begChr m:val="("/>
              <m:endChr m:val=")"/>
              <m:sepChr m:val=""/>
              <m:grow/>
            </m:dPr>
            <m:e>
              <m:r>
                <m:t>m</m:t>
              </m:r>
              <m:r>
                <m:rPr>
                  <m:sty m:val="p"/>
                </m:rPr>
                <m:t>−</m:t>
              </m:r>
              <m:r>
                <m:t>2</m:t>
              </m:r>
            </m:e>
          </m:d>
          <m:r>
            <m:t>ε</m:t>
          </m:r>
          <m:r>
            <m:rPr>
              <m:sty m:val="p"/>
            </m:rPr>
            <m:t>=</m:t>
          </m:r>
          <m:d>
            <m:dPr>
              <m:begChr m:val="("/>
              <m:endChr m:val=")"/>
              <m:sepChr m:val=""/>
              <m:grow/>
            </m:dPr>
            <m:e>
              <m:r>
                <m:t>2</m:t>
              </m:r>
              <m:r>
                <m:t>m</m:t>
              </m:r>
              <m:r>
                <m:rPr>
                  <m:sty m:val="p"/>
                </m:rPr>
                <m:t>−</m:t>
              </m:r>
              <m:r>
                <m:t>3</m:t>
              </m:r>
            </m:e>
          </m:d>
          <m:r>
            <m:t>ε</m:t>
          </m:r>
          <m:r>
            <m:rPr>
              <m:sty m:val="p"/>
            </m:rPr>
            <m:t>.</m:t>
          </m:r>
        </m:oMath>
      </m:oMathPara>
    </w:p>
    <w:p>
      <w:pPr>
        <w:pStyle w:val="FirstParagraph"/>
      </w:pPr>
      <w:r>
        <w:t xml:space="preserve">If every member of a finite family of real numbers changes by at most</w:t>
      </w:r>
      <w:r>
        <w:t xml:space="preserve"> </w:t>
      </w:r>
      <m:oMath>
        <m:r>
          <m:t>d</m:t>
        </m:r>
      </m:oMath>
      <w:r>
        <w:t xml:space="preserve">, its minimum changes by at most</w:t>
      </w:r>
      <w:r>
        <w:t xml:space="preserve"> </w:t>
      </w:r>
      <m:oMath>
        <m:r>
          <m:t>d</m:t>
        </m:r>
      </m:oMath>
      <w:r>
        <w:t xml:space="preserve">. Applying this fact to (7) proves (9). The empty and singleton cases are immediate.</w:t>
      </w:r>
    </w:p>
    <w:p>
      <w:pPr>
        <w:pStyle w:val="BodyText"/>
        <w:keepNext/>
      </w:pPr>
      <w:r>
        <w:t xml:space="preserve">For the lower bound, consider</w:t>
      </w:r>
      <w:r>
        <w:t xml:space="preserve"> </w:t>
      </w:r>
      <m:oMath>
        <m:r>
          <m:t>m</m:t>
        </m:r>
      </m:oMath>
      <w:r>
        <w:t xml:space="preserve"> </w:t>
      </w:r>
      <w:r>
        <w:t xml:space="preserve">leaves sharing a trunk of length</w:t>
      </w:r>
      <w:r>
        <w:t xml:space="preserve"> </w:t>
      </w:r>
      <m:oMath>
        <m:r>
          <m:t>a</m:t>
        </m:r>
        <m:r>
          <m:rPr>
            <m:sty m:val="p"/>
          </m:rPr>
          <m:t>&gt;</m:t>
        </m:r>
        <m:r>
          <m:t>3</m:t>
        </m:r>
        <m:r>
          <m:t>ε</m:t>
        </m:r>
      </m:oMath>
      <w:r>
        <w:t xml:space="preserve">, with each pendant edge of length</w:t>
      </w:r>
      <w:r>
        <w:t xml:space="preserve"> </w:t>
      </w:r>
      <m:oMath>
        <m:r>
          <m:t>b</m:t>
        </m:r>
        <m:r>
          <m:rPr>
            <m:sty m:val="p"/>
          </m:rPr>
          <m:t>&gt;</m:t>
        </m:r>
        <m:r>
          <m:t>2</m:t>
        </m:r>
        <m:r>
          <m:t>ε</m:t>
        </m:r>
      </m:oMath>
      <w:r>
        <w:t xml:space="preserve">. Let the measured table be that of this central tree:</w:t>
      </w:r>
    </w:p>
    <w:p>
      <w:pPr>
        <w:pStyle w:val="Equation"/>
        <w:jc w:val="center"/>
      </w:pPr>
      <m:oMathPara>
        <m:oMathParaPr>
          <m:jc m:val="center"/>
        </m:oMathParaPr>
        <m:oMath>
          <m:sSub>
            <m:e>
              <m:acc>
                <m:accPr>
                  <m:chr m:val="̃"/>
                </m:accPr>
                <m:e>
                  <m:r>
                    <m:t>c</m:t>
                  </m:r>
                </m:e>
              </m:acc>
            </m:e>
            <m:sub>
              <m:r>
                <m:t>i</m:t>
              </m:r>
            </m:sub>
          </m:sSub>
          <m:r>
            <m:rPr>
              <m:sty m:val="p"/>
            </m:rPr>
            <m:t>=</m:t>
          </m:r>
          <m:r>
            <m:t>a</m:t>
          </m:r>
          <m:r>
            <m:rPr>
              <m:sty m:val="p"/>
            </m:rPr>
            <m:t>+</m:t>
          </m:r>
          <m:r>
            <m:t>b</m:t>
          </m:r>
          <m:r>
            <m:rPr>
              <m:sty m:val="p"/>
            </m:rPr>
            <m:t>,</m:t>
          </m:r>
          <m:r>
            <m:t>  </m:t>
          </m:r>
          <m:sSub>
            <m:e>
              <m:acc>
                <m:accPr>
                  <m:chr m:val="̃"/>
                </m:accPr>
                <m:e>
                  <m:r>
                    <m:t>c</m:t>
                  </m:r>
                </m:e>
              </m:acc>
            </m:e>
            <m:sub>
              <m:r>
                <m:t>i</m:t>
              </m:r>
              <m:r>
                <m:t>j</m:t>
              </m:r>
            </m:sub>
          </m:sSub>
          <m:r>
            <m:rPr>
              <m:sty m:val="p"/>
            </m:rPr>
            <m:t>=</m:t>
          </m:r>
          <m:r>
            <m:t>a</m:t>
          </m:r>
          <m:r>
            <m:rPr>
              <m:sty m:val="p"/>
            </m:rPr>
            <m:t>+</m:t>
          </m:r>
          <m:r>
            <m:t>2</m:t>
          </m:r>
          <m:r>
            <m:t>b</m:t>
          </m:r>
          <m:r>
            <m:rPr>
              <m:sty m:val="p"/>
            </m:rPr>
            <m:t>.</m:t>
          </m:r>
        </m:oMath>
      </m:oMathPara>
    </w:p>
    <w:p>
      <w:pPr>
        <w:pStyle w:val="FirstParagraph"/>
        <w:keepNext/>
      </w:pPr>
      <w:r>
        <w:t xml:space="preserve">Two possible true trees have trunk and pendant lengths</w:t>
      </w:r>
    </w:p>
    <w:p>
      <w:pPr>
        <w:pStyle w:val="Equation"/>
        <w:keepNext/>
        <w:jc w:val="center"/>
      </w:pPr>
      <m:oMathPara>
        <m:oMathParaPr>
          <m:jc m:val="center"/>
        </m:oMathParaPr>
        <m:oMath>
          <m:d>
            <m:dPr>
              <m:begChr m:val="("/>
              <m:endChr m:val=")"/>
              <m:sepChr m:val=""/>
              <m:grow/>
            </m:dPr>
            <m:e>
              <m:sSub>
                <m:e>
                  <m:r>
                    <m:t>a</m:t>
                  </m:r>
                </m:e>
                <m:sub>
                  <m:r>
                    <m:rPr>
                      <m:sty m:val="p"/>
                    </m:rPr>
                    <m:t>+</m:t>
                  </m:r>
                </m:sub>
              </m:sSub>
              <m:r>
                <m:rPr>
                  <m:sty m:val="p"/>
                </m:rPr>
                <m:t>,</m:t>
              </m:r>
              <m:sSub>
                <m:e>
                  <m:r>
                    <m:t>b</m:t>
                  </m:r>
                </m:e>
                <m:sub>
                  <m:r>
                    <m:rPr>
                      <m:sty m:val="p"/>
                    </m:rPr>
                    <m:t>+</m:t>
                  </m:r>
                </m:sub>
              </m:sSub>
            </m:e>
          </m:d>
          <m:r>
            <m:rPr>
              <m:sty m:val="p"/>
            </m:rPr>
            <m:t>=</m:t>
          </m:r>
          <m:d>
            <m:dPr>
              <m:begChr m:val="("/>
              <m:endChr m:val=")"/>
              <m:sepChr m:val=""/>
              <m:grow/>
            </m:dPr>
            <m:e>
              <m:r>
                <m:t>a</m:t>
              </m:r>
              <m:r>
                <m:rPr>
                  <m:sty m:val="p"/>
                </m:rPr>
                <m:t>−</m:t>
              </m:r>
              <m:r>
                <m:t>3</m:t>
              </m:r>
              <m:r>
                <m:t>ε</m:t>
              </m:r>
              <m:r>
                <m:rPr>
                  <m:sty m:val="p"/>
                </m:rPr>
                <m:t>,</m:t>
              </m:r>
              <m:r>
                <m:t>b</m:t>
              </m:r>
              <m:r>
                <m:rPr>
                  <m:sty m:val="p"/>
                </m:rPr>
                <m:t>+</m:t>
              </m:r>
              <m:r>
                <m:t>2</m:t>
              </m:r>
              <m:r>
                <m:t>ε</m:t>
              </m:r>
            </m:e>
          </m:d>
          <m:r>
            <m:rPr>
              <m:sty m:val="p"/>
            </m:rPr>
            <m:t>,</m:t>
          </m:r>
        </m:oMath>
      </m:oMathPara>
    </w:p>
    <w:p>
      <w:pPr>
        <w:pStyle w:val="Equation"/>
        <w:jc w:val="center"/>
      </w:pPr>
      <m:oMathPara>
        <m:oMathParaPr>
          <m:jc m:val="center"/>
        </m:oMathParaPr>
        <m:oMath>
          <m:d>
            <m:dPr>
              <m:begChr m:val="("/>
              <m:endChr m:val=")"/>
              <m:sepChr m:val=""/>
              <m:grow/>
            </m:dPr>
            <m:e>
              <m:sSub>
                <m:e>
                  <m:r>
                    <m:t>a</m:t>
                  </m:r>
                </m:e>
                <m:sub>
                  <m:r>
                    <m:rPr>
                      <m:sty m:val="p"/>
                    </m:rPr>
                    <m:t>−</m:t>
                  </m:r>
                </m:sub>
              </m:sSub>
              <m:r>
                <m:rPr>
                  <m:sty m:val="p"/>
                </m:rPr>
                <m:t>,</m:t>
              </m:r>
              <m:sSub>
                <m:e>
                  <m:r>
                    <m:t>b</m:t>
                  </m:r>
                </m:e>
                <m:sub>
                  <m:r>
                    <m:rPr>
                      <m:sty m:val="p"/>
                    </m:rPr>
                    <m:t>−</m:t>
                  </m:r>
                </m:sub>
              </m:sSub>
            </m:e>
          </m:d>
          <m:r>
            <m:rPr>
              <m:sty m:val="p"/>
            </m:rPr>
            <m:t>=</m:t>
          </m:r>
          <m:d>
            <m:dPr>
              <m:begChr m:val="("/>
              <m:endChr m:val=")"/>
              <m:sepChr m:val=""/>
              <m:grow/>
            </m:dPr>
            <m:e>
              <m:r>
                <m:t>a</m:t>
              </m:r>
              <m:r>
                <m:rPr>
                  <m:sty m:val="p"/>
                </m:rPr>
                <m:t>+</m:t>
              </m:r>
              <m:r>
                <m:t>3</m:t>
              </m:r>
              <m:r>
                <m:t>ε</m:t>
              </m:r>
              <m:r>
                <m:rPr>
                  <m:sty m:val="p"/>
                </m:rPr>
                <m:t>,</m:t>
              </m:r>
              <m:r>
                <m:t>b</m:t>
              </m:r>
              <m:r>
                <m:rPr>
                  <m:sty m:val="p"/>
                </m:rPr>
                <m:t>−</m:t>
              </m:r>
              <m:r>
                <m:t>2</m:t>
              </m:r>
              <m:r>
                <m:t>ε</m:t>
              </m:r>
            </m:e>
          </m:d>
          <m:r>
            <m:rPr>
              <m:sty m:val="p"/>
            </m:rPr>
            <m:t>.</m:t>
          </m:r>
        </m:oMath>
      </m:oMathPara>
    </w:p>
    <w:p>
      <w:pPr>
        <w:pStyle w:val="FirstParagraph"/>
      </w:pPr>
      <w:r>
        <w:t xml:space="preserve">All edge lengths are nonnegative. In the first tree, every singleton is lower than its measurement by</w:t>
      </w:r>
      <w:r>
        <w:t xml:space="preserve"> </w:t>
      </w:r>
      <m:oMath>
        <m:r>
          <m:t>ε</m:t>
        </m:r>
      </m:oMath>
      <w:r>
        <w:t xml:space="preserve">, while every pair is higher by</w:t>
      </w:r>
      <w:r>
        <w:t xml:space="preserve"> </w:t>
      </w:r>
      <m:oMath>
        <m:r>
          <m:t>ε</m:t>
        </m:r>
      </m:oMath>
      <w:r>
        <w:t xml:space="preserve">. The signs are reversed in the second tree. Both trees satisfy (8) for the same observed table.</w:t>
      </w:r>
    </w:p>
    <w:p>
      <w:pPr>
        <w:pStyle w:val="BodyText"/>
        <w:keepNext/>
      </w:pPr>
      <w:r>
        <w:t xml:space="preserve">Their full-set costs are</w:t>
      </w:r>
    </w:p>
    <w:p>
      <w:pPr>
        <w:pStyle w:val="Equation"/>
        <w:keepNext/>
        <w:jc w:val="center"/>
      </w:pPr>
      <m:oMathPara>
        <m:oMathParaPr>
          <m:jc m:val="center"/>
        </m:oMathParaPr>
        <m:oMath>
          <m:sSub>
            <m:e>
              <m:r>
                <m:t>F</m:t>
              </m:r>
            </m:e>
            <m:sub>
              <m:r>
                <m:rPr>
                  <m:sty m:val="p"/>
                </m:rPr>
                <m:t>+</m:t>
              </m:r>
            </m:sub>
          </m:sSub>
          <m:d>
            <m:dPr>
              <m:begChr m:val="("/>
              <m:endChr m:val=")"/>
              <m:sepChr m:val=""/>
              <m:grow/>
            </m:dPr>
            <m:e>
              <m:r>
                <m:t>N</m:t>
              </m:r>
            </m:e>
          </m:d>
          <m:r>
            <m:rPr>
              <m:sty m:val="p"/>
            </m:rPr>
            <m:t>=</m:t>
          </m:r>
          <m:r>
            <m:t>a</m:t>
          </m:r>
          <m:r>
            <m:rPr>
              <m:sty m:val="p"/>
            </m:rPr>
            <m:t>+</m:t>
          </m:r>
          <m:r>
            <m:t>m</m:t>
          </m:r>
          <m:r>
            <m:t>b</m:t>
          </m:r>
          <m:r>
            <m:rPr>
              <m:sty m:val="p"/>
            </m:rPr>
            <m:t>+</m:t>
          </m:r>
          <m:d>
            <m:dPr>
              <m:begChr m:val="("/>
              <m:endChr m:val=")"/>
              <m:sepChr m:val=""/>
              <m:grow/>
            </m:dPr>
            <m:e>
              <m:r>
                <m:t>2</m:t>
              </m:r>
              <m:r>
                <m:t>m</m:t>
              </m:r>
              <m:r>
                <m:rPr>
                  <m:sty m:val="p"/>
                </m:rPr>
                <m:t>−</m:t>
              </m:r>
              <m:r>
                <m:t>3</m:t>
              </m:r>
            </m:e>
          </m:d>
          <m:r>
            <m:t>ε</m:t>
          </m:r>
          <m:r>
            <m:rPr>
              <m:sty m:val="p"/>
            </m:rPr>
            <m:t>,</m:t>
          </m:r>
        </m:oMath>
      </m:oMathPara>
    </w:p>
    <w:p>
      <w:pPr>
        <w:pStyle w:val="Equation"/>
        <w:jc w:val="center"/>
      </w:pPr>
      <m:oMathPara>
        <m:oMathParaPr>
          <m:jc m:val="center"/>
        </m:oMathParaPr>
        <m:oMath>
          <m:sSub>
            <m:e>
              <m:r>
                <m:t>F</m:t>
              </m:r>
            </m:e>
            <m:sub>
              <m:r>
                <m:rPr>
                  <m:sty m:val="p"/>
                </m:rPr>
                <m:t>−</m:t>
              </m:r>
            </m:sub>
          </m:sSub>
          <m:d>
            <m:dPr>
              <m:begChr m:val="("/>
              <m:endChr m:val=")"/>
              <m:sepChr m:val=""/>
              <m:grow/>
            </m:dPr>
            <m:e>
              <m:r>
                <m:t>N</m:t>
              </m:r>
            </m:e>
          </m:d>
          <m:r>
            <m:rPr>
              <m:sty m:val="p"/>
            </m:rPr>
            <m:t>=</m:t>
          </m:r>
          <m:r>
            <m:t>a</m:t>
          </m:r>
          <m:r>
            <m:rPr>
              <m:sty m:val="p"/>
            </m:rPr>
            <m:t>+</m:t>
          </m:r>
          <m:r>
            <m:t>m</m:t>
          </m:r>
          <m:r>
            <m:t>b</m:t>
          </m:r>
          <m:r>
            <m:rPr>
              <m:sty m:val="p"/>
            </m:rPr>
            <m:t>−</m:t>
          </m:r>
          <m:d>
            <m:dPr>
              <m:begChr m:val="("/>
              <m:endChr m:val=")"/>
              <m:sepChr m:val=""/>
              <m:grow/>
            </m:dPr>
            <m:e>
              <m:r>
                <m:t>2</m:t>
              </m:r>
              <m:r>
                <m:t>m</m:t>
              </m:r>
              <m:r>
                <m:rPr>
                  <m:sty m:val="p"/>
                </m:rPr>
                <m:t>−</m:t>
              </m:r>
              <m:r>
                <m:t>3</m:t>
              </m:r>
            </m:e>
          </m:d>
          <m:r>
            <m:t>ε</m:t>
          </m:r>
          <m:r>
            <m:rPr>
              <m:sty m:val="p"/>
            </m:rPr>
            <m:t>.</m:t>
          </m:r>
        </m:oMath>
      </m:oMathPara>
    </w:p>
    <w:p>
      <w:pPr>
        <w:pStyle w:val="FirstParagraph"/>
      </w:pPr>
      <w:r>
        <w:t xml:space="preserve">An estimator receives identical input in these two cases. Its largest error must be at least half the distance between the two possible costs, namely</w:t>
      </w:r>
      <w:r>
        <w:t xml:space="preserve"> </w:t>
      </w:r>
      <m:oMath>
        <m:d>
          <m:dPr>
            <m:begChr m:val="("/>
            <m:endChr m:val=")"/>
            <m:sepChr m:val=""/>
            <m:grow/>
          </m:dPr>
          <m:e>
            <m:r>
              <m:t>2</m:t>
            </m:r>
            <m:r>
              <m:t>m</m:t>
            </m:r>
            <m:r>
              <m:rPr>
                <m:sty m:val="p"/>
              </m:rPr>
              <m:t>−</m:t>
            </m:r>
            <m:r>
              <m:t>3</m:t>
            </m:r>
          </m:e>
        </m:d>
        <m:r>
          <m:t>ε</m:t>
        </m:r>
      </m:oMath>
      <w:r>
        <w:t xml:space="preserve">. Together with (9), this proves minimax optimality.</w:t>
      </w:r>
      <w:r>
        <w:t xml:space="preserve"> </w:t>
      </w:r>
      <m:oMath>
        <m:r>
          <m:rPr>
            <m:sty m:val="p"/>
          </m:rPr>
          <m:t>▫</m:t>
        </m:r>
      </m:oMath>
    </w:p>
    <w:p>
      <w:pPr>
        <w:pStyle w:val="BodyText"/>
        <w:keepNext/>
      </w:pPr>
      <w:r>
        <w:t xml:space="preserve">Formally, let</w:t>
      </w:r>
      <w:r>
        <w:t xml:space="preserve"> </w:t>
      </w:r>
      <m:oMath>
        <m:sSub>
          <m:e>
            <m:r>
              <m:rPr>
                <m:sty m:val="p"/>
              </m:rPr>
              <m:t>𝒞</m:t>
            </m:r>
          </m:e>
          <m:sub>
            <m:r>
              <m:t>m</m:t>
            </m:r>
          </m:sub>
        </m:sSub>
      </m:oMath>
      <w:r>
        <w:t xml:space="preserve"> </w:t>
      </w:r>
      <w:r>
        <w:t xml:space="preserve">be the class of nonnegative rooted-tree cost functions on</w:t>
      </w:r>
      <w:r>
        <w:t xml:space="preserve"> </w:t>
      </w:r>
      <m:oMath>
        <m:r>
          <m:t>m</m:t>
        </m:r>
      </m:oMath>
      <w:r>
        <w:t xml:space="preserve"> </w:t>
      </w:r>
      <w:r>
        <w:t xml:space="preserve">labels, and let</w:t>
      </w:r>
      <w:r>
        <w:t xml:space="preserve"> </w:t>
      </w:r>
      <m:oMath>
        <m:r>
          <m:t>D</m:t>
        </m:r>
        <m:d>
          <m:dPr>
            <m:begChr m:val="("/>
            <m:endChr m:val=")"/>
            <m:sepChr m:val=""/>
            <m:grow/>
          </m:dPr>
          <m:e>
            <m:r>
              <m:t>F</m:t>
            </m:r>
          </m:e>
        </m:d>
      </m:oMath>
      <w:r>
        <w:t xml:space="preserve"> </w:t>
      </w:r>
      <w:r>
        <w:t xml:space="preserve">be the vector of singleton and pair costs. Then</w:t>
      </w:r>
    </w:p>
    <w:p>
      <w:pPr>
        <w:pStyle w:val="Equation"/>
        <w:tabs>
          <w:tab w:pos="4680" w:val="center"/>
          <w:tab w:pos="9792" w:val="right"/>
        </w:tabs>
        <w:jc w:val="left"/>
      </w:pPr>
      <w:r>
        <w:tab/>
      </w:r>
      <m:oMath>
        <m:limLow>
          <m:e>
            <m:r>
              <m:rPr>
                <m:sty m:val="p"/>
                <m:nor/>
              </m:rPr>
              <m:t>inf</m:t>
            </m:r>
          </m:e>
          <m:lim>
            <m:r>
              <m:t>R</m:t>
            </m:r>
          </m:lim>
        </m:limLow>
        <m:limLow>
          <m:e>
            <m:r>
              <m:rPr>
                <m:sty m:val="p"/>
                <m:nor/>
              </m:rPr>
              <m:t>sup</m:t>
            </m:r>
          </m:e>
          <m:lim>
            <m:m>
              <m:mPr>
                <m:baseJc m:val="center"/>
                <m:plcHide m:val="on"/>
                <m:mcs>
                  <m:mc>
                    <m:mcPr>
                      <m:mcJc m:val="center"/>
                      <m:count m:val="1"/>
                    </m:mcPr>
                  </m:mc>
                </m:mcs>
              </m:mPr>
              <m:mr>
                <m:e>
                  <m:r>
                    <m:t>F</m:t>
                  </m:r>
                  <m:r>
                    <m:rPr>
                      <m:sty m:val="p"/>
                    </m:rPr>
                    <m:t>∈</m:t>
                  </m:r>
                  <m:sSub>
                    <m:e>
                      <m:r>
                        <m:rPr>
                          <m:sty m:val="p"/>
                        </m:rPr>
                        <m:t>𝒞</m:t>
                      </m:r>
                    </m:e>
                    <m:sub>
                      <m:r>
                        <m:t>m</m:t>
                      </m:r>
                    </m:sub>
                  </m:sSub>
                  <m:r>
                    <m:rPr>
                      <m:sty m:val="p"/>
                    </m:rPr>
                    <m:t>,</m:t>
                  </m:r>
                  <m:r>
                    <m:t> </m:t>
                  </m:r>
                  <m:r>
                    <m:t>z</m:t>
                  </m:r>
                </m:e>
              </m:mr>
              <m:mr>
                <m:e>
                  <m:r>
                    <m:rPr>
                      <m:sty m:val="p"/>
                    </m:rPr>
                    <m:t>∥</m:t>
                  </m:r>
                  <m:r>
                    <m:t>z</m:t>
                  </m:r>
                  <m:r>
                    <m:rPr>
                      <m:sty m:val="p"/>
                    </m:rPr>
                    <m:t>−</m:t>
                  </m:r>
                  <m:r>
                    <m:t>D</m:t>
                  </m:r>
                  <m:d>
                    <m:dPr>
                      <m:begChr m:val="("/>
                      <m:endChr m:val=")"/>
                      <m:sepChr m:val=""/>
                      <m:grow/>
                    </m:dPr>
                    <m:e>
                      <m:r>
                        <m:t>F</m:t>
                      </m:r>
                    </m:e>
                  </m:d>
                  <m:sSub>
                    <m:e>
                      <m:r>
                        <m:rPr>
                          <m:sty m:val="p"/>
                        </m:rPr>
                        <m:t>∥</m:t>
                      </m:r>
                    </m:e>
                    <m:sub>
                      <m:r>
                        <m:rPr>
                          <m:sty m:val="p"/>
                        </m:rPr>
                        <m:t>∞</m:t>
                      </m:r>
                    </m:sub>
                  </m:sSub>
                  <m:r>
                    <m:rPr>
                      <m:sty m:val="p"/>
                    </m:rPr>
                    <m:t>≤</m:t>
                  </m:r>
                  <m:r>
                    <m:t>ε</m:t>
                  </m:r>
                </m:e>
              </m:mr>
            </m:m>
          </m:lim>
        </m:limLow>
        <m:box>
          <m:e>
            <m:r>
              <m:rPr>
                <m:sty m:val="p"/>
              </m:rPr>
              <m:t>|</m:t>
            </m:r>
            <m:r>
              <m:t>R</m:t>
            </m:r>
            <m:d>
              <m:dPr>
                <m:begChr m:val="("/>
                <m:endChr m:val=")"/>
                <m:sepChr m:val=""/>
                <m:grow/>
              </m:dPr>
              <m:e>
                <m:r>
                  <m:t>z</m:t>
                </m:r>
              </m:e>
            </m:d>
            <m:r>
              <m:rPr>
                <m:sty m:val="p"/>
              </m:rPr>
              <m:t>−</m:t>
            </m:r>
            <m:r>
              <m:t>F</m:t>
            </m:r>
            <m:d>
              <m:dPr>
                <m:begChr m:val="("/>
                <m:endChr m:val=")"/>
                <m:sepChr m:val=""/>
                <m:grow/>
              </m:dPr>
              <m:e>
                <m:r>
                  <m:t>N</m:t>
                </m:r>
              </m:e>
            </m:d>
            <m:r>
              <m:rPr>
                <m:sty m:val="p"/>
              </m:rPr>
              <m:t>|</m:t>
            </m:r>
          </m:e>
        </m:box>
        <m:r>
          <m:rPr>
            <m:sty m:val="p"/>
          </m:rPr>
          <m:t>=</m:t>
        </m:r>
        <m:d>
          <m:dPr>
            <m:begChr m:val="("/>
            <m:endChr m:val=")"/>
            <m:sepChr m:val=""/>
            <m:grow/>
          </m:dPr>
          <m:e>
            <m:r>
              <m:t>2</m:t>
            </m:r>
            <m:r>
              <m:t>m</m:t>
            </m:r>
            <m:r>
              <m:rPr>
                <m:sty m:val="p"/>
              </m:rPr>
              <m:t>−</m:t>
            </m:r>
            <m:r>
              <m:t>3</m:t>
            </m:r>
          </m:e>
        </m:d>
        <m:r>
          <m:t>ε</m:t>
        </m:r>
        <m:r>
          <m:rPr>
            <m:sty m:val="p"/>
          </m:rPr>
          <m:t>,</m:t>
        </m:r>
        <m:r>
          <m:t>  </m:t>
        </m:r>
        <m:r>
          <m:t>m</m:t>
        </m:r>
        <m:r>
          <m:rPr>
            <m:sty m:val="p"/>
          </m:rPr>
          <m:t>≥</m:t>
        </m:r>
        <m:r>
          <m:t>2</m:t>
        </m:r>
        <m:r>
          <m:rPr>
            <m:sty m:val="p"/>
          </m:rPr>
          <m:t>.</m:t>
        </m:r>
      </m:oMath>
      <w:r>
        <w:tab/>
        <w:t>(10)</w:t>
      </w:r>
    </w:p>
    <w:p>
      <w:pPr>
        <w:pStyle w:val="BodyText"/>
      </w:pPr>
      <w:r>
        <w:t xml:space="preserve">The infimum ranges over estimators</w:t>
      </w:r>
      <w:r>
        <w:t xml:space="preserve"> </w:t>
      </w:r>
      <m:oMath>
        <m:r>
          <m:t>R</m:t>
        </m:r>
      </m:oMath>
      <w:r>
        <w:t xml:space="preserve">.</w:t>
      </w:r>
    </w:p>
    <w:p>
      <w:pPr>
        <w:pStyle w:val="BodyText"/>
        <w:keepNext/>
      </w:pPr>
      <w:r>
        <w:t xml:space="preserve">If singleton errors are bounded by</w:t>
      </w:r>
      <w:r>
        <w:t xml:space="preserve"> </w:t>
      </w:r>
      <m:oMath>
        <m:sSub>
          <m:e>
            <m:r>
              <m:t>ε</m:t>
            </m:r>
          </m:e>
          <m:sub>
            <m:r>
              <m:t>1</m:t>
            </m:r>
          </m:sub>
        </m:sSub>
      </m:oMath>
      <w:r>
        <w:t xml:space="preserve"> </w:t>
      </w:r>
      <w:r>
        <w:t xml:space="preserve">and pair errors by</w:t>
      </w:r>
      <w:r>
        <w:t xml:space="preserve"> </w:t>
      </w:r>
      <m:oMath>
        <m:sSub>
          <m:e>
            <m:r>
              <m:t>ε</m:t>
            </m:r>
          </m:e>
          <m:sub>
            <m:r>
              <m:t>2</m:t>
            </m:r>
          </m:sub>
        </m:sSub>
      </m:oMath>
      <w:r>
        <w:t xml:space="preserve">, the same argument gives the sharp radius</w:t>
      </w:r>
    </w:p>
    <w:p>
      <w:pPr>
        <w:pStyle w:val="Equation"/>
        <w:jc w:val="center"/>
      </w:pPr>
      <m:oMathPara>
        <m:oMathParaPr>
          <m:jc m:val="center"/>
        </m:oMathParaPr>
        <m:oMath>
          <m:d>
            <m:dPr>
              <m:begChr m:val="("/>
              <m:endChr m:val=")"/>
              <m:sepChr m:val=""/>
              <m:grow/>
            </m:dPr>
            <m:e>
              <m:r>
                <m:t>m</m:t>
              </m:r>
              <m:r>
                <m:rPr>
                  <m:sty m:val="p"/>
                </m:rPr>
                <m:t>−</m:t>
              </m:r>
              <m:r>
                <m:t>2</m:t>
              </m:r>
            </m:e>
          </m:d>
          <m:sSub>
            <m:e>
              <m:r>
                <m:t>ε</m:t>
              </m:r>
            </m:e>
            <m:sub>
              <m:r>
                <m:t>1</m:t>
              </m:r>
            </m:sub>
          </m:sSub>
          <m:r>
            <m:rPr>
              <m:sty m:val="p"/>
            </m:rPr>
            <m:t>+</m:t>
          </m:r>
          <m:d>
            <m:dPr>
              <m:begChr m:val="("/>
              <m:endChr m:val=")"/>
              <m:sepChr m:val=""/>
              <m:grow/>
            </m:dPr>
            <m:e>
              <m:r>
                <m:t>m</m:t>
              </m:r>
              <m:r>
                <m:rPr>
                  <m:sty m:val="p"/>
                </m:rPr>
                <m:t>−</m:t>
              </m:r>
              <m:r>
                <m:t>1</m:t>
              </m:r>
            </m:e>
          </m:d>
          <m:sSub>
            <m:e>
              <m:r>
                <m:t>ε</m:t>
              </m:r>
            </m:e>
            <m:sub>
              <m:r>
                <m:t>2</m:t>
              </m:r>
            </m:sub>
          </m:sSub>
          <m:r>
            <m:rPr>
              <m:sty m:val="p"/>
            </m:rPr>
            <m:t>.</m:t>
          </m:r>
        </m:oMath>
      </m:oMathPara>
    </w:p>
    <w:p>
      <w:pPr>
        <w:pStyle w:val="FirstParagraph"/>
      </w:pPr>
      <w:r>
        <w:t xml:space="preserve">For the lower bound, perturb the trunk by opposite amounts</w:t>
      </w:r>
      <w:r>
        <w:t xml:space="preserve"> </w:t>
      </w:r>
      <m:oMath>
        <m:r>
          <m:t>2</m:t>
        </m:r>
        <m:sSub>
          <m:e>
            <m:r>
              <m:t>ε</m:t>
            </m:r>
          </m:e>
          <m:sub>
            <m:r>
              <m:t>1</m:t>
            </m:r>
          </m:sub>
        </m:sSub>
        <m:r>
          <m:rPr>
            <m:sty m:val="p"/>
          </m:rPr>
          <m:t>+</m:t>
        </m:r>
        <m:sSub>
          <m:e>
            <m:r>
              <m:t>ε</m:t>
            </m:r>
          </m:e>
          <m:sub>
            <m:r>
              <m:t>2</m:t>
            </m:r>
          </m:sub>
        </m:sSub>
      </m:oMath>
      <w:r>
        <w:t xml:space="preserve">, and each pendant edge by opposite amounts</w:t>
      </w:r>
      <w:r>
        <w:t xml:space="preserve"> </w:t>
      </w:r>
      <m:oMath>
        <m:sSub>
          <m:e>
            <m:r>
              <m:t>ε</m:t>
            </m:r>
          </m:e>
          <m:sub>
            <m:r>
              <m:t>1</m:t>
            </m:r>
          </m:sub>
        </m:sSub>
        <m:r>
          <m:rPr>
            <m:sty m:val="p"/>
          </m:rPr>
          <m:t>+</m:t>
        </m:r>
        <m:sSub>
          <m:e>
            <m:r>
              <m:t>ε</m:t>
            </m:r>
          </m:e>
          <m:sub>
            <m:r>
              <m:t>2</m:t>
            </m:r>
          </m:sub>
        </m:sSub>
      </m:oMath>
      <w:r>
        <w:t xml:space="preserve">.</w:t>
      </w:r>
    </w:p>
    <w:bookmarkEnd w:id="34"/>
    <w:bookmarkStart w:id="35" w:name="a-feasible-repair"/>
    <w:p>
      <w:pPr>
        <w:pStyle w:val="Heading2"/>
      </w:pPr>
      <w:r>
        <w:t xml:space="preserve">3.2. A feasible repair</w:t>
      </w:r>
    </w:p>
    <w:p>
      <w:pPr>
        <w:pStyle w:val="FirstParagraph"/>
      </w:pPr>
      <w:r>
        <w:t xml:space="preserve">The direct estimate</w:t>
      </w:r>
      <w:r>
        <w:t xml:space="preserve"> </w:t>
      </w:r>
      <m:oMath>
        <m:r>
          <m:t>H</m:t>
        </m:r>
      </m:oMath>
      <w:r>
        <w:t xml:space="preserve"> </w:t>
      </w:r>
      <w:r>
        <w:t xml:space="preserve">can be nonmonotone when measurements are incompatible. A physical network representation can instead be obtained by repairing the overlaps.</w:t>
      </w:r>
    </w:p>
    <w:p>
      <w:pPr>
        <w:pStyle w:val="BodyText"/>
        <w:keepNext/>
      </w:pPr>
      <w:r>
        <w:t xml:space="preserve">Define</w:t>
      </w:r>
    </w:p>
    <w:p>
      <w:pPr>
        <w:pStyle w:val="Equation"/>
        <w:keepNext/>
        <w:jc w:val="center"/>
      </w:pPr>
      <m:oMathPara>
        <m:oMathParaPr>
          <m:jc m:val="center"/>
        </m:oMathParaPr>
        <m:oMath>
          <m:sSub>
            <m:e>
              <m:acc>
                <m:accPr>
                  <m:chr m:val="̂"/>
                </m:accPr>
                <m:e>
                  <m:r>
                    <m:t>c</m:t>
                  </m:r>
                </m:e>
              </m:acc>
            </m:e>
            <m:sub>
              <m:r>
                <m:t>i</m:t>
              </m:r>
            </m:sub>
          </m:sSub>
          <m:r>
            <m:rPr>
              <m:sty m:val="p"/>
            </m:rPr>
            <m:t>=</m:t>
          </m:r>
          <m:r>
            <m:rPr>
              <m:sty m:val="p"/>
              <m:nor/>
            </m:rPr>
            <m:t>max</m:t>
          </m:r>
          <m:d>
            <m:dPr>
              <m:begChr m:val="("/>
              <m:endChr m:val=")"/>
              <m:sepChr m:val=""/>
              <m:grow/>
            </m:dPr>
            <m:e>
              <m:r>
                <m:t>0</m:t>
              </m:r>
              <m:r>
                <m:rPr>
                  <m:sty m:val="p"/>
                </m:rPr>
                <m:t>,</m:t>
              </m:r>
              <m:sSub>
                <m:e>
                  <m:acc>
                    <m:accPr>
                      <m:chr m:val="̃"/>
                    </m:accPr>
                    <m:e>
                      <m:r>
                        <m:t>c</m:t>
                      </m:r>
                    </m:e>
                  </m:acc>
                </m:e>
                <m:sub>
                  <m:r>
                    <m:t>i</m:t>
                  </m:r>
                </m:sub>
              </m:sSub>
            </m:e>
          </m:d>
          <m:r>
            <m:rPr>
              <m:sty m:val="p"/>
            </m:rPr>
            <m:t>,</m:t>
          </m:r>
        </m:oMath>
      </m:oMathPara>
    </w:p>
    <w:p>
      <w:pPr>
        <w:pStyle w:val="Equation"/>
        <w:tabs>
          <w:tab w:pos="4680" w:val="center"/>
          <w:tab w:pos="9792" w:val="right"/>
        </w:tabs>
        <w:jc w:val="left"/>
      </w:pPr>
      <w:r>
        <w:tab/>
      </w:r>
      <m:oMath>
        <m:sSub>
          <m:e>
            <m:r>
              <m:t>u</m:t>
            </m:r>
          </m:e>
          <m:sub>
            <m:r>
              <m:t>i</m:t>
            </m:r>
            <m:r>
              <m:t>j</m:t>
            </m:r>
          </m:sub>
        </m:sSub>
        <m:r>
          <m:rPr>
            <m:sty m:val="p"/>
          </m:rPr>
          <m:t>=</m:t>
        </m:r>
        <m:r>
          <m:rPr>
            <m:sty m:val="p"/>
            <m:nor/>
          </m:rPr>
          <m:t>min</m:t>
        </m:r>
        <m:box>
          <m:e>
            <m:r>
              <m:rPr>
                <m:sty m:val="p"/>
              </m:rPr>
              <m:t>{</m:t>
            </m:r>
            <m:sSub>
              <m:e>
                <m:acc>
                  <m:accPr>
                    <m:chr m:val="̂"/>
                  </m:accPr>
                  <m:e>
                    <m:r>
                      <m:t>c</m:t>
                    </m:r>
                  </m:e>
                </m:acc>
              </m:e>
              <m:sub>
                <m:r>
                  <m:t>i</m:t>
                </m:r>
              </m:sub>
            </m:sSub>
            <m:r>
              <m:rPr>
                <m:sty m:val="p"/>
              </m:rPr>
              <m:t>,</m:t>
            </m:r>
            <m:sSub>
              <m:e>
                <m:acc>
                  <m:accPr>
                    <m:chr m:val="̂"/>
                  </m:accPr>
                  <m:e>
                    <m:r>
                      <m:t>c</m:t>
                    </m:r>
                  </m:e>
                </m:acc>
              </m:e>
              <m:sub>
                <m:r>
                  <m:t>j</m:t>
                </m:r>
              </m:sub>
            </m:sSub>
            <m:r>
              <m:rPr>
                <m:sty m:val="p"/>
              </m:rPr>
              <m:t>,</m:t>
            </m:r>
            <m:r>
              <m:rPr>
                <m:sty m:val="p"/>
                <m:nor/>
              </m:rPr>
              <m:t>max</m:t>
            </m:r>
            <m:d>
              <m:dPr>
                <m:begChr m:val="("/>
                <m:endChr m:val=")"/>
                <m:sepChr m:val=""/>
                <m:grow/>
              </m:dPr>
              <m:e>
                <m:r>
                  <m:t>0</m:t>
                </m:r>
                <m:r>
                  <m:rPr>
                    <m:sty m:val="p"/>
                  </m:rPr>
                  <m:t>,</m:t>
                </m:r>
                <m:sSub>
                  <m:e>
                    <m:acc>
                      <m:accPr>
                        <m:chr m:val="̃"/>
                      </m:accPr>
                      <m:e>
                        <m:r>
                          <m:t>c</m:t>
                        </m:r>
                      </m:e>
                    </m:acc>
                  </m:e>
                  <m:sub>
                    <m:r>
                      <m:t>i</m:t>
                    </m:r>
                  </m:sub>
                </m:sSub>
                <m:r>
                  <m:rPr>
                    <m:sty m:val="p"/>
                  </m:rPr>
                  <m:t>+</m:t>
                </m:r>
                <m:sSub>
                  <m:e>
                    <m:acc>
                      <m:accPr>
                        <m:chr m:val="̃"/>
                      </m:accPr>
                      <m:e>
                        <m:r>
                          <m:t>c</m:t>
                        </m:r>
                      </m:e>
                    </m:acc>
                  </m:e>
                  <m:sub>
                    <m:r>
                      <m:t>j</m:t>
                    </m:r>
                  </m:sub>
                </m:sSub>
                <m:r>
                  <m:rPr>
                    <m:sty m:val="p"/>
                  </m:rPr>
                  <m:t>−</m:t>
                </m:r>
                <m:sSub>
                  <m:e>
                    <m:acc>
                      <m:accPr>
                        <m:chr m:val="̃"/>
                      </m:accPr>
                      <m:e>
                        <m:r>
                          <m:t>c</m:t>
                        </m:r>
                      </m:e>
                    </m:acc>
                  </m:e>
                  <m:sub>
                    <m:r>
                      <m:t>i</m:t>
                    </m:r>
                    <m:r>
                      <m:t>j</m:t>
                    </m:r>
                  </m:sub>
                </m:sSub>
              </m:e>
            </m:d>
            <m:r>
              <m:rPr>
                <m:sty m:val="p"/>
              </m:rPr>
              <m:t>}</m:t>
            </m:r>
          </m:e>
        </m:box>
        <m:r>
          <m:rPr>
            <m:sty m:val="p"/>
          </m:rPr>
          <m:t>.</m:t>
        </m:r>
      </m:oMath>
      <w:r>
        <w:tab/>
        <w:t>(11)</w:t>
      </w:r>
    </w:p>
    <w:p>
      <w:pPr>
        <w:pStyle w:val="BodyText"/>
        <w:keepNext/>
      </w:pPr>
      <w:r>
        <w:t xml:space="preserve">For distinct</w:t>
      </w:r>
      <w:r>
        <w:t xml:space="preserve"> </w:t>
      </w:r>
      <m:oMath>
        <m:r>
          <m:t>i</m:t>
        </m:r>
        <m:r>
          <m:rPr>
            <m:sty m:val="p"/>
          </m:rPr>
          <m:t>,</m:t>
        </m:r>
        <m:r>
          <m:t>j</m:t>
        </m:r>
      </m:oMath>
      <w:r>
        <w:t xml:space="preserve">, define the maximum-bottleneck closure</w:t>
      </w:r>
    </w:p>
    <w:p>
      <w:pPr>
        <w:pStyle w:val="Equation"/>
        <w:tabs>
          <w:tab w:pos="4680" w:val="center"/>
          <w:tab w:pos="9792" w:val="right"/>
        </w:tabs>
        <w:jc w:val="left"/>
      </w:pPr>
      <w:r>
        <w:tab/>
      </w:r>
      <m:oMath>
        <m:sSub>
          <m:e>
            <m:acc>
              <m:accPr>
                <m:chr m:val="̂"/>
              </m:accPr>
              <m:e>
                <m:r>
                  <m:t>o</m:t>
                </m:r>
              </m:e>
            </m:acc>
          </m:e>
          <m:sub>
            <m:r>
              <m:t>i</m:t>
            </m:r>
            <m:r>
              <m:t>j</m:t>
            </m:r>
          </m:sub>
        </m:sSub>
        <m:r>
          <m:rPr>
            <m:sty m:val="p"/>
          </m:rPr>
          <m:t>=</m:t>
        </m:r>
        <m:limLow>
          <m:e>
            <m:r>
              <m:rPr>
                <m:sty m:val="p"/>
                <m:nor/>
              </m:rPr>
              <m:t>max</m:t>
            </m:r>
          </m:e>
          <m:lim>
            <m:r>
              <m:t>γ</m:t>
            </m:r>
            <m:r>
              <m:rPr>
                <m:sty m:val="p"/>
              </m:rPr>
              <m:t>:</m:t>
            </m:r>
            <m:r>
              <m:t>i</m:t>
            </m:r>
            <m:r>
              <m:rPr>
                <m:sty m:val="p"/>
              </m:rPr>
              <m:t>⤳</m:t>
            </m:r>
            <m:r>
              <m:t>j</m:t>
            </m:r>
          </m:lim>
        </m:limLow>
        <m:limLow>
          <m:e>
            <m:r>
              <m:rPr>
                <m:sty m:val="p"/>
                <m:nor/>
              </m:rPr>
              <m:t>min</m:t>
            </m:r>
          </m:e>
          <m:lim>
            <m:r>
              <m:rPr>
                <m:sty m:val="p"/>
              </m:rPr>
              <m:t>{</m:t>
            </m:r>
            <m:r>
              <m:t>u</m:t>
            </m:r>
            <m:r>
              <m:rPr>
                <m:sty m:val="p"/>
              </m:rPr>
              <m:t>,</m:t>
            </m:r>
            <m:r>
              <m:t>v</m:t>
            </m:r>
            <m:r>
              <m:rPr>
                <m:sty m:val="p"/>
              </m:rPr>
              <m:t>}</m:t>
            </m:r>
            <m:r>
              <m:rPr>
                <m:sty m:val="p"/>
              </m:rPr>
              <m:t>∈</m:t>
            </m:r>
            <m:r>
              <m:t>E</m:t>
            </m:r>
            <m:d>
              <m:dPr>
                <m:begChr m:val="("/>
                <m:endChr m:val=")"/>
                <m:sepChr m:val=""/>
                <m:grow/>
              </m:dPr>
              <m:e>
                <m:r>
                  <m:t>γ</m:t>
                </m:r>
              </m:e>
            </m:d>
          </m:lim>
        </m:limLow>
        <m:sSub>
          <m:e>
            <m:r>
              <m:t>u</m:t>
            </m:r>
          </m:e>
          <m:sub>
            <m:r>
              <m:t>u</m:t>
            </m:r>
            <m:r>
              <m:t>v</m:t>
            </m:r>
          </m:sub>
        </m:sSub>
        <m:r>
          <m:rPr>
            <m:sty m:val="p"/>
          </m:rPr>
          <m:t>,</m:t>
        </m:r>
      </m:oMath>
      <w:r>
        <w:tab/>
        <w:t>(12)</w:t>
      </w:r>
    </w:p>
    <w:p>
      <w:pPr>
        <w:pStyle w:val="BodyText"/>
      </w:pPr>
      <w:r>
        <w:t xml:space="preserve">where the maximum is over simple paths in the complete graph. Let</w:t>
      </w:r>
      <w:r>
        <w:t xml:space="preserve"> </w:t>
      </w:r>
      <m:oMath>
        <m:acc>
          <m:accPr>
            <m:chr m:val="̂"/>
          </m:accPr>
          <m:e>
            <m:r>
              <m:t>F</m:t>
            </m:r>
          </m:e>
        </m:acc>
      </m:oMath>
      <w:r>
        <w:t xml:space="preserve"> </w:t>
      </w:r>
      <w:r>
        <w:t xml:space="preserve">be the rooted-tree cost reconstructed from</w:t>
      </w:r>
      <w:r>
        <w:t xml:space="preserve"> </w:t>
      </w:r>
      <m:oMath>
        <m:acc>
          <m:accPr>
            <m:chr m:val="̂"/>
          </m:accPr>
          <m:e>
            <m:r>
              <m:t>c</m:t>
            </m:r>
          </m:e>
        </m:acc>
        <m:r>
          <m:rPr>
            <m:sty m:val="p"/>
          </m:rPr>
          <m:t>,</m:t>
        </m:r>
        <m:acc>
          <m:accPr>
            <m:chr m:val="̂"/>
          </m:accPr>
          <m:e>
            <m:r>
              <m:t>o</m:t>
            </m:r>
          </m:e>
        </m:acc>
      </m:oMath>
      <w:r>
        <w:t xml:space="preserve">.</w:t>
      </w:r>
    </w:p>
    <w:p>
      <w:pPr>
        <w:pStyle w:val="BodyText"/>
        <w:keepNext/>
        <w:spacing w:before="140" w:after="100"/>
      </w:pPr>
      <w:r>
        <w:rPr>
          <w:bCs/>
          <w:b/>
        </w:rPr>
        <w:t xml:space="preserve">Proposition 3.2 — Feasibility and repair error.</w:t>
      </w:r>
      <w:r>
        <w:t xml:space="preserve"> </w:t>
      </w:r>
      <w:r>
        <w:t xml:space="preserve">The repaired table satisfies (4). For every nonempty</w:t>
      </w:r>
      <w:r>
        <w:t xml:space="preserve"> </w:t>
      </w:r>
      <m:oMath>
        <m:r>
          <m:t>S</m:t>
        </m:r>
      </m:oMath>
      <w:r>
        <w:t xml:space="preserve">,</w:t>
      </w:r>
    </w:p>
    <w:p>
      <w:pPr>
        <w:pStyle w:val="Equation"/>
        <w:tabs>
          <w:tab w:pos="4680" w:val="center"/>
          <w:tab w:pos="9792" w:val="right"/>
        </w:tabs>
        <w:jc w:val="left"/>
      </w:pPr>
      <w:r>
        <w:tab/>
      </w:r>
      <m:oMath>
        <m:box>
          <m:e>
            <m:r>
              <m:rPr>
                <m:sty m:val="p"/>
              </m:rPr>
              <m:t>|</m:t>
            </m:r>
            <m:acc>
              <m:accPr>
                <m:chr m:val="̂"/>
              </m:accPr>
              <m:e>
                <m:r>
                  <m:t>F</m:t>
                </m:r>
              </m:e>
            </m:acc>
            <m:d>
              <m:dPr>
                <m:begChr m:val="("/>
                <m:endChr m:val=")"/>
                <m:sepChr m:val=""/>
                <m:grow/>
              </m:dPr>
              <m:e>
                <m:r>
                  <m:t>S</m:t>
                </m:r>
              </m:e>
            </m:d>
            <m:r>
              <m:rPr>
                <m:sty m:val="p"/>
              </m:rPr>
              <m:t>−</m:t>
            </m:r>
            <m:r>
              <m:t>F</m:t>
            </m:r>
            <m:d>
              <m:dPr>
                <m:begChr m:val="("/>
                <m:endChr m:val=")"/>
                <m:sepChr m:val=""/>
                <m:grow/>
              </m:dPr>
              <m:e>
                <m:r>
                  <m:t>S</m:t>
                </m:r>
              </m:e>
            </m:d>
            <m:r>
              <m:rPr>
                <m:sty m:val="p"/>
              </m:rPr>
              <m:t>|</m:t>
            </m:r>
          </m:e>
        </m:box>
        <m:r>
          <m:rPr>
            <m:sty m:val="p"/>
          </m:rPr>
          <m:t>≤</m:t>
        </m:r>
        <m:d>
          <m:dPr>
            <m:begChr m:val="("/>
            <m:endChr m:val=")"/>
            <m:sepChr m:val=""/>
            <m:grow/>
          </m:dPr>
          <m:e>
            <m:r>
              <m:t>4</m:t>
            </m:r>
            <m:box>
              <m:e>
                <m:r>
                  <m:rPr>
                    <m:sty m:val="p"/>
                  </m:rPr>
                  <m:t>|</m:t>
                </m:r>
                <m:r>
                  <m:t>S</m:t>
                </m:r>
                <m:r>
                  <m:rPr>
                    <m:sty m:val="p"/>
                  </m:rPr>
                  <m:t>|</m:t>
                </m:r>
              </m:e>
            </m:box>
            <m:r>
              <m:rPr>
                <m:sty m:val="p"/>
              </m:rPr>
              <m:t>−</m:t>
            </m:r>
            <m:r>
              <m:t>3</m:t>
            </m:r>
          </m:e>
        </m:d>
        <m:r>
          <m:t>ε</m:t>
        </m:r>
        <m:r>
          <m:rPr>
            <m:sty m:val="p"/>
          </m:rPr>
          <m:t>.</m:t>
        </m:r>
      </m:oMath>
      <w:r>
        <w:tab/>
        <w:t>(13)</w:t>
      </w:r>
    </w:p>
    <w:p>
      <w:pPr>
        <w:pStyle w:val="BodyText"/>
        <w:keepNext/>
      </w:pPr>
      <w:r>
        <w:rPr>
          <w:iCs/>
          <w:i/>
        </w:rPr>
        <w:t xml:space="preserve">Proof.</w:t>
      </w:r>
      <w:r>
        <w:t xml:space="preserve"> </w:t>
      </w:r>
      <w:r>
        <w:t xml:space="preserve">The closure is symmetric and nonnegative. Every path from</w:t>
      </w:r>
      <w:r>
        <w:t xml:space="preserve"> </w:t>
      </w:r>
      <m:oMath>
        <m:r>
          <m:t>i</m:t>
        </m:r>
      </m:oMath>
      <w:r>
        <w:t xml:space="preserve"> </w:t>
      </w:r>
      <w:r>
        <w:t xml:space="preserve">to</w:t>
      </w:r>
      <w:r>
        <w:t xml:space="preserve"> </w:t>
      </w:r>
      <m:oMath>
        <m:r>
          <m:t>j</m:t>
        </m:r>
      </m:oMath>
      <w:r>
        <w:t xml:space="preserve"> </w:t>
      </w:r>
      <w:r>
        <w:t xml:space="preserve">starts with an edge bounded by</w:t>
      </w:r>
      <w:r>
        <w:t xml:space="preserve"> </w:t>
      </w:r>
      <m:oMath>
        <m:sSub>
          <m:e>
            <m:acc>
              <m:accPr>
                <m:chr m:val="̂"/>
              </m:accPr>
              <m:e>
                <m:r>
                  <m:t>c</m:t>
                </m:r>
              </m:e>
            </m:acc>
          </m:e>
          <m:sub>
            <m:r>
              <m:t>i</m:t>
            </m:r>
          </m:sub>
        </m:sSub>
      </m:oMath>
      <w:r>
        <w:t xml:space="preserve"> </w:t>
      </w:r>
      <w:r>
        <w:t xml:space="preserve">and ends with one bounded by</w:t>
      </w:r>
      <w:r>
        <w:t xml:space="preserve"> </w:t>
      </w:r>
      <m:oMath>
        <m:sSub>
          <m:e>
            <m:acc>
              <m:accPr>
                <m:chr m:val="̂"/>
              </m:accPr>
              <m:e>
                <m:r>
                  <m:t>c</m:t>
                </m:r>
              </m:e>
            </m:acc>
          </m:e>
          <m:sub>
            <m:r>
              <m:t>j</m:t>
            </m:r>
          </m:sub>
        </m:sSub>
      </m:oMath>
      <w:r>
        <w:t xml:space="preserve">. Hence</w:t>
      </w:r>
    </w:p>
    <w:p>
      <w:pPr>
        <w:pStyle w:val="Equation"/>
        <w:jc w:val="center"/>
      </w:pPr>
      <m:oMathPara>
        <m:oMathParaPr>
          <m:jc m:val="center"/>
        </m:oMathParaPr>
        <m:oMath>
          <m:sSub>
            <m:e>
              <m:acc>
                <m:accPr>
                  <m:chr m:val="̂"/>
                </m:accPr>
                <m:e>
                  <m:r>
                    <m:t>o</m:t>
                  </m:r>
                </m:e>
              </m:acc>
            </m:e>
            <m:sub>
              <m:r>
                <m:t>i</m:t>
              </m:r>
              <m:r>
                <m:t>j</m:t>
              </m:r>
            </m:sub>
          </m:sSub>
          <m:r>
            <m:rPr>
              <m:sty m:val="p"/>
            </m:rPr>
            <m:t>≤</m:t>
          </m:r>
          <m:r>
            <m:rPr>
              <m:sty m:val="p"/>
              <m:nor/>
            </m:rPr>
            <m:t>min</m:t>
          </m:r>
          <m:d>
            <m:dPr>
              <m:begChr m:val="("/>
              <m:endChr m:val=")"/>
              <m:sepChr m:val=""/>
              <m:grow/>
            </m:dPr>
            <m:e>
              <m:sSub>
                <m:e>
                  <m:acc>
                    <m:accPr>
                      <m:chr m:val="̂"/>
                    </m:accPr>
                    <m:e>
                      <m:r>
                        <m:t>c</m:t>
                      </m:r>
                    </m:e>
                  </m:acc>
                </m:e>
                <m:sub>
                  <m:r>
                    <m:t>i</m:t>
                  </m:r>
                </m:sub>
              </m:sSub>
              <m:r>
                <m:rPr>
                  <m:sty m:val="p"/>
                </m:rPr>
                <m:t>,</m:t>
              </m:r>
              <m:sSub>
                <m:e>
                  <m:acc>
                    <m:accPr>
                      <m:chr m:val="̂"/>
                    </m:accPr>
                    <m:e>
                      <m:r>
                        <m:t>c</m:t>
                      </m:r>
                    </m:e>
                  </m:acc>
                </m:e>
                <m:sub>
                  <m:r>
                    <m:t>j</m:t>
                  </m:r>
                </m:sub>
              </m:sSub>
            </m:e>
          </m:d>
          <m:r>
            <m:rPr>
              <m:sty m:val="p"/>
            </m:rPr>
            <m:t>.</m:t>
          </m:r>
        </m:oMath>
      </m:oMathPara>
    </w:p>
    <w:p>
      <w:pPr>
        <w:pStyle w:val="FirstParagraph"/>
      </w:pPr>
      <w:r>
        <w:t xml:space="preserve">Concatenating paths through</w:t>
      </w:r>
      <w:r>
        <w:t xml:space="preserve"> </w:t>
      </w:r>
      <m:oMath>
        <m:r>
          <m:t>k</m:t>
        </m:r>
      </m:oMath>
      <w:r>
        <w:t xml:space="preserve">, and removing loops without reducing the bottleneck, proves the final inequality in (4).</w:t>
      </w:r>
    </w:p>
    <w:p>
      <w:pPr>
        <w:pStyle w:val="BodyText"/>
      </w:pPr>
      <w:r>
        <w:t xml:space="preserve">Singleton clipping has error at most</w:t>
      </w:r>
      <w:r>
        <w:t xml:space="preserve"> </w:t>
      </w:r>
      <m:oMath>
        <m:r>
          <m:t>ε</m:t>
        </m:r>
      </m:oMath>
      <w:r>
        <w:t xml:space="preserve">. Raw overlap errors are at most</w:t>
      </w:r>
      <w:r>
        <w:t xml:space="preserve"> </w:t>
      </w:r>
      <m:oMath>
        <m:r>
          <m:t>3</m:t>
        </m:r>
        <m:r>
          <m:t>ε</m:t>
        </m:r>
      </m:oMath>
      <w:r>
        <w:t xml:space="preserve">. The clipping in (11) preserves this bound because minimum and maximum are nonexpansive in the sup norm.</w:t>
      </w:r>
    </w:p>
    <w:p>
      <w:pPr>
        <w:pStyle w:val="BodyText"/>
      </w:pPr>
      <w:r>
        <w:t xml:space="preserve">The maximum-bottleneck operation is also nonexpansive: perturbing every edge value by at most</w:t>
      </w:r>
      <w:r>
        <w:t xml:space="preserve"> </w:t>
      </w:r>
      <m:oMath>
        <m:r>
          <m:t>d</m:t>
        </m:r>
      </m:oMath>
      <w:r>
        <w:t xml:space="preserve"> </w:t>
      </w:r>
      <w:r>
        <w:t xml:space="preserve">perturbs each path bottleneck, and then their maximum, by at most</w:t>
      </w:r>
      <w:r>
        <w:t xml:space="preserve"> </w:t>
      </w:r>
      <m:oMath>
        <m:r>
          <m:t>d</m:t>
        </m:r>
      </m:oMath>
      <w:r>
        <w:t xml:space="preserve">. This operation fixes the true overlap matrix, because repeated application of (4) bounds every path bottleneck by the direct true overlap. Therefore,</w:t>
      </w:r>
    </w:p>
    <w:p>
      <w:pPr>
        <w:pStyle w:val="Equation"/>
        <w:jc w:val="center"/>
      </w:pPr>
      <m:oMathPara>
        <m:oMathParaPr>
          <m:jc m:val="center"/>
        </m:oMathParaPr>
        <m:oMath>
          <m:r>
            <m:rPr>
              <m:sty m:val="p"/>
            </m:rPr>
            <m:t>∥</m:t>
          </m:r>
          <m:acc>
            <m:accPr>
              <m:chr m:val="̂"/>
            </m:accPr>
            <m:e>
              <m:r>
                <m:t>o</m:t>
              </m:r>
            </m:e>
          </m:acc>
          <m:r>
            <m:rPr>
              <m:sty m:val="p"/>
            </m:rPr>
            <m:t>−</m:t>
          </m:r>
          <m:r>
            <m:t>o</m:t>
          </m:r>
          <m:sSub>
            <m:e>
              <m:r>
                <m:rPr>
                  <m:sty m:val="p"/>
                </m:rPr>
                <m:t>∥</m:t>
              </m:r>
            </m:e>
            <m:sub>
              <m:r>
                <m:rPr>
                  <m:sty m:val="p"/>
                </m:rPr>
                <m:t>∞</m:t>
              </m:r>
            </m:sub>
          </m:sSub>
          <m:r>
            <m:rPr>
              <m:sty m:val="p"/>
            </m:rPr>
            <m:t>≤</m:t>
          </m:r>
          <m:r>
            <m:t>3</m:t>
          </m:r>
          <m:r>
            <m:t>ε</m:t>
          </m:r>
          <m:r>
            <m:rPr>
              <m:sty m:val="p"/>
            </m:rPr>
            <m:t>.</m:t>
          </m:r>
        </m:oMath>
      </m:oMathPara>
    </w:p>
    <w:p>
      <w:pPr>
        <w:pStyle w:val="FirstParagraph"/>
      </w:pPr>
      <w:r>
        <w:t xml:space="preserve">In (6), the singleton sum changes by at most</w:t>
      </w:r>
      <w:r>
        <w:t xml:space="preserve"> </w:t>
      </w:r>
      <m:oMath>
        <m:box>
          <m:e>
            <m:r>
              <m:rPr>
                <m:sty m:val="p"/>
              </m:rPr>
              <m:t>|</m:t>
            </m:r>
            <m:r>
              <m:t>S</m:t>
            </m:r>
            <m:r>
              <m:rPr>
                <m:sty m:val="p"/>
              </m:rPr>
              <m:t>|</m:t>
            </m:r>
          </m:e>
        </m:box>
        <m:r>
          <m:t>ε</m:t>
        </m:r>
      </m:oMath>
      <w:r>
        <w:t xml:space="preserve">, while the maximum spanning-tree weight changes by at most</w:t>
      </w:r>
      <w:r>
        <w:t xml:space="preserve"> </w:t>
      </w:r>
      <m:oMath>
        <m:r>
          <m:t>3</m:t>
        </m:r>
        <m:d>
          <m:dPr>
            <m:begChr m:val="("/>
            <m:endChr m:val=")"/>
            <m:sepChr m:val=""/>
            <m:grow/>
          </m:dPr>
          <m:e>
            <m:box>
              <m:e>
                <m:r>
                  <m:rPr>
                    <m:sty m:val="p"/>
                  </m:rPr>
                  <m:t>|</m:t>
                </m:r>
                <m:r>
                  <m:t>S</m:t>
                </m:r>
                <m:r>
                  <m:rPr>
                    <m:sty m:val="p"/>
                  </m:rPr>
                  <m:t>|</m:t>
                </m:r>
              </m:e>
            </m:box>
            <m:r>
              <m:rPr>
                <m:sty m:val="p"/>
              </m:rPr>
              <m:t>−</m:t>
            </m:r>
            <m:r>
              <m:t>1</m:t>
            </m:r>
          </m:e>
        </m:d>
        <m:r>
          <m:t>ε</m:t>
        </m:r>
      </m:oMath>
      <w:r>
        <w:t xml:space="preserve">. Adding these bounds proves (13).</w:t>
      </w:r>
      <w:r>
        <w:t xml:space="preserve"> </w:t>
      </w:r>
      <m:oMath>
        <m:r>
          <m:rPr>
            <m:sty m:val="p"/>
          </m:rPr>
          <m:t>▫</m:t>
        </m:r>
      </m:oMath>
    </w:p>
    <w:p>
      <w:pPr>
        <w:pStyle w:val="BodyText"/>
      </w:pPr>
      <w:r>
        <w:t xml:space="preserve">The closure is a standard hierarchical operation related to single linkage [5,11]. A max-min version of Floyd’s algorithm computes it in</w:t>
      </w:r>
      <w:r>
        <w:t xml:space="preserve"> </w:t>
      </w:r>
      <m:oMath>
        <m:r>
          <m:t>O</m:t>
        </m:r>
        <m:d>
          <m:dPr>
            <m:begChr m:val="("/>
            <m:endChr m:val=")"/>
            <m:sepChr m:val=""/>
            <m:grow/>
          </m:dPr>
          <m:e>
            <m:sSup>
              <m:e>
                <m:r>
                  <m:t>n</m:t>
                </m:r>
              </m:e>
              <m:sup>
                <m:r>
                  <m:t>3</m:t>
                </m:r>
              </m:sup>
            </m:sSup>
          </m:e>
        </m:d>
      </m:oMath>
      <w:r>
        <w:t xml:space="preserve"> </w:t>
      </w:r>
      <w:r>
        <w:t xml:space="preserve">time. The constant in (13) is a conservative guarantee; its sharpness is not asserted. Repair supplies nonnegative, monotone physical set costs, while direct recovery has the sharper guarantee in (9).</w:t>
      </w:r>
    </w:p>
    <w:bookmarkEnd w:id="35"/>
    <w:bookmarkStart w:id="36" w:name="X97a7de51fc8d420be7cb66cdb3a640e915adc37"/>
    <w:p>
      <w:pPr>
        <w:pStyle w:val="Heading2"/>
      </w:pPr>
      <w:r>
        <w:t xml:space="preserve">3.3. Sharp recovery after earlier acquisitions</w:t>
      </w:r>
    </w:p>
    <w:p>
      <w:pPr>
        <w:pStyle w:val="FirstParagraph"/>
        <w:keepNext/>
      </w:pPr>
      <w:r>
        <w:t xml:space="preserve">Let</w:t>
      </w:r>
      <w:r>
        <w:t xml:space="preserve"> </w:t>
      </w:r>
      <m:oMath>
        <m:r>
          <m:t>A</m:t>
        </m:r>
        <m:r>
          <m:rPr>
            <m:sty m:val="p"/>
          </m:rPr>
          <m:t>≠</m:t>
        </m:r>
        <m:r>
          <m:rPr>
            <m:sty m:val="p"/>
          </m:rPr>
          <m:t>⌀</m:t>
        </m:r>
      </m:oMath>
      <w:r>
        <w:t xml:space="preserve"> </w:t>
      </w:r>
      <w:r>
        <w:t xml:space="preserve">be a fixed set of previously queried sources, and let</w:t>
      </w:r>
      <w:r>
        <w:t xml:space="preserve"> </w:t>
      </w:r>
      <m:oMath>
        <m:r>
          <m:t>S</m:t>
        </m:r>
        <m:r>
          <m:rPr>
            <m:sty m:val="p"/>
          </m:rPr>
          <m:t>⊆</m:t>
        </m:r>
        <m:r>
          <m:t>N</m:t>
        </m:r>
        <m:r>
          <m:rPr>
            <m:sty m:val="p"/>
          </m:rPr>
          <m:t>∖</m:t>
        </m:r>
        <m:r>
          <m:t>A</m:t>
        </m:r>
      </m:oMath>
      <w:r>
        <w:t xml:space="preserve"> </w:t>
      </w:r>
      <w:r>
        <w:t xml:space="preserve">contain</w:t>
      </w:r>
      <w:r>
        <w:t xml:space="preserve"> </w:t>
      </w:r>
      <m:oMath>
        <m:r>
          <m:t>k</m:t>
        </m:r>
      </m:oMath>
      <w:r>
        <w:t xml:space="preserve"> </w:t>
      </w:r>
      <w:r>
        <w:t xml:space="preserve">new sources. The cost relevant to continuation is</w:t>
      </w:r>
    </w:p>
    <w:p>
      <w:pPr>
        <w:pStyle w:val="Equation"/>
        <w:tabs>
          <w:tab w:pos="4680" w:val="center"/>
          <w:tab w:pos="9792" w:val="right"/>
        </w:tabs>
        <w:jc w:val="left"/>
      </w:pPr>
      <w:r>
        <w:tab/>
      </w:r>
      <m:oMath>
        <m:sSub>
          <m:e>
            <m:r>
              <m:t>Δ</m:t>
            </m:r>
          </m:e>
          <m:sub>
            <m:r>
              <m:t>F</m:t>
            </m:r>
          </m:sub>
        </m:sSub>
        <m:d>
          <m:dPr>
            <m:begChr m:val="("/>
            <m:endChr m:val=")"/>
            <m:sepChr m:val=""/>
            <m:grow/>
          </m:dPr>
          <m:e>
            <m:r>
              <m:t>A</m:t>
            </m:r>
            <m:r>
              <m:rPr>
                <m:sty m:val="p"/>
              </m:rPr>
              <m:t>,</m:t>
            </m:r>
            <m:r>
              <m:t>S</m:t>
            </m:r>
          </m:e>
        </m:d>
        <m:r>
          <m:rPr>
            <m:sty m:val="p"/>
          </m:rPr>
          <m:t>=</m:t>
        </m:r>
        <m:r>
          <m:t>F</m:t>
        </m:r>
        <m:d>
          <m:dPr>
            <m:begChr m:val="("/>
            <m:endChr m:val=")"/>
            <m:sepChr m:val=""/>
            <m:grow/>
          </m:dPr>
          <m:e>
            <m:r>
              <m:t>A</m:t>
            </m:r>
            <m:r>
              <m:rPr>
                <m:sty m:val="p"/>
              </m:rPr>
              <m:t>∪</m:t>
            </m:r>
            <m:r>
              <m:t>S</m:t>
            </m:r>
          </m:e>
        </m:d>
        <m:r>
          <m:rPr>
            <m:sty m:val="p"/>
          </m:rPr>
          <m:t>−</m:t>
        </m:r>
        <m:r>
          <m:t>F</m:t>
        </m:r>
        <m:d>
          <m:dPr>
            <m:begChr m:val="("/>
            <m:endChr m:val=")"/>
            <m:sepChr m:val=""/>
            <m:grow/>
          </m:dPr>
          <m:e>
            <m:r>
              <m:t>A</m:t>
            </m:r>
          </m:e>
        </m:d>
        <m:r>
          <m:rPr>
            <m:sty m:val="p"/>
          </m:rPr>
          <m:t>.</m:t>
        </m:r>
      </m:oMath>
      <w:r>
        <w:tab/>
        <w:t>(14)</w:t>
      </w:r>
    </w:p>
    <w:p>
      <w:pPr>
        <w:pStyle w:val="BodyText"/>
      </w:pPr>
      <w:r>
        <w:t xml:space="preserve">The available information is the singleton and pair measurement table</w:t>
      </w:r>
      <w:r>
        <w:t xml:space="preserve"> </w:t>
      </w:r>
      <m:oMath>
        <m:r>
          <m:t>z</m:t>
        </m:r>
        <m:r>
          <m:rPr>
            <m:sty m:val="p"/>
          </m:rPr>
          <m:t>=</m:t>
        </m:r>
        <m:d>
          <m:dPr>
            <m:begChr m:val="("/>
            <m:endChr m:val=")"/>
            <m:sepChr m:val=""/>
            <m:grow/>
          </m:dPr>
          <m:e>
            <m:sSub>
              <m:e>
                <m:r>
                  <m:t>z</m:t>
                </m:r>
              </m:e>
              <m:sub>
                <m:r>
                  <m:t>i</m:t>
                </m:r>
              </m:sub>
            </m:sSub>
            <m:r>
              <m:rPr>
                <m:sty m:val="p"/>
              </m:rPr>
              <m:t>,</m:t>
            </m:r>
            <m:sSub>
              <m:e>
                <m:r>
                  <m:t>z</m:t>
                </m:r>
              </m:e>
              <m:sub>
                <m:r>
                  <m:t>i</m:t>
                </m:r>
                <m:r>
                  <m:t>j</m:t>
                </m:r>
              </m:sub>
            </m:sSub>
          </m:e>
        </m:d>
      </m:oMath>
      <w:r>
        <w:t xml:space="preserve">, with no additional exact telemetry for the sunk cost. Write</w:t>
      </w:r>
      <w:r>
        <w:t xml:space="preserve"> </w:t>
      </w:r>
      <m:oMath>
        <m:sSub>
          <m:e>
            <m:r>
              <m:rPr>
                <m:sty m:val="p"/>
              </m:rPr>
              <m:t>ℛ</m:t>
            </m:r>
          </m:e>
          <m:sub>
            <m:r>
              <m:t>A</m:t>
            </m:r>
          </m:sub>
        </m:sSub>
        <m:d>
          <m:dPr>
            <m:begChr m:val="("/>
            <m:endChr m:val=")"/>
            <m:sepChr m:val=""/>
            <m:grow/>
          </m:dPr>
          <m:e>
            <m:r>
              <m:t>S</m:t>
            </m:r>
          </m:e>
        </m:d>
      </m:oMath>
      <w:r>
        <w:t xml:space="preserve"> </w:t>
      </w:r>
      <w:r>
        <w:t xml:space="preserve">for the forests on</w:t>
      </w:r>
      <w:r>
        <w:t xml:space="preserve"> </w:t>
      </w:r>
      <m:oMath>
        <m:r>
          <m:t>A</m:t>
        </m:r>
        <m:r>
          <m:rPr>
            <m:sty m:val="p"/>
          </m:rPr>
          <m:t>∪</m:t>
        </m:r>
        <m:r>
          <m:t>S</m:t>
        </m:r>
      </m:oMath>
      <w:r>
        <w:t xml:space="preserve"> </w:t>
      </w:r>
      <w:r>
        <w:t xml:space="preserve">in which every component contains exactly one vertex of</w:t>
      </w:r>
      <w:r>
        <w:t xml:space="preserve"> </w:t>
      </w:r>
      <m:oMath>
        <m:r>
          <m:t>A</m:t>
        </m:r>
      </m:oMath>
      <w:r>
        <w:t xml:space="preserve">. Isolated anchors are allowed. Every such forest has exactly</w:t>
      </w:r>
      <w:r>
        <w:t xml:space="preserve"> </w:t>
      </w:r>
      <m:oMath>
        <m:r>
          <m:t>k</m:t>
        </m:r>
      </m:oMath>
      <w:r>
        <w:t xml:space="preserve"> </w:t>
      </w:r>
      <w:r>
        <w:t xml:space="preserve">edges, and each new vertex has degree at least one. For</w:t>
      </w:r>
      <w:r>
        <w:t xml:space="preserve"> </w:t>
      </w:r>
      <m:oMath>
        <m:r>
          <m:t>R</m:t>
        </m:r>
        <m:r>
          <m:rPr>
            <m:sty m:val="p"/>
          </m:rPr>
          <m:t>∈</m:t>
        </m:r>
        <m:sSub>
          <m:e>
            <m:r>
              <m:rPr>
                <m:sty m:val="p"/>
              </m:rPr>
              <m:t>ℛ</m:t>
            </m:r>
          </m:e>
          <m:sub>
            <m:r>
              <m:t>A</m:t>
            </m:r>
          </m:sub>
        </m:sSub>
        <m:d>
          <m:dPr>
            <m:begChr m:val="("/>
            <m:endChr m:val=")"/>
            <m:sepChr m:val=""/>
            <m:grow/>
          </m:dPr>
          <m:e>
            <m:r>
              <m:t>S</m:t>
            </m:r>
          </m:e>
        </m:d>
      </m:oMath>
      <w:r>
        <w:t xml:space="preserve">, define</w:t>
      </w:r>
    </w:p>
    <w:p>
      <w:pPr>
        <w:pStyle w:val="Equation"/>
        <w:tabs>
          <w:tab w:pos="4680" w:val="center"/>
          <w:tab w:pos="9792" w:val="right"/>
        </w:tabs>
        <w:jc w:val="left"/>
      </w:pPr>
      <w:r>
        <w:tab/>
      </w:r>
      <m:oMath>
        <m:eqArr>
          <m:eqArrPr>
            <m:baseJc m:val="center"/>
          </m:eqArrPr>
          <m:e>
            <m:sSub>
              <m:e>
                <m:r>
                  <m:t>T</m:t>
                </m:r>
              </m:e>
              <m:sub>
                <m:r>
                  <m:t>z</m:t>
                </m:r>
              </m:sub>
            </m:sSub>
            <m:d>
              <m:dPr>
                <m:begChr m:val="("/>
                <m:endChr m:val=")"/>
                <m:sepChr m:val=""/>
                <m:grow/>
              </m:dPr>
              <m:e>
                <m:r>
                  <m:t>R</m:t>
                </m:r>
              </m:e>
            </m:d>
            <m:r>
              <m:rPr>
                <m:sty m:val="p"/>
              </m:rPr>
              <m:t>=</m:t>
            </m:r>
            <m:r>
              <m:t>​</m:t>
            </m:r>
            <m:nary>
              <m:naryPr>
                <m:chr m:val="∑"/>
                <m:limLoc m:val="undOvr"/>
                <m:subHide m:val="off"/>
                <m:supHide m:val="on"/>
              </m:naryPr>
              <m:sub>
                <m:r>
                  <m:rPr>
                    <m:sty m:val="p"/>
                  </m:rPr>
                  <m:t>{</m:t>
                </m:r>
                <m:r>
                  <m:t>u</m:t>
                </m:r>
                <m:r>
                  <m:rPr>
                    <m:sty m:val="p"/>
                  </m:rPr>
                  <m:t>,</m:t>
                </m:r>
                <m:r>
                  <m:t>v</m:t>
                </m:r>
                <m:r>
                  <m:rPr>
                    <m:sty m:val="p"/>
                  </m:rPr>
                  <m:t>}</m:t>
                </m:r>
                <m:r>
                  <m:rPr>
                    <m:sty m:val="p"/>
                  </m:rPr>
                  <m:t>∈</m:t>
                </m:r>
                <m:r>
                  <m:t>E</m:t>
                </m:r>
                <m:d>
                  <m:dPr>
                    <m:begChr m:val="("/>
                    <m:endChr m:val=")"/>
                    <m:sepChr m:val=""/>
                    <m:grow/>
                  </m:dPr>
                  <m:e>
                    <m:r>
                      <m:t>R</m:t>
                    </m:r>
                  </m:e>
                </m:d>
              </m:sub>
              <m:sup>
                <m:r>
                  <m:t>​</m:t>
                </m:r>
              </m:sup>
              <m:e>
                <m:sSub>
                  <m:e>
                    <m:r>
                      <m:t>z</m:t>
                    </m:r>
                  </m:e>
                  <m:sub>
                    <m:r>
                      <m:t>u</m:t>
                    </m:r>
                    <m:r>
                      <m:t>v</m:t>
                    </m:r>
                  </m:sub>
                </m:sSub>
              </m:e>
            </m:nary>
            <m:r>
              <m:rPr>
                <m:sty m:val="p"/>
              </m:rPr>
              <m:t>−</m:t>
            </m:r>
            <m:nary>
              <m:naryPr>
                <m:chr m:val="∑"/>
                <m:limLoc m:val="undOvr"/>
                <m:subHide m:val="off"/>
                <m:supHide m:val="on"/>
              </m:naryPr>
              <m:sub>
                <m:r>
                  <m:t>j</m:t>
                </m:r>
                <m:r>
                  <m:rPr>
                    <m:sty m:val="p"/>
                  </m:rPr>
                  <m:t>∈</m:t>
                </m:r>
                <m:r>
                  <m:t>S</m:t>
                </m:r>
              </m:sub>
              <m:sup>
                <m:r>
                  <m:t>​</m:t>
                </m:r>
              </m:sup>
              <m:e>
                <m:d>
                  <m:dPr>
                    <m:begChr m:val="("/>
                    <m:endChr m:val=")"/>
                    <m:sepChr m:val=""/>
                    <m:grow/>
                  </m:dPr>
                  <m:e>
                    <m:sSub>
                      <m:e>
                        <m:r>
                          <m:rPr>
                            <m:sty m:val="p"/>
                            <m:nor/>
                          </m:rPr>
                          <m:t>deg</m:t>
                        </m:r>
                      </m:e>
                      <m:sub>
                        <m:r>
                          <m:t>R</m:t>
                        </m:r>
                      </m:sub>
                    </m:sSub>
                    <m:d>
                      <m:dPr>
                        <m:begChr m:val="("/>
                        <m:endChr m:val=")"/>
                        <m:sepChr m:val=""/>
                        <m:grow/>
                      </m:dPr>
                      <m:e>
                        <m:r>
                          <m:t>j</m:t>
                        </m:r>
                      </m:e>
                    </m:d>
                    <m:r>
                      <m:rPr>
                        <m:sty m:val="p"/>
                      </m:rPr>
                      <m:t>−</m:t>
                    </m:r>
                    <m:r>
                      <m:t>1</m:t>
                    </m:r>
                  </m:e>
                </m:d>
              </m:e>
            </m:nary>
            <m:sSub>
              <m:e>
                <m:r>
                  <m:t>z</m:t>
                </m:r>
              </m:e>
              <m:sub>
                <m:r>
                  <m:t>j</m:t>
                </m:r>
              </m:sub>
            </m:sSub>
          </m:e>
          <m:e>
            <m:r>
              <m:rPr>
                <m:sty m:val="p"/>
              </m:rPr>
              <m:t>−</m:t>
            </m:r>
            <m:nary>
              <m:naryPr>
                <m:chr m:val="∑"/>
                <m:limLoc m:val="undOvr"/>
                <m:subHide m:val="off"/>
                <m:supHide m:val="on"/>
              </m:naryPr>
              <m:sub>
                <m:r>
                  <m:t>a</m:t>
                </m:r>
                <m:r>
                  <m:rPr>
                    <m:sty m:val="p"/>
                  </m:rPr>
                  <m:t>∈</m:t>
                </m:r>
                <m:r>
                  <m:t>A</m:t>
                </m:r>
              </m:sub>
              <m:sup>
                <m:r>
                  <m:t>​</m:t>
                </m:r>
              </m:sup>
              <m:e>
                <m:sSub>
                  <m:e>
                    <m:r>
                      <m:rPr>
                        <m:sty m:val="p"/>
                        <m:nor/>
                      </m:rPr>
                      <m:t>deg</m:t>
                    </m:r>
                  </m:e>
                  <m:sub>
                    <m:r>
                      <m:t>R</m:t>
                    </m:r>
                  </m:sub>
                </m:sSub>
              </m:e>
            </m:nary>
            <m:d>
              <m:dPr>
                <m:begChr m:val="("/>
                <m:endChr m:val=")"/>
                <m:sepChr m:val=""/>
                <m:grow/>
              </m:dPr>
              <m:e>
                <m:r>
                  <m:t>a</m:t>
                </m:r>
              </m:e>
            </m:d>
            <m:sSub>
              <m:e>
                <m:r>
                  <m:t>z</m:t>
                </m:r>
              </m:e>
              <m:sub>
                <m:r>
                  <m:t>a</m:t>
                </m:r>
              </m:sub>
            </m:sSub>
            <m:r>
              <m:rPr>
                <m:sty m:val="p"/>
              </m:rPr>
              <m:t>.</m:t>
            </m:r>
          </m:e>
        </m:eqArr>
      </m:oMath>
      <w:r>
        <w:tab/>
        <w:t>(15)</w:t>
      </w:r>
    </w:p>
    <w:p>
      <w:pPr>
        <w:pStyle w:val="BodyText"/>
        <w:keepNext/>
      </w:pPr>
      <w:r>
        <w:t xml:space="preserve">Define</w:t>
      </w:r>
      <w:r>
        <w:t xml:space="preserve"> </w:t>
      </w:r>
      <m:oMath>
        <m:sSub>
          <m:e>
            <m:r>
              <m:t>H</m:t>
            </m:r>
          </m:e>
          <m:sub>
            <m:r>
              <m:t>A</m:t>
            </m:r>
          </m:sub>
        </m:sSub>
        <m:d>
          <m:dPr>
            <m:begChr m:val="("/>
            <m:endChr m:val=")"/>
            <m:sepChr m:val=""/>
            <m:grow/>
          </m:dPr>
          <m:e>
            <m:r>
              <m:rPr>
                <m:sty m:val="p"/>
              </m:rPr>
              <m:t>⌀</m:t>
            </m:r>
          </m:e>
        </m:d>
        <m:r>
          <m:rPr>
            <m:sty m:val="p"/>
          </m:rPr>
          <m:t>=</m:t>
        </m:r>
        <m:r>
          <m:t>0</m:t>
        </m:r>
      </m:oMath>
      <w:r>
        <w:t xml:space="preserve"> </w:t>
      </w:r>
      <w:r>
        <w:t xml:space="preserve">and</w:t>
      </w:r>
    </w:p>
    <w:p>
      <w:pPr>
        <w:pStyle w:val="Equation"/>
        <w:tabs>
          <w:tab w:pos="4680" w:val="center"/>
          <w:tab w:pos="9792" w:val="right"/>
        </w:tabs>
        <w:jc w:val="left"/>
      </w:pPr>
      <w:r>
        <w:tab/>
      </w:r>
      <m:oMath>
        <m:sSub>
          <m:e>
            <m:r>
              <m:t>H</m:t>
            </m:r>
          </m:e>
          <m:sub>
            <m:r>
              <m:t>A</m:t>
            </m:r>
          </m:sub>
        </m:sSub>
        <m:d>
          <m:dPr>
            <m:begChr m:val="("/>
            <m:endChr m:val=")"/>
            <m:sepChr m:val=""/>
            <m:grow/>
          </m:dPr>
          <m:e>
            <m:r>
              <m:t>S</m:t>
            </m:r>
          </m:e>
        </m:d>
        <m:r>
          <m:rPr>
            <m:sty m:val="p"/>
          </m:rPr>
          <m:t>=</m:t>
        </m:r>
        <m:limLow>
          <m:e>
            <m:r>
              <m:rPr>
                <m:sty m:val="p"/>
                <m:nor/>
              </m:rPr>
              <m:t>min</m:t>
            </m:r>
          </m:e>
          <m:lim>
            <m:r>
              <m:t>R</m:t>
            </m:r>
            <m:r>
              <m:rPr>
                <m:sty m:val="p"/>
              </m:rPr>
              <m:t>∈</m:t>
            </m:r>
            <m:sSub>
              <m:e>
                <m:r>
                  <m:rPr>
                    <m:sty m:val="p"/>
                  </m:rPr>
                  <m:t>ℛ</m:t>
                </m:r>
              </m:e>
              <m:sub>
                <m:r>
                  <m:t>A</m:t>
                </m:r>
              </m:sub>
            </m:sSub>
            <m:d>
              <m:dPr>
                <m:begChr m:val="("/>
                <m:endChr m:val=")"/>
                <m:sepChr m:val=""/>
                <m:grow/>
              </m:dPr>
              <m:e>
                <m:r>
                  <m:t>S</m:t>
                </m:r>
              </m:e>
            </m:d>
          </m:lim>
        </m:limLow>
        <m:sSub>
          <m:e>
            <m:r>
              <m:t>T</m:t>
            </m:r>
          </m:e>
          <m:sub>
            <m:r>
              <m:t>z</m:t>
            </m:r>
          </m:sub>
        </m:sSub>
        <m:d>
          <m:dPr>
            <m:begChr m:val="("/>
            <m:endChr m:val=")"/>
            <m:sepChr m:val=""/>
            <m:grow/>
          </m:dPr>
          <m:e>
            <m:r>
              <m:t>R</m:t>
            </m:r>
          </m:e>
        </m:d>
        <m:r>
          <m:rPr>
            <m:sty m:val="p"/>
          </m:rPr>
          <m:t>.</m:t>
        </m:r>
      </m:oMath>
      <w:r>
        <w:tab/>
        <w:t>(16)</w:t>
      </w:r>
    </w:p>
    <w:p>
      <w:pPr>
        <w:pStyle w:val="BodyText"/>
        <w:keepNext/>
        <w:spacing w:before="140" w:after="100"/>
      </w:pPr>
      <w:r>
        <w:rPr>
          <w:bCs/>
          <w:b/>
        </w:rPr>
        <w:t xml:space="preserve">Theorem 3.3 — Sharp continuation recovery.</w:t>
      </w:r>
      <w:r>
        <w:t xml:space="preserve"> </w:t>
      </w:r>
      <w:r>
        <w:t xml:space="preserve">Suppose the true cost has the representation (2) and all singleton and pair errors obey</w:t>
      </w:r>
    </w:p>
    <w:p>
      <w:pPr>
        <w:pStyle w:val="Equation"/>
        <w:tabs>
          <w:tab w:pos="4680" w:val="center"/>
          <w:tab w:pos="9792" w:val="right"/>
        </w:tabs>
        <w:jc w:val="left"/>
      </w:pPr>
      <w:r>
        <w:tab/>
      </w:r>
      <m:oMath>
        <m:box>
          <m:e>
            <m:r>
              <m:rPr>
                <m:sty m:val="p"/>
              </m:rPr>
              <m:t>|</m:t>
            </m:r>
            <m:sSub>
              <m:e>
                <m:r>
                  <m:t>z</m:t>
                </m:r>
              </m:e>
              <m:sub>
                <m:r>
                  <m:t>i</m:t>
                </m:r>
              </m:sub>
            </m:sSub>
            <m:r>
              <m:rPr>
                <m:sty m:val="p"/>
              </m:rPr>
              <m:t>−</m:t>
            </m:r>
            <m:sSub>
              <m:e>
                <m:r>
                  <m:t>c</m:t>
                </m:r>
              </m:e>
              <m:sub>
                <m:r>
                  <m:t>i</m:t>
                </m:r>
              </m:sub>
            </m:sSub>
            <m:r>
              <m:rPr>
                <m:sty m:val="p"/>
              </m:rPr>
              <m:t>|</m:t>
            </m:r>
          </m:e>
        </m:box>
        <m:r>
          <m:rPr>
            <m:sty m:val="p"/>
          </m:rPr>
          <m:t>≤</m:t>
        </m:r>
        <m:sSub>
          <m:e>
            <m:r>
              <m:t>ε</m:t>
            </m:r>
          </m:e>
          <m:sub>
            <m:r>
              <m:t>1</m:t>
            </m:r>
          </m:sub>
        </m:sSub>
        <m:r>
          <m:rPr>
            <m:sty m:val="p"/>
          </m:rPr>
          <m:t>,</m:t>
        </m:r>
        <m:r>
          <m:t>  </m:t>
        </m:r>
        <m:box>
          <m:e>
            <m:r>
              <m:rPr>
                <m:sty m:val="p"/>
              </m:rPr>
              <m:t>|</m:t>
            </m:r>
            <m:sSub>
              <m:e>
                <m:r>
                  <m:t>z</m:t>
                </m:r>
              </m:e>
              <m:sub>
                <m:r>
                  <m:t>i</m:t>
                </m:r>
                <m:r>
                  <m:t>j</m:t>
                </m:r>
              </m:sub>
            </m:sSub>
            <m:r>
              <m:rPr>
                <m:sty m:val="p"/>
              </m:rPr>
              <m:t>−</m:t>
            </m:r>
            <m:sSub>
              <m:e>
                <m:r>
                  <m:t>c</m:t>
                </m:r>
              </m:e>
              <m:sub>
                <m:r>
                  <m:t>i</m:t>
                </m:r>
                <m:r>
                  <m:t>j</m:t>
                </m:r>
              </m:sub>
            </m:sSub>
            <m:r>
              <m:rPr>
                <m:sty m:val="p"/>
              </m:rPr>
              <m:t>|</m:t>
            </m:r>
          </m:e>
        </m:box>
        <m:r>
          <m:rPr>
            <m:sty m:val="p"/>
          </m:rPr>
          <m:t>≤</m:t>
        </m:r>
        <m:sSub>
          <m:e>
            <m:r>
              <m:t>ε</m:t>
            </m:r>
          </m:e>
          <m:sub>
            <m:r>
              <m:t>2</m:t>
            </m:r>
          </m:sub>
        </m:sSub>
        <m:r>
          <m:rPr>
            <m:sty m:val="p"/>
          </m:rPr>
          <m:t>,</m:t>
        </m:r>
        <m:r>
          <m:t>  </m:t>
        </m:r>
        <m:sSub>
          <m:e>
            <m:r>
              <m:t>ε</m:t>
            </m:r>
          </m:e>
          <m:sub>
            <m:r>
              <m:t>1</m:t>
            </m:r>
          </m:sub>
        </m:sSub>
        <m:r>
          <m:rPr>
            <m:sty m:val="p"/>
          </m:rPr>
          <m:t>,</m:t>
        </m:r>
        <m:sSub>
          <m:e>
            <m:r>
              <m:t>ε</m:t>
            </m:r>
          </m:e>
          <m:sub>
            <m:r>
              <m:t>2</m:t>
            </m:r>
          </m:sub>
        </m:sSub>
        <m:r>
          <m:rPr>
            <m:sty m:val="p"/>
          </m:rPr>
          <m:t>≥</m:t>
        </m:r>
        <m:r>
          <m:t>0</m:t>
        </m:r>
        <m:r>
          <m:rPr>
            <m:sty m:val="p"/>
          </m:rPr>
          <m:t>.</m:t>
        </m:r>
      </m:oMath>
      <w:r>
        <w:tab/>
        <w:t>(17)</w:t>
      </w:r>
    </w:p>
    <w:p>
      <w:pPr>
        <w:pStyle w:val="BodyText"/>
        <w:keepNext/>
      </w:pPr>
      <w:r>
        <w:t xml:space="preserve">For every nonempty</w:t>
      </w:r>
      <w:r>
        <w:t xml:space="preserve"> </w:t>
      </w:r>
      <m:oMath>
        <m:r>
          <m:t>A</m:t>
        </m:r>
      </m:oMath>
      <w:r>
        <w:t xml:space="preserve"> </w:t>
      </w:r>
      <w:r>
        <w:t xml:space="preserve">and disjoint</w:t>
      </w:r>
      <w:r>
        <w:t xml:space="preserve"> </w:t>
      </w:r>
      <m:oMath>
        <m:r>
          <m:t>S</m:t>
        </m:r>
      </m:oMath>
      <w:r>
        <w:t xml:space="preserve"> </w:t>
      </w:r>
      <w:r>
        <w:t xml:space="preserve">of size</w:t>
      </w:r>
      <w:r>
        <w:t xml:space="preserve"> </w:t>
      </w:r>
      <m:oMath>
        <m:r>
          <m:t>k</m:t>
        </m:r>
        <m:r>
          <m:rPr>
            <m:sty m:val="p"/>
          </m:rPr>
          <m:t>≥</m:t>
        </m:r>
        <m:r>
          <m:t>1</m:t>
        </m:r>
      </m:oMath>
      <w:r>
        <w:t xml:space="preserve">,</w:t>
      </w:r>
    </w:p>
    <w:p>
      <w:pPr>
        <w:pStyle w:val="Equation"/>
        <w:tabs>
          <w:tab w:pos="4680" w:val="center"/>
          <w:tab w:pos="9792" w:val="right"/>
        </w:tabs>
        <w:jc w:val="left"/>
      </w:pPr>
      <w:r>
        <w:tab/>
      </w:r>
      <m:oMath>
        <m:eqArr>
          <m:eqArrPr>
            <m:baseJc m:val="center"/>
          </m:eqArrPr>
          <m:e>
            <m:sSub>
              <m:e>
                <m:r>
                  <m:t>Δ</m:t>
                </m:r>
              </m:e>
              <m:sub>
                <m:r>
                  <m:t>F</m:t>
                </m:r>
              </m:sub>
            </m:sSub>
            <m:d>
              <m:dPr>
                <m:begChr m:val="("/>
                <m:endChr m:val=")"/>
                <m:sepChr m:val=""/>
                <m:grow/>
              </m:dPr>
              <m:e>
                <m:r>
                  <m:t>A</m:t>
                </m:r>
                <m:r>
                  <m:rPr>
                    <m:sty m:val="p"/>
                  </m:rPr>
                  <m:t>,</m:t>
                </m:r>
                <m:r>
                  <m:t>S</m:t>
                </m:r>
              </m:e>
            </m:d>
            <m:r>
              <m:rPr>
                <m:sty m:val="p"/>
              </m:rPr>
              <m:t>=</m:t>
            </m:r>
            <m:limLow>
              <m:e>
                <m:r>
                  <m:rPr>
                    <m:sty m:val="p"/>
                    <m:nor/>
                  </m:rPr>
                  <m:t>min</m:t>
                </m:r>
              </m:e>
              <m:lim>
                <m:r>
                  <m:t>R</m:t>
                </m:r>
                <m:r>
                  <m:rPr>
                    <m:sty m:val="p"/>
                  </m:rPr>
                  <m:t>∈</m:t>
                </m:r>
                <m:sSub>
                  <m:e>
                    <m:r>
                      <m:rPr>
                        <m:sty m:val="p"/>
                      </m:rPr>
                      <m:t>ℛ</m:t>
                    </m:r>
                  </m:e>
                  <m:sub>
                    <m:r>
                      <m:t>A</m:t>
                    </m:r>
                  </m:sub>
                </m:sSub>
                <m:d>
                  <m:dPr>
                    <m:begChr m:val="("/>
                    <m:endChr m:val=")"/>
                    <m:sepChr m:val=""/>
                    <m:grow/>
                  </m:dPr>
                  <m:e>
                    <m:r>
                      <m:t>S</m:t>
                    </m:r>
                  </m:e>
                </m:d>
              </m:lim>
            </m:limLow>
            <m:sSub>
              <m:e>
                <m:r>
                  <m:t>T</m:t>
                </m:r>
              </m:e>
              <m:sub>
                <m:r>
                  <m:t>c</m:t>
                </m:r>
              </m:sub>
            </m:sSub>
            <m:d>
              <m:dPr>
                <m:begChr m:val="("/>
                <m:endChr m:val=")"/>
                <m:sepChr m:val=""/>
                <m:grow/>
              </m:dPr>
              <m:e>
                <m:r>
                  <m:t>R</m:t>
                </m:r>
              </m:e>
            </m:d>
            <m:r>
              <m:rPr>
                <m:sty m:val="p"/>
              </m:rPr>
              <m:t>,</m:t>
            </m:r>
          </m:e>
          <m:e>
            <m:box>
              <m:e>
                <m:r>
                  <m:rPr>
                    <m:sty m:val="p"/>
                  </m:rPr>
                  <m:t>|</m:t>
                </m:r>
                <m:sSub>
                  <m:e>
                    <m:r>
                      <m:t>H</m:t>
                    </m:r>
                  </m:e>
                  <m:sub>
                    <m:r>
                      <m:t>A</m:t>
                    </m:r>
                  </m:sub>
                </m:sSub>
                <m:d>
                  <m:dPr>
                    <m:begChr m:val="("/>
                    <m:endChr m:val=")"/>
                    <m:sepChr m:val=""/>
                    <m:grow/>
                  </m:dPr>
                  <m:e>
                    <m:r>
                      <m:t>S</m:t>
                    </m:r>
                  </m:e>
                </m:d>
                <m:r>
                  <m:rPr>
                    <m:sty m:val="p"/>
                  </m:rPr>
                  <m:t>−</m:t>
                </m:r>
                <m:sSub>
                  <m:e>
                    <m:r>
                      <m:t>Δ</m:t>
                    </m:r>
                  </m:e>
                  <m:sub>
                    <m:r>
                      <m:t>F</m:t>
                    </m:r>
                  </m:sub>
                </m:sSub>
                <m:d>
                  <m:dPr>
                    <m:begChr m:val="("/>
                    <m:endChr m:val=")"/>
                    <m:sepChr m:val=""/>
                    <m:grow/>
                  </m:dPr>
                  <m:e>
                    <m:r>
                      <m:t>A</m:t>
                    </m:r>
                    <m:r>
                      <m:rPr>
                        <m:sty m:val="p"/>
                      </m:rPr>
                      <m:t>,</m:t>
                    </m:r>
                    <m:r>
                      <m:t>S</m:t>
                    </m:r>
                  </m:e>
                </m:d>
                <m:r>
                  <m:rPr>
                    <m:sty m:val="p"/>
                  </m:rPr>
                  <m:t>|</m:t>
                </m:r>
              </m:e>
            </m:box>
            <m:r>
              <m:rPr>
                <m:sty m:val="p"/>
              </m:rPr>
              <m:t>≤</m:t>
            </m:r>
            <m:r>
              <m:t>k</m:t>
            </m:r>
            <m:d>
              <m:dPr>
                <m:begChr m:val="("/>
                <m:endChr m:val=")"/>
                <m:sepChr m:val=""/>
                <m:grow/>
              </m:dPr>
              <m:e>
                <m:sSub>
                  <m:e>
                    <m:r>
                      <m:t>ε</m:t>
                    </m:r>
                  </m:e>
                  <m:sub>
                    <m:r>
                      <m:t>1</m:t>
                    </m:r>
                  </m:sub>
                </m:sSub>
                <m:r>
                  <m:rPr>
                    <m:sty m:val="p"/>
                  </m:rPr>
                  <m:t>+</m:t>
                </m:r>
                <m:sSub>
                  <m:e>
                    <m:r>
                      <m:t>ε</m:t>
                    </m:r>
                  </m:e>
                  <m:sub>
                    <m:r>
                      <m:t>2</m:t>
                    </m:r>
                  </m:sub>
                </m:sSub>
              </m:e>
            </m:d>
            <m:r>
              <m:rPr>
                <m:sty m:val="p"/>
              </m:rPr>
              <m:t>.</m:t>
            </m:r>
          </m:e>
        </m:eqArr>
      </m:oMath>
      <w:r>
        <w:tab/>
        <w:t>(18)</w:t>
      </w:r>
    </w:p>
    <w:p>
      <w:pPr>
        <w:pStyle w:val="BodyText"/>
      </w:pPr>
      <w:r>
        <w:t xml:space="preserve">For each fixed pair of sizes</w:t>
      </w:r>
      <w:r>
        <w:t xml:space="preserve"> </w:t>
      </w:r>
      <m:oMath>
        <m:box>
          <m:e>
            <m:r>
              <m:rPr>
                <m:sty m:val="p"/>
              </m:rPr>
              <m:t>|</m:t>
            </m:r>
            <m:r>
              <m:t>A</m:t>
            </m:r>
            <m:r>
              <m:rPr>
                <m:sty m:val="p"/>
              </m:rPr>
              <m:t>|</m:t>
            </m:r>
          </m:e>
        </m:box>
        <m:r>
          <m:rPr>
            <m:sty m:val="p"/>
          </m:rPr>
          <m:t>≥</m:t>
        </m:r>
        <m:r>
          <m:t>1</m:t>
        </m:r>
      </m:oMath>
      <w:r>
        <w:t xml:space="preserve"> </w:t>
      </w:r>
      <w:r>
        <w:t xml:space="preserve">and</w:t>
      </w:r>
      <w:r>
        <w:t xml:space="preserve"> </w:t>
      </w:r>
      <m:oMath>
        <m:r>
          <m:t>k</m:t>
        </m:r>
        <m:r>
          <m:rPr>
            <m:sty m:val="p"/>
          </m:rPr>
          <m:t>≥</m:t>
        </m:r>
        <m:r>
          <m:t>1</m:t>
        </m:r>
      </m:oMath>
      <w:r>
        <w:t xml:space="preserve">, this is the exact minimax radius over nonnegative rooted trees on</w:t>
      </w:r>
      <w:r>
        <w:t xml:space="preserve"> </w:t>
      </w:r>
      <m:oMath>
        <m:r>
          <m:t>A</m:t>
        </m:r>
        <m:r>
          <m:rPr>
            <m:sty m:val="p"/>
          </m:rPr>
          <m:t>∪</m:t>
        </m:r>
        <m:r>
          <m:t>S</m:t>
        </m:r>
      </m:oMath>
      <w:r>
        <w:t xml:space="preserve">, when the full singleton and pair table is available subject to these tolerances. In particular, under a common tolerance</w:t>
      </w:r>
      <w:r>
        <w:t xml:space="preserve"> </w:t>
      </w:r>
      <m:oMath>
        <m:r>
          <m:t>ε</m:t>
        </m:r>
      </m:oMath>
      <w:r>
        <w:t xml:space="preserve">, the radius is</w:t>
      </w:r>
      <w:r>
        <w:t xml:space="preserve"> </w:t>
      </w:r>
      <m:oMath>
        <m:r>
          <m:t>2</m:t>
        </m:r>
        <m:r>
          <m:t>k</m:t>
        </m:r>
        <m:r>
          <m:t>ε</m:t>
        </m:r>
      </m:oMath>
      <w:r>
        <w:t xml:space="preserve">, independent of</w:t>
      </w:r>
      <w:r>
        <w:t xml:space="preserve"> </w:t>
      </w:r>
      <m:oMath>
        <m:box>
          <m:e>
            <m:r>
              <m:rPr>
                <m:sty m:val="p"/>
              </m:rPr>
              <m:t>|</m:t>
            </m:r>
            <m:r>
              <m:t>A</m:t>
            </m:r>
            <m:r>
              <m:rPr>
                <m:sty m:val="p"/>
              </m:rPr>
              <m:t>|</m:t>
            </m:r>
          </m:e>
        </m:box>
      </m:oMath>
      <w:r>
        <w:t xml:space="preserve">.</w:t>
      </w:r>
    </w:p>
    <w:p>
      <w:pPr>
        <w:pStyle w:val="BodyText"/>
      </w:pPr>
      <w:r>
        <w:rPr>
          <w:iCs/>
          <w:i/>
        </w:rPr>
        <w:t xml:space="preserve">Proof.</w:t>
      </w:r>
      <w:r>
        <w:t xml:space="preserve"> </w:t>
      </w:r>
      <w:r>
        <w:t xml:space="preserve">Orient every component of a forest</w:t>
      </w:r>
      <w:r>
        <w:t xml:space="preserve"> </w:t>
      </w:r>
      <m:oMath>
        <m:r>
          <m:t>R</m:t>
        </m:r>
      </m:oMath>
      <w:r>
        <w:t xml:space="preserve"> </w:t>
      </w:r>
      <w:r>
        <w:t xml:space="preserve">toward its anchor and order its new vertices with parents before children. When vertex</w:t>
      </w:r>
      <w:r>
        <w:t xml:space="preserve"> </w:t>
      </w:r>
      <m:oMath>
        <m:r>
          <m:t>j</m:t>
        </m:r>
      </m:oMath>
      <w:r>
        <w:t xml:space="preserve"> </w:t>
      </w:r>
      <w:r>
        <w:t xml:space="preserve">is added, its overlap with the already activated paths is at least its overlap with its parent. The marginal identity (5) therefore gives</w:t>
      </w:r>
    </w:p>
    <w:p>
      <w:pPr>
        <w:pStyle w:val="Equation"/>
        <w:jc w:val="center"/>
      </w:pPr>
      <m:oMathPara>
        <m:oMathParaPr>
          <m:jc m:val="center"/>
        </m:oMathParaPr>
        <m:oMath>
          <m:sSub>
            <m:e>
              <m:r>
                <m:t>Δ</m:t>
              </m:r>
            </m:e>
            <m:sub>
              <m:r>
                <m:t>F</m:t>
              </m:r>
            </m:sub>
          </m:sSub>
          <m:d>
            <m:dPr>
              <m:begChr m:val="("/>
              <m:endChr m:val=")"/>
              <m:sepChr m:val=""/>
              <m:grow/>
            </m:dPr>
            <m:e>
              <m:r>
                <m:t>A</m:t>
              </m:r>
              <m:r>
                <m:rPr>
                  <m:sty m:val="p"/>
                </m:rPr>
                <m:t>,</m:t>
              </m:r>
              <m:r>
                <m:t>S</m:t>
              </m:r>
            </m:e>
          </m:d>
          <m:r>
            <m:rPr>
              <m:sty m:val="p"/>
            </m:rPr>
            <m:t>≤</m:t>
          </m:r>
          <m:nary>
            <m:naryPr>
              <m:chr m:val="∑"/>
              <m:limLoc m:val="undOvr"/>
              <m:subHide m:val="off"/>
              <m:supHide m:val="on"/>
            </m:naryPr>
            <m:sub>
              <m:r>
                <m:t>j</m:t>
              </m:r>
              <m:r>
                <m:rPr>
                  <m:sty m:val="p"/>
                </m:rPr>
                <m:t>∈</m:t>
              </m:r>
              <m:r>
                <m:t>S</m:t>
              </m:r>
            </m:sub>
            <m:sup>
              <m:r>
                <m:t>​</m:t>
              </m:r>
            </m:sup>
            <m:e>
              <m:sSub>
                <m:e>
                  <m:r>
                    <m:t>c</m:t>
                  </m:r>
                </m:e>
                <m:sub>
                  <m:r>
                    <m:t>j</m:t>
                  </m:r>
                </m:sub>
              </m:sSub>
            </m:e>
          </m:nary>
          <m:r>
            <m:rPr>
              <m:sty m:val="p"/>
            </m:rPr>
            <m:t>−</m:t>
          </m:r>
          <m:nary>
            <m:naryPr>
              <m:chr m:val="∑"/>
              <m:limLoc m:val="undOvr"/>
              <m:subHide m:val="off"/>
              <m:supHide m:val="on"/>
            </m:naryPr>
            <m:sub>
              <m:r>
                <m:rPr>
                  <m:sty m:val="p"/>
                </m:rPr>
                <m:t>{</m:t>
              </m:r>
              <m:r>
                <m:t>u</m:t>
              </m:r>
              <m:r>
                <m:rPr>
                  <m:sty m:val="p"/>
                </m:rPr>
                <m:t>,</m:t>
              </m:r>
              <m:r>
                <m:t>v</m:t>
              </m:r>
              <m:r>
                <m:rPr>
                  <m:sty m:val="p"/>
                </m:rPr>
                <m:t>}</m:t>
              </m:r>
              <m:r>
                <m:rPr>
                  <m:sty m:val="p"/>
                </m:rPr>
                <m:t>∈</m:t>
              </m:r>
              <m:r>
                <m:t>E</m:t>
              </m:r>
              <m:d>
                <m:dPr>
                  <m:begChr m:val="("/>
                  <m:endChr m:val=")"/>
                  <m:sepChr m:val=""/>
                  <m:grow/>
                </m:dPr>
                <m:e>
                  <m:r>
                    <m:t>R</m:t>
                  </m:r>
                </m:e>
              </m:d>
            </m:sub>
            <m:sup>
              <m:r>
                <m:t>​</m:t>
              </m:r>
            </m:sup>
            <m:e>
              <m:sSub>
                <m:e>
                  <m:r>
                    <m:t>o</m:t>
                  </m:r>
                </m:e>
                <m:sub>
                  <m:r>
                    <m:t>u</m:t>
                  </m:r>
                  <m:r>
                    <m:t>v</m:t>
                  </m:r>
                </m:sub>
              </m:sSub>
            </m:e>
          </m:nary>
          <m:r>
            <m:rPr>
              <m:sty m:val="p"/>
            </m:rPr>
            <m:t>=</m:t>
          </m:r>
          <m:sSub>
            <m:e>
              <m:r>
                <m:t>T</m:t>
              </m:r>
            </m:e>
            <m:sub>
              <m:r>
                <m:t>c</m:t>
              </m:r>
            </m:sub>
          </m:sSub>
          <m:d>
            <m:dPr>
              <m:begChr m:val="("/>
              <m:endChr m:val=")"/>
              <m:sepChr m:val=""/>
              <m:grow/>
            </m:dPr>
            <m:e>
              <m:r>
                <m:t>R</m:t>
              </m:r>
            </m:e>
          </m:d>
          <m:r>
            <m:rPr>
              <m:sty m:val="p"/>
            </m:rPr>
            <m:t>.</m:t>
          </m:r>
        </m:oMath>
      </m:oMathPara>
    </w:p>
    <w:p>
      <w:pPr>
        <w:pStyle w:val="FirstParagraph"/>
      </w:pPr>
      <w:r>
        <w:t xml:space="preserve">Conversely, order the elements of</w:t>
      </w:r>
      <w:r>
        <w:t xml:space="preserve"> </w:t>
      </w:r>
      <m:oMath>
        <m:r>
          <m:t>S</m:t>
        </m:r>
      </m:oMath>
      <w:r>
        <w:t xml:space="preserve"> </w:t>
      </w:r>
      <w:r>
        <w:t xml:space="preserve">arbitrarily. For each new vertex choose a parent among</w:t>
      </w:r>
      <w:r>
        <w:t xml:space="preserve"> </w:t>
      </w:r>
      <m:oMath>
        <m:r>
          <m:t>A</m:t>
        </m:r>
      </m:oMath>
      <w:r>
        <w:t xml:space="preserve"> </w:t>
      </w:r>
      <w:r>
        <w:t xml:space="preserve">and the earlier new vertices attaining its maximum overlap with that set. Each parent precedes its child, so these choices form a forest with exactly one anchor in each component. Every marginal inequality is then an equality. Summing the marginal identities proves the first assertion.</w:t>
      </w:r>
    </w:p>
    <w:p>
      <w:pPr>
        <w:pStyle w:val="BodyText"/>
        <w:keepNext/>
      </w:pPr>
      <w:r>
        <w:t xml:space="preserve">Each forest expression has</w:t>
      </w:r>
      <w:r>
        <w:t xml:space="preserve"> </w:t>
      </w:r>
      <m:oMath>
        <m:r>
          <m:t>k</m:t>
        </m:r>
      </m:oMath>
      <w:r>
        <w:t xml:space="preserve"> </w:t>
      </w:r>
      <w:r>
        <w:t xml:space="preserve">pair coefficients equal to one. The singleton coefficients are nonpositive, with total absolute value</w:t>
      </w:r>
    </w:p>
    <w:p>
      <w:pPr>
        <w:pStyle w:val="Equation"/>
        <w:jc w:val="center"/>
      </w:pPr>
      <m:oMathPara>
        <m:oMathParaPr>
          <m:jc m:val="center"/>
        </m:oMathParaPr>
        <m:oMath>
          <m:nary>
            <m:naryPr>
              <m:chr m:val="∑"/>
              <m:limLoc m:val="undOvr"/>
              <m:subHide m:val="off"/>
              <m:supHide m:val="on"/>
            </m:naryPr>
            <m:sub>
              <m:r>
                <m:t>j</m:t>
              </m:r>
              <m:r>
                <m:rPr>
                  <m:sty m:val="p"/>
                </m:rPr>
                <m:t>∈</m:t>
              </m:r>
              <m:r>
                <m:t>S</m:t>
              </m:r>
            </m:sub>
            <m:sup>
              <m:r>
                <m:t>​</m:t>
              </m:r>
            </m:sup>
            <m:e>
              <m:d>
                <m:dPr>
                  <m:begChr m:val="("/>
                  <m:endChr m:val=")"/>
                  <m:sepChr m:val=""/>
                  <m:grow/>
                </m:dPr>
                <m:e>
                  <m:sSub>
                    <m:e>
                      <m:r>
                        <m:rPr>
                          <m:sty m:val="p"/>
                          <m:nor/>
                        </m:rPr>
                        <m:t>deg</m:t>
                      </m:r>
                    </m:e>
                    <m:sub>
                      <m:r>
                        <m:t>R</m:t>
                      </m:r>
                    </m:sub>
                  </m:sSub>
                  <m:d>
                    <m:dPr>
                      <m:begChr m:val="("/>
                      <m:endChr m:val=")"/>
                      <m:sepChr m:val=""/>
                      <m:grow/>
                    </m:dPr>
                    <m:e>
                      <m:r>
                        <m:t>j</m:t>
                      </m:r>
                    </m:e>
                  </m:d>
                  <m:r>
                    <m:rPr>
                      <m:sty m:val="p"/>
                    </m:rPr>
                    <m:t>−</m:t>
                  </m:r>
                  <m:r>
                    <m:t>1</m:t>
                  </m:r>
                </m:e>
              </m:d>
            </m:e>
          </m:nary>
          <m:r>
            <m:rPr>
              <m:sty m:val="p"/>
            </m:rPr>
            <m:t>+</m:t>
          </m:r>
          <m:nary>
            <m:naryPr>
              <m:chr m:val="∑"/>
              <m:limLoc m:val="undOvr"/>
              <m:subHide m:val="off"/>
              <m:supHide m:val="on"/>
            </m:naryPr>
            <m:sub>
              <m:r>
                <m:t>a</m:t>
              </m:r>
              <m:r>
                <m:rPr>
                  <m:sty m:val="p"/>
                </m:rPr>
                <m:t>∈</m:t>
              </m:r>
              <m:r>
                <m:t>A</m:t>
              </m:r>
            </m:sub>
            <m:sup>
              <m:r>
                <m:t>​</m:t>
              </m:r>
            </m:sup>
            <m:e>
              <m:sSub>
                <m:e>
                  <m:r>
                    <m:rPr>
                      <m:sty m:val="p"/>
                      <m:nor/>
                    </m:rPr>
                    <m:t>deg</m:t>
                  </m:r>
                </m:e>
                <m:sub>
                  <m:r>
                    <m:t>R</m:t>
                  </m:r>
                </m:sub>
              </m:sSub>
            </m:e>
          </m:nary>
          <m:d>
            <m:dPr>
              <m:begChr m:val="("/>
              <m:endChr m:val=")"/>
              <m:sepChr m:val=""/>
              <m:grow/>
            </m:dPr>
            <m:e>
              <m:r>
                <m:t>a</m:t>
              </m:r>
            </m:e>
          </m:d>
          <m:r>
            <m:rPr>
              <m:sty m:val="p"/>
            </m:rPr>
            <m:t>=</m:t>
          </m:r>
          <m:r>
            <m:t>2</m:t>
          </m:r>
          <m:r>
            <m:t>k</m:t>
          </m:r>
          <m:r>
            <m:rPr>
              <m:sty m:val="p"/>
            </m:rPr>
            <m:t>−</m:t>
          </m:r>
          <m:r>
            <m:t>k</m:t>
          </m:r>
          <m:r>
            <m:rPr>
              <m:sty m:val="p"/>
            </m:rPr>
            <m:t>=</m:t>
          </m:r>
          <m:r>
            <m:t>k</m:t>
          </m:r>
          <m:r>
            <m:rPr>
              <m:sty m:val="p"/>
            </m:rPr>
            <m:t>.</m:t>
          </m:r>
        </m:oMath>
      </m:oMathPara>
    </w:p>
    <w:p>
      <w:pPr>
        <w:pStyle w:val="FirstParagraph"/>
      </w:pPr>
      <w:r>
        <w:t xml:space="preserve">Thus each expression changes by at most</w:t>
      </w:r>
      <w:r>
        <w:t xml:space="preserve"> </w:t>
      </w:r>
      <m:oMath>
        <m:r>
          <m:t>k</m:t>
        </m:r>
        <m:d>
          <m:dPr>
            <m:begChr m:val="("/>
            <m:endChr m:val=")"/>
            <m:sepChr m:val=""/>
            <m:grow/>
          </m:dPr>
          <m:e>
            <m:sSub>
              <m:e>
                <m:r>
                  <m:t>ε</m:t>
                </m:r>
              </m:e>
              <m:sub>
                <m:r>
                  <m:t>1</m:t>
                </m:r>
              </m:sub>
            </m:sSub>
            <m:r>
              <m:rPr>
                <m:sty m:val="p"/>
              </m:rPr>
              <m:t>+</m:t>
            </m:r>
            <m:sSub>
              <m:e>
                <m:r>
                  <m:t>ε</m:t>
                </m:r>
              </m:e>
              <m:sub>
                <m:r>
                  <m:t>2</m:t>
                </m:r>
              </m:sub>
            </m:sSub>
          </m:e>
        </m:d>
      </m:oMath>
      <w:r>
        <w:t xml:space="preserve">. Taking minima preserves that bound.</w:t>
      </w:r>
    </w:p>
    <w:p>
      <w:pPr>
        <w:pStyle w:val="BodyText"/>
        <w:keepNext/>
      </w:pPr>
      <w:r>
        <w:t xml:space="preserve">For the lower bound, take</w:t>
      </w:r>
      <w:r>
        <w:t xml:space="preserve"> </w:t>
      </w:r>
      <m:oMath>
        <m:box>
          <m:e>
            <m:r>
              <m:rPr>
                <m:sty m:val="p"/>
              </m:rPr>
              <m:t>|</m:t>
            </m:r>
            <m:r>
              <m:t>A</m:t>
            </m:r>
            <m:r>
              <m:rPr>
                <m:sty m:val="p"/>
              </m:rPr>
              <m:t>|</m:t>
            </m:r>
          </m:e>
        </m:box>
        <m:r>
          <m:rPr>
            <m:sty m:val="p"/>
          </m:rPr>
          <m:t>+</m:t>
        </m:r>
        <m:r>
          <m:t>k</m:t>
        </m:r>
      </m:oMath>
      <w:r>
        <w:t xml:space="preserve"> </w:t>
      </w:r>
      <w:r>
        <w:t xml:space="preserve">leaves with common trunk length</w:t>
      </w:r>
      <w:r>
        <w:t xml:space="preserve"> </w:t>
      </w:r>
      <m:oMath>
        <m:r>
          <m:t>a</m:t>
        </m:r>
        <m:r>
          <m:rPr>
            <m:sty m:val="p"/>
          </m:rPr>
          <m:t>&gt;</m:t>
        </m:r>
        <m:r>
          <m:t>2</m:t>
        </m:r>
        <m:sSub>
          <m:e>
            <m:r>
              <m:t>ε</m:t>
            </m:r>
          </m:e>
          <m:sub>
            <m:r>
              <m:t>1</m:t>
            </m:r>
          </m:sub>
        </m:sSub>
        <m:r>
          <m:rPr>
            <m:sty m:val="p"/>
          </m:rPr>
          <m:t>+</m:t>
        </m:r>
        <m:sSub>
          <m:e>
            <m:r>
              <m:t>ε</m:t>
            </m:r>
          </m:e>
          <m:sub>
            <m:r>
              <m:t>2</m:t>
            </m:r>
          </m:sub>
        </m:sSub>
      </m:oMath>
      <w:r>
        <w:t xml:space="preserve"> </w:t>
      </w:r>
      <w:r>
        <w:t xml:space="preserve">and equal pendant lengths</w:t>
      </w:r>
      <w:r>
        <w:t xml:space="preserve"> </w:t>
      </w:r>
      <m:oMath>
        <m:r>
          <m:t>b</m:t>
        </m:r>
        <m:r>
          <m:rPr>
            <m:sty m:val="p"/>
          </m:rPr>
          <m:t>&gt;</m:t>
        </m:r>
        <m:sSub>
          <m:e>
            <m:r>
              <m:t>ε</m:t>
            </m:r>
          </m:e>
          <m:sub>
            <m:r>
              <m:t>1</m:t>
            </m:r>
          </m:sub>
        </m:sSub>
        <m:r>
          <m:rPr>
            <m:sty m:val="p"/>
          </m:rPr>
          <m:t>+</m:t>
        </m:r>
        <m:sSub>
          <m:e>
            <m:r>
              <m:t>ε</m:t>
            </m:r>
          </m:e>
          <m:sub>
            <m:r>
              <m:t>2</m:t>
            </m:r>
          </m:sub>
        </m:sSub>
      </m:oMath>
      <w:r>
        <w:t xml:space="preserve">. Use the table of this central tree as the measurement. Two admissible true trees have parameters</w:t>
      </w:r>
    </w:p>
    <w:p>
      <w:pPr>
        <w:pStyle w:val="Equation"/>
        <w:jc w:val="center"/>
      </w:pPr>
      <m:oMathPara>
        <m:oMathParaPr>
          <m:jc m:val="center"/>
        </m:oMathParaPr>
        <m:oMath>
          <m:d>
            <m:dPr>
              <m:begChr m:val="("/>
              <m:endChr m:val=")"/>
              <m:sepChr m:val=""/>
              <m:grow/>
            </m:dPr>
            <m:e>
              <m:sSub>
                <m:e>
                  <m:r>
                    <m:t>a</m:t>
                  </m:r>
                </m:e>
                <m:sub>
                  <m:r>
                    <m:rPr>
                      <m:sty m:val="p"/>
                    </m:rPr>
                    <m:t>±</m:t>
                  </m:r>
                </m:sub>
              </m:sSub>
              <m:r>
                <m:rPr>
                  <m:sty m:val="p"/>
                </m:rPr>
                <m:t>,</m:t>
              </m:r>
              <m:sSub>
                <m:e>
                  <m:r>
                    <m:t>b</m:t>
                  </m:r>
                </m:e>
                <m:sub>
                  <m:r>
                    <m:rPr>
                      <m:sty m:val="p"/>
                    </m:rPr>
                    <m:t>±</m:t>
                  </m:r>
                </m:sub>
              </m:sSub>
            </m:e>
          </m:d>
          <m:r>
            <m:rPr>
              <m:sty m:val="p"/>
            </m:rPr>
            <m:t>=</m:t>
          </m:r>
          <m:d>
            <m:dPr>
              <m:begChr m:val="("/>
              <m:endChr m:val=")"/>
              <m:sepChr m:val=""/>
              <m:grow/>
            </m:dPr>
            <m:e>
              <m:r>
                <m:t>a</m:t>
              </m:r>
              <m:r>
                <m:rPr>
                  <m:sty m:val="p"/>
                </m:rPr>
                <m:t>∓</m:t>
              </m:r>
              <m:d>
                <m:dPr>
                  <m:begChr m:val="("/>
                  <m:endChr m:val=")"/>
                  <m:sepChr m:val=""/>
                  <m:grow/>
                </m:dPr>
                <m:e>
                  <m:r>
                    <m:t>2</m:t>
                  </m:r>
                  <m:sSub>
                    <m:e>
                      <m:r>
                        <m:t>ε</m:t>
                      </m:r>
                    </m:e>
                    <m:sub>
                      <m:r>
                        <m:t>1</m:t>
                      </m:r>
                    </m:sub>
                  </m:sSub>
                  <m:r>
                    <m:rPr>
                      <m:sty m:val="p"/>
                    </m:rPr>
                    <m:t>+</m:t>
                  </m:r>
                  <m:sSub>
                    <m:e>
                      <m:r>
                        <m:t>ε</m:t>
                      </m:r>
                    </m:e>
                    <m:sub>
                      <m:r>
                        <m:t>2</m:t>
                      </m:r>
                    </m:sub>
                  </m:sSub>
                </m:e>
              </m:d>
              <m:r>
                <m:rPr>
                  <m:sty m:val="p"/>
                </m:rPr>
                <m:t>,</m:t>
              </m:r>
              <m:r>
                <m:t> </m:t>
              </m:r>
              <m:r>
                <m:t>b</m:t>
              </m:r>
              <m:r>
                <m:rPr>
                  <m:sty m:val="p"/>
                </m:rPr>
                <m:t>±</m:t>
              </m:r>
              <m:d>
                <m:dPr>
                  <m:begChr m:val="("/>
                  <m:endChr m:val=")"/>
                  <m:sepChr m:val=""/>
                  <m:grow/>
                </m:dPr>
                <m:e>
                  <m:sSub>
                    <m:e>
                      <m:r>
                        <m:t>ε</m:t>
                      </m:r>
                    </m:e>
                    <m:sub>
                      <m:r>
                        <m:t>1</m:t>
                      </m:r>
                    </m:sub>
                  </m:sSub>
                  <m:r>
                    <m:rPr>
                      <m:sty m:val="p"/>
                    </m:rPr>
                    <m:t>+</m:t>
                  </m:r>
                  <m:sSub>
                    <m:e>
                      <m:r>
                        <m:t>ε</m:t>
                      </m:r>
                    </m:e>
                    <m:sub>
                      <m:r>
                        <m:t>2</m:t>
                      </m:r>
                    </m:sub>
                  </m:sSub>
                </m:e>
              </m:d>
            </m:e>
          </m:d>
          <m:r>
            <m:rPr>
              <m:sty m:val="p"/>
            </m:rPr>
            <m:t>.</m:t>
          </m:r>
        </m:oMath>
      </m:oMathPara>
    </w:p>
    <w:p>
      <w:pPr>
        <w:pStyle w:val="FirstParagraph"/>
        <w:keepNext/>
      </w:pPr>
      <w:r>
        <w:t xml:space="preserve">Their singleton deviations are</w:t>
      </w:r>
      <w:r>
        <w:t xml:space="preserve"> </w:t>
      </w:r>
      <m:oMath>
        <m:r>
          <m:rPr>
            <m:sty m:val="p"/>
          </m:rPr>
          <m:t>∓</m:t>
        </m:r>
        <m:sSub>
          <m:e>
            <m:r>
              <m:t>ε</m:t>
            </m:r>
          </m:e>
          <m:sub>
            <m:r>
              <m:t>1</m:t>
            </m:r>
          </m:sub>
        </m:sSub>
      </m:oMath>
      <w:r>
        <w:t xml:space="preserve">, and their pair deviations are</w:t>
      </w:r>
      <w:r>
        <w:t xml:space="preserve"> </w:t>
      </w:r>
      <m:oMath>
        <m:r>
          <m:rPr>
            <m:sty m:val="p"/>
          </m:rPr>
          <m:t>±</m:t>
        </m:r>
        <m:sSub>
          <m:e>
            <m:r>
              <m:t>ε</m:t>
            </m:r>
          </m:e>
          <m:sub>
            <m:r>
              <m:t>2</m:t>
            </m:r>
          </m:sub>
        </m:sSub>
      </m:oMath>
      <w:r>
        <w:t xml:space="preserve">, including all pairs of anchors. Since</w:t>
      </w:r>
      <w:r>
        <w:t xml:space="preserve"> </w:t>
      </w:r>
      <m:oMath>
        <m:r>
          <m:t>A</m:t>
        </m:r>
      </m:oMath>
      <w:r>
        <w:t xml:space="preserve"> </w:t>
      </w:r>
      <w:r>
        <w:t xml:space="preserve">is nonempty, its paths already include the trunk. The two continuation costs are therefore</w:t>
      </w:r>
    </w:p>
    <w:p>
      <w:pPr>
        <w:pStyle w:val="Equation"/>
        <w:jc w:val="center"/>
      </w:pPr>
      <m:oMathPara>
        <m:oMathParaPr>
          <m:jc m:val="center"/>
        </m:oMathParaPr>
        <m:oMath>
          <m:sSub>
            <m:e>
              <m:r>
                <m:t>Δ</m:t>
              </m:r>
            </m:e>
            <m:sub>
              <m:sSub>
                <m:e>
                  <m:r>
                    <m:t>F</m:t>
                  </m:r>
                </m:e>
                <m:sub>
                  <m:r>
                    <m:rPr>
                      <m:sty m:val="p"/>
                    </m:rPr>
                    <m:t>±</m:t>
                  </m:r>
                </m:sub>
              </m:sSub>
            </m:sub>
          </m:sSub>
          <m:d>
            <m:dPr>
              <m:begChr m:val="("/>
              <m:endChr m:val=")"/>
              <m:sepChr m:val=""/>
              <m:grow/>
            </m:dPr>
            <m:e>
              <m:r>
                <m:t>A</m:t>
              </m:r>
              <m:r>
                <m:rPr>
                  <m:sty m:val="p"/>
                </m:rPr>
                <m:t>,</m:t>
              </m:r>
              <m:r>
                <m:t>S</m:t>
              </m:r>
            </m:e>
          </m:d>
          <m:r>
            <m:rPr>
              <m:sty m:val="p"/>
            </m:rPr>
            <m:t>=</m:t>
          </m:r>
          <m:r>
            <m:t>k</m:t>
          </m:r>
          <m:r>
            <m:t>b</m:t>
          </m:r>
          <m:r>
            <m:rPr>
              <m:sty m:val="p"/>
            </m:rPr>
            <m:t>±</m:t>
          </m:r>
          <m:r>
            <m:t>k</m:t>
          </m:r>
          <m:d>
            <m:dPr>
              <m:begChr m:val="("/>
              <m:endChr m:val=")"/>
              <m:sepChr m:val=""/>
              <m:grow/>
            </m:dPr>
            <m:e>
              <m:sSub>
                <m:e>
                  <m:r>
                    <m:t>ε</m:t>
                  </m:r>
                </m:e>
                <m:sub>
                  <m:r>
                    <m:t>1</m:t>
                  </m:r>
                </m:sub>
              </m:sSub>
              <m:r>
                <m:rPr>
                  <m:sty m:val="p"/>
                </m:rPr>
                <m:t>+</m:t>
              </m:r>
              <m:sSub>
                <m:e>
                  <m:r>
                    <m:t>ε</m:t>
                  </m:r>
                </m:e>
                <m:sub>
                  <m:r>
                    <m:t>2</m:t>
                  </m:r>
                </m:sub>
              </m:sSub>
            </m:e>
          </m:d>
          <m:r>
            <m:rPr>
              <m:sty m:val="p"/>
            </m:rPr>
            <m:t>.</m:t>
          </m:r>
        </m:oMath>
      </m:oMathPara>
    </w:p>
    <w:p>
      <w:pPr>
        <w:pStyle w:val="FirstParagraph"/>
      </w:pPr>
      <w:r>
        <w:t xml:space="preserve">Any estimator receives the same complete measurement table in both cases and must incur error at least half their separation. The upper bound attains this radius. The case of zero tolerances follows as well.</w:t>
      </w:r>
      <w:r>
        <w:t xml:space="preserve"> </w:t>
      </w:r>
      <m:oMath>
        <m:r>
          <m:rPr>
            <m:sty m:val="p"/>
          </m:rPr>
          <m:t>▫</m:t>
        </m:r>
      </m:oMath>
    </w:p>
    <w:p>
      <w:pPr>
        <w:pStyle w:val="BodyText"/>
      </w:pPr>
      <w:r>
        <w:t xml:space="preserve">The theorem estimates the continuation functional directly. It does not require selecting a globally compatible repaired tree or identifying the physical topology. It also does not assume that an exact value of</w:t>
      </w:r>
      <w:r>
        <w:t xml:space="preserve"> </w:t>
      </w:r>
      <m:oMath>
        <m:r>
          <m:t>F</m:t>
        </m:r>
        <m:d>
          <m:dPr>
            <m:begChr m:val="("/>
            <m:endChr m:val=")"/>
            <m:sepChr m:val=""/>
            <m:grow/>
          </m:dPr>
          <m:e>
            <m:r>
              <m:t>A</m:t>
            </m:r>
          </m:e>
        </m:d>
      </m:oMath>
      <w:r>
        <w:t xml:space="preserve"> </w:t>
      </w:r>
      <w:r>
        <w:t xml:space="preserve">is observed; additional exact information changes the minimax experiment.</w:t>
      </w:r>
    </w:p>
    <w:p>
      <w:pPr>
        <w:pStyle w:val="BodyText"/>
        <w:keepNext/>
      </w:pPr>
      <w:r>
        <w:rPr>
          <w:bCs/>
          <w:b/>
        </w:rPr>
        <w:t xml:space="preserve">Computation.</w:t>
      </w:r>
      <w:r>
        <w:t xml:space="preserve"> </w:t>
      </w:r>
      <w:r>
        <w:t xml:space="preserve">Contract all anchors to an auxiliary vertex 0. On the complete graph with vertices</w:t>
      </w:r>
      <w:r>
        <w:t xml:space="preserve"> </w:t>
      </w:r>
      <m:oMath>
        <m:r>
          <m:rPr>
            <m:sty m:val="p"/>
          </m:rPr>
          <m:t>{</m:t>
        </m:r>
        <m:r>
          <m:t>0</m:t>
        </m:r>
        <m:r>
          <m:rPr>
            <m:sty m:val="p"/>
          </m:rPr>
          <m:t>}</m:t>
        </m:r>
        <m:r>
          <m:rPr>
            <m:sty m:val="p"/>
          </m:rPr>
          <m:t>∪</m:t>
        </m:r>
        <m:r>
          <m:t>S</m:t>
        </m:r>
      </m:oMath>
      <w:r>
        <w:t xml:space="preserve">, assign weights</w:t>
      </w:r>
    </w:p>
    <w:p>
      <w:pPr>
        <w:pStyle w:val="Equation"/>
        <w:tabs>
          <w:tab w:pos="4680" w:val="center"/>
          <w:tab w:pos="9792" w:val="right"/>
        </w:tabs>
        <w:jc w:val="left"/>
      </w:pPr>
      <w:r>
        <w:tab/>
      </w:r>
      <m:oMath>
        <m:sSub>
          <m:e>
            <m:r>
              <m:t>w</m:t>
            </m:r>
          </m:e>
          <m:sub>
            <m:r>
              <m:t>i</m:t>
            </m:r>
            <m:r>
              <m:t>j</m:t>
            </m:r>
          </m:sub>
        </m:sSub>
        <m:r>
          <m:rPr>
            <m:sty m:val="p"/>
          </m:rPr>
          <m:t>=</m:t>
        </m:r>
        <m:sSub>
          <m:e>
            <m:r>
              <m:t>z</m:t>
            </m:r>
          </m:e>
          <m:sub>
            <m:r>
              <m:t>i</m:t>
            </m:r>
            <m:r>
              <m:t>j</m:t>
            </m:r>
          </m:sub>
        </m:sSub>
        <m:r>
          <m:rPr>
            <m:sty m:val="p"/>
          </m:rPr>
          <m:t>−</m:t>
        </m:r>
        <m:sSub>
          <m:e>
            <m:r>
              <m:t>z</m:t>
            </m:r>
          </m:e>
          <m:sub>
            <m:r>
              <m:t>i</m:t>
            </m:r>
          </m:sub>
        </m:sSub>
        <m:r>
          <m:rPr>
            <m:sty m:val="p"/>
          </m:rPr>
          <m:t>−</m:t>
        </m:r>
        <m:sSub>
          <m:e>
            <m:r>
              <m:t>z</m:t>
            </m:r>
          </m:e>
          <m:sub>
            <m:r>
              <m:t>j</m:t>
            </m:r>
          </m:sub>
        </m:sSub>
        <m:r>
          <m:rPr>
            <m:sty m:val="p"/>
          </m:rPr>
          <m:t>,</m:t>
        </m:r>
        <m:r>
          <m:t>  </m:t>
        </m:r>
        <m:sSub>
          <m:e>
            <m:r>
              <m:t>w</m:t>
            </m:r>
          </m:e>
          <m:sub>
            <m:r>
              <m:t>0</m:t>
            </m:r>
            <m:r>
              <m:t>j</m:t>
            </m:r>
          </m:sub>
        </m:sSub>
        <m:r>
          <m:rPr>
            <m:sty m:val="p"/>
          </m:rPr>
          <m:t>=</m:t>
        </m:r>
        <m:limLow>
          <m:e>
            <m:r>
              <m:rPr>
                <m:sty m:val="p"/>
                <m:nor/>
              </m:rPr>
              <m:t>min</m:t>
            </m:r>
          </m:e>
          <m:lim>
            <m:r>
              <m:t>a</m:t>
            </m:r>
            <m:r>
              <m:rPr>
                <m:sty m:val="p"/>
              </m:rPr>
              <m:t>∈</m:t>
            </m:r>
            <m:r>
              <m:t>A</m:t>
            </m:r>
          </m:lim>
        </m:limLow>
        <m:d>
          <m:dPr>
            <m:begChr m:val="("/>
            <m:endChr m:val=")"/>
            <m:sepChr m:val=""/>
            <m:grow/>
          </m:dPr>
          <m:e>
            <m:sSub>
              <m:e>
                <m:r>
                  <m:t>z</m:t>
                </m:r>
              </m:e>
              <m:sub>
                <m:r>
                  <m:t>a</m:t>
                </m:r>
                <m:r>
                  <m:t>j</m:t>
                </m:r>
              </m:sub>
            </m:sSub>
            <m:r>
              <m:rPr>
                <m:sty m:val="p"/>
              </m:rPr>
              <m:t>−</m:t>
            </m:r>
            <m:sSub>
              <m:e>
                <m:r>
                  <m:t>z</m:t>
                </m:r>
              </m:e>
              <m:sub>
                <m:r>
                  <m:t>a</m:t>
                </m:r>
              </m:sub>
            </m:sSub>
            <m:r>
              <m:rPr>
                <m:sty m:val="p"/>
              </m:rPr>
              <m:t>−</m:t>
            </m:r>
            <m:sSub>
              <m:e>
                <m:r>
                  <m:t>z</m:t>
                </m:r>
              </m:e>
              <m:sub>
                <m:r>
                  <m:t>j</m:t>
                </m:r>
              </m:sub>
            </m:sSub>
          </m:e>
        </m:d>
        <m:r>
          <m:rPr>
            <m:sty m:val="p"/>
          </m:rPr>
          <m:t>.</m:t>
        </m:r>
      </m:oMath>
      <w:r>
        <w:tab/>
        <w:t>(19)</w:t>
      </w:r>
    </w:p>
    <w:p>
      <w:pPr>
        <w:pStyle w:val="BodyText"/>
        <w:keepNext/>
      </w:pPr>
      <w:r>
        <w:t xml:space="preserve">Then</w:t>
      </w:r>
    </w:p>
    <w:p>
      <w:pPr>
        <w:pStyle w:val="Equation"/>
        <w:tabs>
          <w:tab w:pos="4680" w:val="center"/>
          <w:tab w:pos="9792" w:val="right"/>
        </w:tabs>
        <w:jc w:val="left"/>
      </w:pPr>
      <w:r>
        <w:tab/>
      </w:r>
      <m:oMath>
        <m:sSub>
          <m:e>
            <m:r>
              <m:t>H</m:t>
            </m:r>
          </m:e>
          <m:sub>
            <m:r>
              <m:t>A</m:t>
            </m:r>
          </m:sub>
        </m:sSub>
        <m:d>
          <m:dPr>
            <m:begChr m:val="("/>
            <m:endChr m:val=")"/>
            <m:sepChr m:val=""/>
            <m:grow/>
          </m:dPr>
          <m:e>
            <m:r>
              <m:t>S</m:t>
            </m:r>
          </m:e>
        </m:d>
        <m:r>
          <m:rPr>
            <m:sty m:val="p"/>
          </m:rPr>
          <m:t>=</m:t>
        </m:r>
        <m:nary>
          <m:naryPr>
            <m:chr m:val="∑"/>
            <m:limLoc m:val="undOvr"/>
            <m:subHide m:val="off"/>
            <m:supHide m:val="on"/>
          </m:naryPr>
          <m:sub>
            <m:r>
              <m:t>j</m:t>
            </m:r>
            <m:r>
              <m:rPr>
                <m:sty m:val="p"/>
              </m:rPr>
              <m:t>∈</m:t>
            </m:r>
            <m:r>
              <m:t>S</m:t>
            </m:r>
          </m:sub>
          <m:sup>
            <m:r>
              <m:t>​</m:t>
            </m:r>
          </m:sup>
          <m:e>
            <m:sSub>
              <m:e>
                <m:r>
                  <m:t>z</m:t>
                </m:r>
              </m:e>
              <m:sub>
                <m:r>
                  <m:t>j</m:t>
                </m:r>
              </m:sub>
            </m:sSub>
          </m:e>
        </m:nary>
        <m:r>
          <m:rPr>
            <m:sty m:val="p"/>
          </m:rPr>
          <m:t>+</m:t>
        </m:r>
        <m:limLow>
          <m:e>
            <m:r>
              <m:rPr>
                <m:sty m:val="p"/>
                <m:nor/>
              </m:rPr>
              <m:t>min</m:t>
            </m:r>
          </m:e>
          <m:lim>
            <m:r>
              <m:t>M</m:t>
            </m:r>
          </m:lim>
        </m:limLow>
        <m:nary>
          <m:naryPr>
            <m:chr m:val="∑"/>
            <m:limLoc m:val="undOvr"/>
            <m:subHide m:val="off"/>
            <m:supHide m:val="on"/>
          </m:naryPr>
          <m:sub>
            <m:r>
              <m:t>e</m:t>
            </m:r>
            <m:r>
              <m:rPr>
                <m:sty m:val="p"/>
              </m:rPr>
              <m:t>∈</m:t>
            </m:r>
            <m:r>
              <m:t>E</m:t>
            </m:r>
            <m:d>
              <m:dPr>
                <m:begChr m:val="("/>
                <m:endChr m:val=")"/>
                <m:sepChr m:val=""/>
                <m:grow/>
              </m:dPr>
              <m:e>
                <m:r>
                  <m:t>M</m:t>
                </m:r>
              </m:e>
            </m:d>
          </m:sub>
          <m:sup>
            <m:r>
              <m:t>​</m:t>
            </m:r>
          </m:sup>
          <m:e>
            <m:sSub>
              <m:e>
                <m:r>
                  <m:t>w</m:t>
                </m:r>
              </m:e>
              <m:sub>
                <m:r>
                  <m:t>e</m:t>
                </m:r>
              </m:sub>
            </m:sSub>
          </m:e>
        </m:nary>
        <m:r>
          <m:rPr>
            <m:sty m:val="p"/>
          </m:rPr>
          <m:t>,</m:t>
        </m:r>
      </m:oMath>
      <w:r>
        <w:tab/>
        <w:t>(20)</w:t>
      </w:r>
    </w:p>
    <w:p>
      <w:pPr>
        <w:pStyle w:val="BodyText"/>
      </w:pPr>
      <w:r>
        <w:t xml:space="preserve">where</w:t>
      </w:r>
      <w:r>
        <w:t xml:space="preserve"> </w:t>
      </w:r>
      <m:oMath>
        <m:r>
          <m:t>M</m:t>
        </m:r>
      </m:oMath>
      <w:r>
        <w:t xml:space="preserve"> </w:t>
      </w:r>
      <w:r>
        <w:t xml:space="preserve">ranges over the spanning trees of this auxiliary graph. Contracting any anchor-rooted forest gives a spanning tree. Conversely, lift each edge incident to 0 to an anchor attaining its defining minimum. Removing vertex 0 separates the spanning tree into components, each of which is attached to one anchor; this gives an admissible forest of the same weight. The weights need not be ultrametric, and this algorithm does not assume that they are.</w:t>
      </w:r>
    </w:p>
    <w:p>
      <w:pPr>
        <w:pStyle w:val="BodyText"/>
        <w:keepNext/>
      </w:pPr>
      <w:r>
        <w:t xml:space="preserve">Forming anchor edges costs</w:t>
      </w:r>
      <w:r>
        <w:t xml:space="preserve"> </w:t>
      </w:r>
      <m:oMath>
        <m:r>
          <m:t>O</m:t>
        </m:r>
        <m:d>
          <m:dPr>
            <m:begChr m:val="("/>
            <m:endChr m:val=")"/>
            <m:sepChr m:val=""/>
            <m:grow/>
          </m:dPr>
          <m:e>
            <m:box>
              <m:e>
                <m:r>
                  <m:rPr>
                    <m:sty m:val="p"/>
                  </m:rPr>
                  <m:t>|</m:t>
                </m:r>
                <m:r>
                  <m:t>A</m:t>
                </m:r>
                <m:r>
                  <m:rPr>
                    <m:sty m:val="p"/>
                  </m:rPr>
                  <m:t>|</m:t>
                </m:r>
              </m:e>
            </m:box>
            <m:r>
              <m:t>k</m:t>
            </m:r>
          </m:e>
        </m:d>
      </m:oMath>
      <w:r>
        <w:t xml:space="preserve"> </w:t>
      </w:r>
      <w:r>
        <w:t xml:space="preserve">arithmetic operations, and dense Prim optimization costs</w:t>
      </w:r>
      <w:r>
        <w:t xml:space="preserve"> </w:t>
      </w:r>
      <m:oMath>
        <m:r>
          <m:t>O</m:t>
        </m:r>
        <m:d>
          <m:dPr>
            <m:begChr m:val="("/>
            <m:endChr m:val=")"/>
            <m:sepChr m:val=""/>
            <m:grow/>
          </m:dPr>
          <m:e>
            <m:sSup>
              <m:e>
                <m:r>
                  <m:t>k</m:t>
                </m:r>
              </m:e>
              <m:sup>
                <m:r>
                  <m:t>2</m:t>
                </m:r>
              </m:sup>
            </m:sSup>
          </m:e>
        </m:d>
      </m:oMath>
      <w:r>
        <w:t xml:space="preserve">. No pair measurement between two anchors is needed. For one new source, the estimator simplifies to</w:t>
      </w:r>
    </w:p>
    <w:p>
      <w:pPr>
        <w:pStyle w:val="Equation"/>
        <w:tabs>
          <w:tab w:pos="4680" w:val="center"/>
          <w:tab w:pos="9792" w:val="right"/>
        </w:tabs>
        <w:jc w:val="left"/>
      </w:pPr>
      <w:r>
        <w:tab/>
      </w:r>
      <m:oMath>
        <m:sSub>
          <m:e>
            <m:r>
              <m:t>H</m:t>
            </m:r>
          </m:e>
          <m:sub>
            <m:r>
              <m:t>A</m:t>
            </m:r>
          </m:sub>
        </m:sSub>
        <m:d>
          <m:dPr>
            <m:begChr m:val="("/>
            <m:endChr m:val=")"/>
            <m:sepChr m:val=""/>
            <m:grow/>
          </m:dPr>
          <m:e>
            <m:r>
              <m:rPr>
                <m:sty m:val="p"/>
              </m:rPr>
              <m:t>{</m:t>
            </m:r>
            <m:r>
              <m:t>j</m:t>
            </m:r>
            <m:r>
              <m:rPr>
                <m:sty m:val="p"/>
              </m:rPr>
              <m:t>}</m:t>
            </m:r>
          </m:e>
        </m:d>
        <m:r>
          <m:rPr>
            <m:sty m:val="p"/>
          </m:rPr>
          <m:t>=</m:t>
        </m:r>
        <m:limLow>
          <m:e>
            <m:r>
              <m:rPr>
                <m:sty m:val="p"/>
                <m:nor/>
              </m:rPr>
              <m:t>min</m:t>
            </m:r>
          </m:e>
          <m:lim>
            <m:r>
              <m:t>a</m:t>
            </m:r>
            <m:r>
              <m:rPr>
                <m:sty m:val="p"/>
              </m:rPr>
              <m:t>∈</m:t>
            </m:r>
            <m:r>
              <m:t>A</m:t>
            </m:r>
          </m:lim>
        </m:limLow>
        <m:d>
          <m:dPr>
            <m:begChr m:val="("/>
            <m:endChr m:val=")"/>
            <m:sepChr m:val=""/>
            <m:grow/>
          </m:dPr>
          <m:e>
            <m:sSub>
              <m:e>
                <m:r>
                  <m:t>z</m:t>
                </m:r>
              </m:e>
              <m:sub>
                <m:r>
                  <m:t>a</m:t>
                </m:r>
                <m:r>
                  <m:t>j</m:t>
                </m:r>
              </m:sub>
            </m:sSub>
            <m:r>
              <m:rPr>
                <m:sty m:val="p"/>
              </m:rPr>
              <m:t>−</m:t>
            </m:r>
            <m:sSub>
              <m:e>
                <m:r>
                  <m:t>z</m:t>
                </m:r>
              </m:e>
              <m:sub>
                <m:r>
                  <m:t>a</m:t>
                </m:r>
              </m:sub>
            </m:sSub>
          </m:e>
        </m:d>
        <m:r>
          <m:rPr>
            <m:sty m:val="p"/>
          </m:rPr>
          <m:t>.</m:t>
        </m:r>
      </m:oMath>
      <w:r>
        <w:tab/>
        <w:t>(21)</w:t>
      </w:r>
    </w:p>
    <w:bookmarkEnd w:id="36"/>
    <w:bookmarkStart w:id="37" w:name="X5511a49deea673d2ac123d28a4e16d3b4bc83cd"/>
    <w:p>
      <w:pPr>
        <w:pStyle w:val="Heading2"/>
      </w:pPr>
      <w:r>
        <w:t xml:space="preserve">3.4. Why subtracting total estimates can be unstable</w:t>
      </w:r>
    </w:p>
    <w:p>
      <w:pPr>
        <w:pStyle w:val="FirstParagraph"/>
      </w:pPr>
      <w:r>
        <w:t xml:space="preserve">One might estimate continuation by</w:t>
      </w:r>
      <w:r>
        <w:t xml:space="preserve"> </w:t>
      </w:r>
      <m:oMath>
        <m:r>
          <m:t>H</m:t>
        </m:r>
        <m:d>
          <m:dPr>
            <m:begChr m:val="("/>
            <m:endChr m:val=")"/>
            <m:sepChr m:val=""/>
            <m:grow/>
          </m:dPr>
          <m:e>
            <m:r>
              <m:t>A</m:t>
            </m:r>
            <m:r>
              <m:rPr>
                <m:sty m:val="p"/>
              </m:rPr>
              <m:t>∪</m:t>
            </m:r>
            <m:r>
              <m:t>S</m:t>
            </m:r>
          </m:e>
        </m:d>
        <m:r>
          <m:rPr>
            <m:sty m:val="p"/>
          </m:rPr>
          <m:t>−</m:t>
        </m:r>
        <m:r>
          <m:t>H</m:t>
        </m:r>
        <m:d>
          <m:dPr>
            <m:begChr m:val="("/>
            <m:endChr m:val=")"/>
            <m:sepChr m:val=""/>
            <m:grow/>
          </m:dPr>
          <m:e>
            <m:r>
              <m:t>A</m:t>
            </m:r>
          </m:e>
        </m:d>
      </m:oMath>
      <w:r>
        <w:t xml:space="preserve">, using the total-cost estimator from Theorem 3.1. Its two error terms can reinforce one another. The following construction demonstrates actual growth with history size, rather than merely a loose bound.</w:t>
      </w:r>
    </w:p>
    <w:p>
      <w:pPr>
        <w:pStyle w:val="BodyText"/>
        <w:keepNext/>
        <w:spacing w:before="140" w:after="100"/>
      </w:pPr>
      <w:r>
        <w:rPr>
          <w:bCs/>
          <w:b/>
        </w:rPr>
        <w:t xml:space="preserve">Proposition 3.4 — History-size instability.</w:t>
      </w:r>
      <w:r>
        <w:t xml:space="preserve"> </w:t>
      </w:r>
      <w:r>
        <w:t xml:space="preserve">For every</w:t>
      </w:r>
      <w:r>
        <w:t xml:space="preserve"> </w:t>
      </w:r>
      <m:oMath>
        <m:r>
          <m:t>h</m:t>
        </m:r>
        <m:r>
          <m:rPr>
            <m:sty m:val="p"/>
          </m:rPr>
          <m:t>≥</m:t>
        </m:r>
        <m:r>
          <m:t>2</m:t>
        </m:r>
      </m:oMath>
      <w:r>
        <w:t xml:space="preserve"> </w:t>
      </w:r>
      <w:r>
        <w:t xml:space="preserve">and</w:t>
      </w:r>
      <w:r>
        <w:t xml:space="preserve"> </w:t>
      </w:r>
      <m:oMath>
        <m:r>
          <m:t>ε</m:t>
        </m:r>
        <m:r>
          <m:rPr>
            <m:sty m:val="p"/>
          </m:rPr>
          <m:t>&gt;</m:t>
        </m:r>
        <m:r>
          <m:t>0</m:t>
        </m:r>
      </m:oMath>
      <w:r>
        <w:t xml:space="preserve">, there is a rooted-tree cost, a set</w:t>
      </w:r>
      <w:r>
        <w:t xml:space="preserve"> </w:t>
      </w:r>
      <m:oMath>
        <m:r>
          <m:t>A</m:t>
        </m:r>
      </m:oMath>
      <w:r>
        <w:t xml:space="preserve"> </w:t>
      </w:r>
      <w:r>
        <w:t xml:space="preserve">with</w:t>
      </w:r>
      <w:r>
        <w:t xml:space="preserve"> </w:t>
      </w:r>
      <m:oMath>
        <m:box>
          <m:e>
            <m:r>
              <m:rPr>
                <m:sty m:val="p"/>
              </m:rPr>
              <m:t>|</m:t>
            </m:r>
            <m:r>
              <m:t>A</m:t>
            </m:r>
            <m:r>
              <m:rPr>
                <m:sty m:val="p"/>
              </m:rPr>
              <m:t>|</m:t>
            </m:r>
          </m:e>
        </m:box>
        <m:r>
          <m:rPr>
            <m:sty m:val="p"/>
          </m:rPr>
          <m:t>=</m:t>
        </m:r>
        <m:r>
          <m:t>h</m:t>
        </m:r>
      </m:oMath>
      <w:r>
        <w:t xml:space="preserve">, one new source</w:t>
      </w:r>
      <w:r>
        <w:t xml:space="preserve"> </w:t>
      </w:r>
      <m:oMath>
        <m:r>
          <m:t>j</m:t>
        </m:r>
      </m:oMath>
      <w:r>
        <w:t xml:space="preserve">, and measurements satisfying (8), such that</w:t>
      </w:r>
    </w:p>
    <w:p>
      <w:pPr>
        <w:pStyle w:val="Equation"/>
        <w:tabs>
          <w:tab w:pos="4680" w:val="center"/>
          <w:tab w:pos="9792" w:val="right"/>
        </w:tabs>
        <w:jc w:val="left"/>
      </w:pPr>
      <w:r>
        <w:tab/>
      </w:r>
      <m:oMath>
        <m:eqArr>
          <m:eqArrPr>
            <m:baseJc m:val="center"/>
          </m:eqArrPr>
          <m:e>
            <m:r>
              <m:t>H</m:t>
            </m:r>
            <m:d>
              <m:dPr>
                <m:begChr m:val="("/>
                <m:endChr m:val=")"/>
                <m:sepChr m:val=""/>
                <m:grow/>
              </m:dPr>
              <m:e>
                <m:r>
                  <m:t>A</m:t>
                </m:r>
                <m:r>
                  <m:rPr>
                    <m:sty m:val="p"/>
                  </m:rPr>
                  <m:t>∪</m:t>
                </m:r>
                <m:r>
                  <m:rPr>
                    <m:sty m:val="p"/>
                  </m:rPr>
                  <m:t>{</m:t>
                </m:r>
                <m:r>
                  <m:t>j</m:t>
                </m:r>
                <m:r>
                  <m:rPr>
                    <m:sty m:val="p"/>
                  </m:rPr>
                  <m:t>}</m:t>
                </m:r>
              </m:e>
            </m:d>
            <m:r>
              <m:rPr>
                <m:sty m:val="p"/>
              </m:rPr>
              <m:t>−</m:t>
            </m:r>
            <m:r>
              <m:t>H</m:t>
            </m:r>
            <m:d>
              <m:dPr>
                <m:begChr m:val="("/>
                <m:endChr m:val=")"/>
                <m:sepChr m:val=""/>
                <m:grow/>
              </m:dPr>
              <m:e>
                <m:r>
                  <m:t>A</m:t>
                </m:r>
              </m:e>
            </m:d>
            <m:r>
              <m:rPr>
                <m:sty m:val="p"/>
              </m:rPr>
              <m:t>=</m:t>
            </m:r>
            <m:sSub>
              <m:e>
                <m:r>
                  <m:t>Δ</m:t>
                </m:r>
              </m:e>
              <m:sub>
                <m:r>
                  <m:t>F</m:t>
                </m:r>
              </m:sub>
            </m:sSub>
            <m:d>
              <m:dPr>
                <m:begChr m:val="("/>
                <m:endChr m:val=")"/>
                <m:sepChr m:val=""/>
                <m:grow/>
              </m:dPr>
              <m:e>
                <m:r>
                  <m:t>A</m:t>
                </m:r>
                <m:r>
                  <m:rPr>
                    <m:sty m:val="p"/>
                  </m:rPr>
                  <m:t>,</m:t>
                </m:r>
                <m:r>
                  <m:rPr>
                    <m:sty m:val="p"/>
                  </m:rPr>
                  <m:t>{</m:t>
                </m:r>
                <m:r>
                  <m:t>j</m:t>
                </m:r>
                <m:r>
                  <m:rPr>
                    <m:sty m:val="p"/>
                  </m:rPr>
                  <m:t>}</m:t>
                </m:r>
              </m:e>
            </m:d>
            <m:r>
              <m:rPr>
                <m:sty m:val="p"/>
              </m:rPr>
              <m:t>−</m:t>
            </m:r>
            <m:r>
              <m:t>4</m:t>
            </m:r>
            <m:d>
              <m:dPr>
                <m:begChr m:val="("/>
                <m:endChr m:val=")"/>
                <m:sepChr m:val=""/>
                <m:grow/>
              </m:dPr>
              <m:e>
                <m:r>
                  <m:t>h</m:t>
                </m:r>
                <m:r>
                  <m:rPr>
                    <m:sty m:val="p"/>
                  </m:rPr>
                  <m:t>−</m:t>
                </m:r>
                <m:r>
                  <m:t>1</m:t>
                </m:r>
              </m:e>
            </m:d>
            <m:r>
              <m:t>ε</m:t>
            </m:r>
            <m:r>
              <m:rPr>
                <m:sty m:val="p"/>
              </m:rPr>
              <m:t>,</m:t>
            </m:r>
          </m:e>
          <m:e>
            <m:sSub>
              <m:e>
                <m:r>
                  <m:t>H</m:t>
                </m:r>
              </m:e>
              <m:sub>
                <m:r>
                  <m:t>A</m:t>
                </m:r>
              </m:sub>
            </m:sSub>
            <m:d>
              <m:dPr>
                <m:begChr m:val="("/>
                <m:endChr m:val=")"/>
                <m:sepChr m:val=""/>
                <m:grow/>
              </m:dPr>
              <m:e>
                <m:r>
                  <m:rPr>
                    <m:sty m:val="p"/>
                  </m:rPr>
                  <m:t>{</m:t>
                </m:r>
                <m:r>
                  <m:t>j</m:t>
                </m:r>
                <m:r>
                  <m:rPr>
                    <m:sty m:val="p"/>
                  </m:rPr>
                  <m:t>}</m:t>
                </m:r>
              </m:e>
            </m:d>
            <m:r>
              <m:rPr>
                <m:sty m:val="p"/>
              </m:rPr>
              <m:t>=</m:t>
            </m:r>
            <m:sSub>
              <m:e>
                <m:r>
                  <m:t>Δ</m:t>
                </m:r>
              </m:e>
              <m:sub>
                <m:r>
                  <m:t>F</m:t>
                </m:r>
              </m:sub>
            </m:sSub>
            <m:d>
              <m:dPr>
                <m:begChr m:val="("/>
                <m:endChr m:val=")"/>
                <m:sepChr m:val=""/>
                <m:grow/>
              </m:dPr>
              <m:e>
                <m:r>
                  <m:t>A</m:t>
                </m:r>
                <m:r>
                  <m:rPr>
                    <m:sty m:val="p"/>
                  </m:rPr>
                  <m:t>,</m:t>
                </m:r>
                <m:r>
                  <m:rPr>
                    <m:sty m:val="p"/>
                  </m:rPr>
                  <m:t>{</m:t>
                </m:r>
                <m:r>
                  <m:t>j</m:t>
                </m:r>
                <m:r>
                  <m:rPr>
                    <m:sty m:val="p"/>
                  </m:rPr>
                  <m:t>}</m:t>
                </m:r>
              </m:e>
            </m:d>
            <m:r>
              <m:rPr>
                <m:sty m:val="p"/>
              </m:rPr>
              <m:t>.</m:t>
            </m:r>
          </m:e>
        </m:eqArr>
      </m:oMath>
      <w:r>
        <w:tab/>
        <w:t>(22)</w:t>
      </w:r>
    </w:p>
    <w:p>
      <w:pPr>
        <w:pStyle w:val="BodyText"/>
        <w:keepNext/>
      </w:pPr>
      <w:r>
        <w:rPr>
          <w:iCs/>
          <w:i/>
        </w:rPr>
        <w:t xml:space="preserve">Proof.</w:t>
      </w:r>
      <w:r>
        <w:t xml:space="preserve"> </w:t>
      </w:r>
      <w:r>
        <w:t xml:space="preserve">Use</w:t>
      </w:r>
      <w:r>
        <w:t xml:space="preserve"> </w:t>
      </w:r>
      <m:oMath>
        <m:r>
          <m:t>h</m:t>
        </m:r>
        <m:r>
          <m:rPr>
            <m:sty m:val="p"/>
          </m:rPr>
          <m:t>+</m:t>
        </m:r>
        <m:r>
          <m:t>1</m:t>
        </m:r>
      </m:oMath>
      <w:r>
        <w:t xml:space="preserve"> </w:t>
      </w:r>
      <w:r>
        <w:t xml:space="preserve">leaves with a shared trunk</w:t>
      </w:r>
      <w:r>
        <w:t xml:space="preserve"> </w:t>
      </w:r>
      <m:oMath>
        <m:r>
          <m:t>a</m:t>
        </m:r>
        <m:r>
          <m:rPr>
            <m:sty m:val="p"/>
          </m:rPr>
          <m:t>&gt;</m:t>
        </m:r>
        <m:r>
          <m:t>3</m:t>
        </m:r>
        <m:r>
          <m:t>ε</m:t>
        </m:r>
      </m:oMath>
      <w:r>
        <w:t xml:space="preserve"> </w:t>
      </w:r>
      <w:r>
        <w:t xml:space="preserve">and equal pendants</w:t>
      </w:r>
      <w:r>
        <w:t xml:space="preserve"> </w:t>
      </w:r>
      <m:oMath>
        <m:r>
          <m:t>b</m:t>
        </m:r>
        <m:r>
          <m:rPr>
            <m:sty m:val="p"/>
          </m:rPr>
          <m:t>&gt;</m:t>
        </m:r>
        <m:r>
          <m:t>0</m:t>
        </m:r>
      </m:oMath>
      <w:r>
        <w:t xml:space="preserve">. Let</w:t>
      </w:r>
    </w:p>
    <w:p>
      <w:pPr>
        <w:pStyle w:val="Equation"/>
        <w:jc w:val="center"/>
      </w:pPr>
      <m:oMathPara>
        <m:oMathParaPr>
          <m:jc m:val="center"/>
        </m:oMathParaPr>
        <m:oMath>
          <m:eqArr>
            <m:eqArrPr>
              <m:baseJc m:val="center"/>
            </m:eqArrPr>
            <m:e>
              <m:sSub>
                <m:e>
                  <m:r>
                    <m:t>z</m:t>
                  </m:r>
                </m:e>
                <m:sub>
                  <m:r>
                    <m:t>i</m:t>
                  </m:r>
                </m:sub>
              </m:sSub>
              <m:r>
                <m:rPr>
                  <m:sty m:val="p"/>
                </m:rPr>
                <m:t>=</m:t>
              </m:r>
              <m:r>
                <m:t>a</m:t>
              </m:r>
              <m:r>
                <m:rPr>
                  <m:sty m:val="p"/>
                </m:rPr>
                <m:t>+</m:t>
              </m:r>
              <m:r>
                <m:t>b</m:t>
              </m:r>
              <m:r>
                <m:rPr>
                  <m:sty m:val="p"/>
                </m:rPr>
                <m:t>−</m:t>
              </m:r>
              <m:r>
                <m:t>ε</m:t>
              </m:r>
              <m:d>
                <m:dPr>
                  <m:begChr m:val="("/>
                  <m:endChr m:val=")"/>
                  <m:sepChr m:val=""/>
                  <m:grow/>
                </m:dPr>
                <m:e>
                  <m:r>
                    <m:t>i</m:t>
                  </m:r>
                  <m:r>
                    <m:rPr>
                      <m:sty m:val="p"/>
                    </m:rPr>
                    <m:t>∈</m:t>
                  </m:r>
                  <m:r>
                    <m:t>A</m:t>
                  </m:r>
                </m:e>
              </m:d>
              <m:r>
                <m:rPr>
                  <m:sty m:val="p"/>
                </m:rPr>
                <m:t>,</m:t>
              </m:r>
            </m:e>
            <m:e>
              <m:sSub>
                <m:e>
                  <m:r>
                    <m:t>z</m:t>
                  </m:r>
                </m:e>
                <m:sub>
                  <m:r>
                    <m:t>j</m:t>
                  </m:r>
                </m:sub>
              </m:sSub>
              <m:r>
                <m:rPr>
                  <m:sty m:val="p"/>
                </m:rPr>
                <m:t>=</m:t>
              </m:r>
              <m:r>
                <m:t>a</m:t>
              </m:r>
              <m:r>
                <m:rPr>
                  <m:sty m:val="p"/>
                </m:rPr>
                <m:t>+</m:t>
              </m:r>
              <m:r>
                <m:t>b</m:t>
              </m:r>
              <m:r>
                <m:rPr>
                  <m:sty m:val="p"/>
                </m:rPr>
                <m:t>+</m:t>
              </m:r>
              <m:r>
                <m:t>ε</m:t>
              </m:r>
              <m:r>
                <m:rPr>
                  <m:sty m:val="p"/>
                </m:rPr>
                <m:t>,</m:t>
              </m:r>
            </m:e>
            <m:e>
              <m:sSub>
                <m:e>
                  <m:r>
                    <m:t>z</m:t>
                  </m:r>
                </m:e>
                <m:sub>
                  <m:r>
                    <m:t>i</m:t>
                  </m:r>
                  <m:r>
                    <m:t>l</m:t>
                  </m:r>
                </m:sub>
              </m:sSub>
              <m:r>
                <m:rPr>
                  <m:sty m:val="p"/>
                </m:rPr>
                <m:t>=</m:t>
              </m:r>
              <m:r>
                <m:t>a</m:t>
              </m:r>
              <m:r>
                <m:rPr>
                  <m:sty m:val="p"/>
                </m:rPr>
                <m:t>+</m:t>
              </m:r>
              <m:r>
                <m:t>2</m:t>
              </m:r>
              <m:r>
                <m:t>b</m:t>
              </m:r>
              <m:r>
                <m:rPr>
                  <m:sty m:val="p"/>
                </m:rPr>
                <m:t>+</m:t>
              </m:r>
              <m:r>
                <m:t>ε</m:t>
              </m:r>
              <m:d>
                <m:dPr>
                  <m:begChr m:val="("/>
                  <m:endChr m:val=")"/>
                  <m:sepChr m:val=""/>
                  <m:grow/>
                </m:dPr>
                <m:e>
                  <m:r>
                    <m:t>i</m:t>
                  </m:r>
                  <m:r>
                    <m:rPr>
                      <m:sty m:val="p"/>
                    </m:rPr>
                    <m:t>,</m:t>
                  </m:r>
                  <m:r>
                    <m:t>l</m:t>
                  </m:r>
                  <m:r>
                    <m:rPr>
                      <m:sty m:val="p"/>
                    </m:rPr>
                    <m:t>∈</m:t>
                  </m:r>
                  <m:r>
                    <m:t>A</m:t>
                  </m:r>
                  <m:r>
                    <m:rPr>
                      <m:sty m:val="p"/>
                    </m:rPr>
                    <m:t>,</m:t>
                  </m:r>
                  <m:r>
                    <m:t> </m:t>
                  </m:r>
                  <m:r>
                    <m:t>i</m:t>
                  </m:r>
                  <m:r>
                    <m:rPr>
                      <m:sty m:val="p"/>
                    </m:rPr>
                    <m:t>≠</m:t>
                  </m:r>
                  <m:r>
                    <m:t>l</m:t>
                  </m:r>
                </m:e>
              </m:d>
              <m:r>
                <m:rPr>
                  <m:sty m:val="p"/>
                </m:rPr>
                <m:t>,</m:t>
              </m:r>
            </m:e>
            <m:e>
              <m:sSub>
                <m:e>
                  <m:r>
                    <m:t>z</m:t>
                  </m:r>
                </m:e>
                <m:sub>
                  <m:r>
                    <m:t>i</m:t>
                  </m:r>
                  <m:r>
                    <m:t>j</m:t>
                  </m:r>
                </m:sub>
              </m:sSub>
              <m:r>
                <m:rPr>
                  <m:sty m:val="p"/>
                </m:rPr>
                <m:t>=</m:t>
              </m:r>
              <m:r>
                <m:t>a</m:t>
              </m:r>
              <m:r>
                <m:rPr>
                  <m:sty m:val="p"/>
                </m:rPr>
                <m:t>+</m:t>
              </m:r>
              <m:r>
                <m:t>2</m:t>
              </m:r>
              <m:r>
                <m:t>b</m:t>
              </m:r>
              <m:r>
                <m:rPr>
                  <m:sty m:val="p"/>
                </m:rPr>
                <m:t>−</m:t>
              </m:r>
              <m:r>
                <m:t>ε</m:t>
              </m:r>
              <m:d>
                <m:dPr>
                  <m:begChr m:val="("/>
                  <m:endChr m:val=")"/>
                  <m:sepChr m:val=""/>
                  <m:grow/>
                </m:dPr>
                <m:e>
                  <m:r>
                    <m:t>i</m:t>
                  </m:r>
                  <m:r>
                    <m:rPr>
                      <m:sty m:val="p"/>
                    </m:rPr>
                    <m:t>∈</m:t>
                  </m:r>
                  <m:r>
                    <m:t>A</m:t>
                  </m:r>
                </m:e>
              </m:d>
              <m:r>
                <m:rPr>
                  <m:sty m:val="p"/>
                </m:rPr>
                <m:t>.</m:t>
              </m:r>
            </m:e>
          </m:eqArr>
        </m:oMath>
      </m:oMathPara>
    </w:p>
    <w:p>
      <w:pPr>
        <w:pStyle w:val="FirstParagraph"/>
        <w:keepNext/>
      </w:pPr>
      <w:r>
        <w:t xml:space="preserve">Every coordinate error has magnitude</w:t>
      </w:r>
      <w:r>
        <w:t xml:space="preserve"> </w:t>
      </w:r>
      <m:oMath>
        <m:r>
          <m:t>ε</m:t>
        </m:r>
      </m:oMath>
      <w:r>
        <w:t xml:space="preserve">. The measured overlaps between anchors equal</w:t>
      </w:r>
      <w:r>
        <w:t xml:space="preserve"> </w:t>
      </w:r>
      <m:oMath>
        <m:r>
          <m:t>a</m:t>
        </m:r>
        <m:r>
          <m:rPr>
            <m:sty m:val="p"/>
          </m:rPr>
          <m:t>−</m:t>
        </m:r>
        <m:r>
          <m:t>3</m:t>
        </m:r>
        <m:r>
          <m:t>ε</m:t>
        </m:r>
      </m:oMath>
      <w:r>
        <w:t xml:space="preserve">, while those between</w:t>
      </w:r>
      <w:r>
        <w:t xml:space="preserve"> </w:t>
      </w:r>
      <m:oMath>
        <m:r>
          <m:t>j</m:t>
        </m:r>
      </m:oMath>
      <w:r>
        <w:t xml:space="preserve"> </w:t>
      </w:r>
      <w:r>
        <w:t xml:space="preserve">and an anchor equal</w:t>
      </w:r>
      <w:r>
        <w:t xml:space="preserve"> </w:t>
      </w:r>
      <m:oMath>
        <m:r>
          <m:t>a</m:t>
        </m:r>
        <m:r>
          <m:rPr>
            <m:sty m:val="p"/>
          </m:rPr>
          <m:t>+</m:t>
        </m:r>
        <m:r>
          <m:t>ε</m:t>
        </m:r>
      </m:oMath>
      <w:r>
        <w:t xml:space="preserve">. A maximum spanning tree on</w:t>
      </w:r>
      <w:r>
        <w:t xml:space="preserve"> </w:t>
      </w:r>
      <m:oMath>
        <m:r>
          <m:t>A</m:t>
        </m:r>
      </m:oMath>
      <w:r>
        <w:t xml:space="preserve"> </w:t>
      </w:r>
      <w:r>
        <w:t xml:space="preserve">uses</w:t>
      </w:r>
      <w:r>
        <w:t xml:space="preserve"> </w:t>
      </w:r>
      <m:oMath>
        <m:r>
          <m:t>h</m:t>
        </m:r>
        <m:r>
          <m:rPr>
            <m:sty m:val="p"/>
          </m:rPr>
          <m:t>−</m:t>
        </m:r>
        <m:r>
          <m:t>1</m:t>
        </m:r>
      </m:oMath>
      <w:r>
        <w:t xml:space="preserve"> </w:t>
      </w:r>
      <w:r>
        <w:t xml:space="preserve">anchor edges. On</w:t>
      </w:r>
      <w:r>
        <w:t xml:space="preserve"> </w:t>
      </w:r>
      <m:oMath>
        <m:r>
          <m:t>A</m:t>
        </m:r>
        <m:r>
          <m:rPr>
            <m:sty m:val="p"/>
          </m:rPr>
          <m:t>∪</m:t>
        </m:r>
        <m:r>
          <m:rPr>
            <m:sty m:val="p"/>
          </m:rPr>
          <m:t>{</m:t>
        </m:r>
        <m:r>
          <m:t>j</m:t>
        </m:r>
        <m:r>
          <m:rPr>
            <m:sty m:val="p"/>
          </m:rPr>
          <m:t>}</m:t>
        </m:r>
      </m:oMath>
      <w:r>
        <w:t xml:space="preserve">, the star centered at</w:t>
      </w:r>
      <w:r>
        <w:t xml:space="preserve"> </w:t>
      </w:r>
      <m:oMath>
        <m:r>
          <m:t>j</m:t>
        </m:r>
      </m:oMath>
      <w:r>
        <w:t xml:space="preserve"> </w:t>
      </w:r>
      <w:r>
        <w:t xml:space="preserve">uses</w:t>
      </w:r>
      <w:r>
        <w:t xml:space="preserve"> </w:t>
      </w:r>
      <m:oMath>
        <m:r>
          <m:t>h</m:t>
        </m:r>
      </m:oMath>
      <w:r>
        <w:t xml:space="preserve"> </w:t>
      </w:r>
      <w:r>
        <w:t xml:space="preserve">edges of the greater weight. Hence</w:t>
      </w:r>
    </w:p>
    <w:p>
      <w:pPr>
        <w:pStyle w:val="Equation"/>
        <w:jc w:val="center"/>
      </w:pPr>
      <m:oMathPara>
        <m:oMathParaPr>
          <m:jc m:val="center"/>
        </m:oMathParaPr>
        <m:oMath>
          <m:eqArr>
            <m:eqArrPr>
              <m:baseJc m:val="center"/>
            </m:eqArrPr>
            <m:e>
              <m:r>
                <m:t>H</m:t>
              </m:r>
              <m:d>
                <m:dPr>
                  <m:begChr m:val="("/>
                  <m:endChr m:val=")"/>
                  <m:sepChr m:val=""/>
                  <m:grow/>
                </m:dPr>
                <m:e>
                  <m:r>
                    <m:t>A</m:t>
                  </m:r>
                </m:e>
              </m:d>
              <m:r>
                <m:rPr>
                  <m:sty m:val="p"/>
                </m:rPr>
                <m:t>=</m:t>
              </m:r>
              <m:r>
                <m:t>F</m:t>
              </m:r>
              <m:d>
                <m:dPr>
                  <m:begChr m:val="("/>
                  <m:endChr m:val=")"/>
                  <m:sepChr m:val=""/>
                  <m:grow/>
                </m:dPr>
                <m:e>
                  <m:r>
                    <m:t>A</m:t>
                  </m:r>
                </m:e>
              </m:d>
              <m:r>
                <m:rPr>
                  <m:sty m:val="p"/>
                </m:rPr>
                <m:t>+</m:t>
              </m:r>
              <m:d>
                <m:dPr>
                  <m:begChr m:val="("/>
                  <m:endChr m:val=")"/>
                  <m:sepChr m:val=""/>
                  <m:grow/>
                </m:dPr>
                <m:e>
                  <m:r>
                    <m:t>2</m:t>
                  </m:r>
                  <m:r>
                    <m:t>h</m:t>
                  </m:r>
                  <m:r>
                    <m:rPr>
                      <m:sty m:val="p"/>
                    </m:rPr>
                    <m:t>−</m:t>
                  </m:r>
                  <m:r>
                    <m:t>3</m:t>
                  </m:r>
                </m:e>
              </m:d>
              <m:r>
                <m:t>ε</m:t>
              </m:r>
              <m:r>
                <m:rPr>
                  <m:sty m:val="p"/>
                </m:rPr>
                <m:t>,</m:t>
              </m:r>
            </m:e>
            <m:e>
              <m:r>
                <m:t>H</m:t>
              </m:r>
              <m:d>
                <m:dPr>
                  <m:begChr m:val="("/>
                  <m:endChr m:val=")"/>
                  <m:sepChr m:val=""/>
                  <m:grow/>
                </m:dPr>
                <m:e>
                  <m:r>
                    <m:t>A</m:t>
                  </m:r>
                  <m:r>
                    <m:rPr>
                      <m:sty m:val="p"/>
                    </m:rPr>
                    <m:t>∪</m:t>
                  </m:r>
                  <m:r>
                    <m:rPr>
                      <m:sty m:val="p"/>
                    </m:rPr>
                    <m:t>{</m:t>
                  </m:r>
                  <m:r>
                    <m:t>j</m:t>
                  </m:r>
                  <m:r>
                    <m:rPr>
                      <m:sty m:val="p"/>
                    </m:rPr>
                    <m:t>}</m:t>
                  </m:r>
                </m:e>
              </m:d>
              <m:r>
                <m:rPr>
                  <m:sty m:val="p"/>
                </m:rPr>
                <m:t>=</m:t>
              </m:r>
              <m:r>
                <m:t>F</m:t>
              </m:r>
              <m:d>
                <m:dPr>
                  <m:begChr m:val="("/>
                  <m:endChr m:val=")"/>
                  <m:sepChr m:val=""/>
                  <m:grow/>
                </m:dPr>
                <m:e>
                  <m:r>
                    <m:t>A</m:t>
                  </m:r>
                  <m:r>
                    <m:rPr>
                      <m:sty m:val="p"/>
                    </m:rPr>
                    <m:t>∪</m:t>
                  </m:r>
                  <m:r>
                    <m:rPr>
                      <m:sty m:val="p"/>
                    </m:rPr>
                    <m:t>{</m:t>
                  </m:r>
                  <m:r>
                    <m:t>j</m:t>
                  </m:r>
                  <m:r>
                    <m:rPr>
                      <m:sty m:val="p"/>
                    </m:rPr>
                    <m:t>}</m:t>
                  </m:r>
                </m:e>
              </m:d>
              <m:r>
                <m:rPr>
                  <m:sty m:val="p"/>
                </m:rPr>
                <m:t>−</m:t>
              </m:r>
              <m:d>
                <m:dPr>
                  <m:begChr m:val="("/>
                  <m:endChr m:val=")"/>
                  <m:sepChr m:val=""/>
                  <m:grow/>
                </m:dPr>
                <m:e>
                  <m:r>
                    <m:t>2</m:t>
                  </m:r>
                  <m:r>
                    <m:t>h</m:t>
                  </m:r>
                  <m:r>
                    <m:rPr>
                      <m:sty m:val="p"/>
                    </m:rPr>
                    <m:t>−</m:t>
                  </m:r>
                  <m:r>
                    <m:t>1</m:t>
                  </m:r>
                </m:e>
              </m:d>
              <m:r>
                <m:t>ε</m:t>
              </m:r>
              <m:r>
                <m:rPr>
                  <m:sty m:val="p"/>
                </m:rPr>
                <m:t>.</m:t>
              </m:r>
            </m:e>
          </m:eqArr>
        </m:oMath>
      </m:oMathPara>
    </w:p>
    <w:p>
      <w:pPr>
        <w:pStyle w:val="FirstParagraph"/>
      </w:pPr>
      <w:r>
        <w:t xml:space="preserve">The true additional cost is</w:t>
      </w:r>
      <w:r>
        <w:t xml:space="preserve"> </w:t>
      </w:r>
      <m:oMath>
        <m:r>
          <m:t>b</m:t>
        </m:r>
      </m:oMath>
      <w:r>
        <w:t xml:space="preserve">, while every measured difference</w:t>
      </w:r>
      <w:r>
        <w:t xml:space="preserve"> </w:t>
      </w:r>
      <m:oMath>
        <m:sSub>
          <m:e>
            <m:r>
              <m:t>z</m:t>
            </m:r>
          </m:e>
          <m:sub>
            <m:r>
              <m:t>i</m:t>
            </m:r>
            <m:r>
              <m:t>j</m:t>
            </m:r>
          </m:sub>
        </m:sSub>
        <m:r>
          <m:rPr>
            <m:sty m:val="p"/>
          </m:rPr>
          <m:t>−</m:t>
        </m:r>
        <m:sSub>
          <m:e>
            <m:r>
              <m:t>z</m:t>
            </m:r>
          </m:e>
          <m:sub>
            <m:r>
              <m:t>i</m:t>
            </m:r>
          </m:sub>
        </m:sSub>
      </m:oMath>
      <w:r>
        <w:t xml:space="preserve"> </w:t>
      </w:r>
      <w:r>
        <w:t xml:space="preserve">equals</w:t>
      </w:r>
      <w:r>
        <w:t xml:space="preserve"> </w:t>
      </w:r>
      <m:oMath>
        <m:r>
          <m:t>b</m:t>
        </m:r>
      </m:oMath>
      <w:r>
        <w:t xml:space="preserve">. This proves both assertions.</w:t>
      </w:r>
      <w:r>
        <w:t xml:space="preserve"> </w:t>
      </w:r>
      <m:oMath>
        <m:r>
          <m:rPr>
            <m:sty m:val="p"/>
          </m:rPr>
          <m:t>▫</m:t>
        </m:r>
      </m:oMath>
    </w:p>
    <w:p>
      <w:pPr>
        <w:pStyle w:val="BodyText"/>
      </w:pPr>
      <w:r>
        <w:t xml:space="preserve">The subtraction error equals the sum of the two total-cost radii in this construction. It can also produce a negative estimate for a positive additional cost. Direct continuation recovery avoids this history-dependent amplification and retains the sharp uniform radius</w:t>
      </w:r>
      <w:r>
        <w:t xml:space="preserve"> </w:t>
      </w:r>
      <m:oMath>
        <m:r>
          <m:t>2</m:t>
        </m:r>
        <m:r>
          <m:t>ε</m:t>
        </m:r>
      </m:oMath>
      <w:r>
        <w:t xml:space="preserve"> </w:t>
      </w:r>
      <w:r>
        <w:t xml:space="preserve">for one new query. Exactness of the direct estimate in this particular example is not a claim of zero error in general.</w:t>
      </w:r>
    </w:p>
    <w:bookmarkEnd w:id="37"/>
    <w:bookmarkStart w:id="38" w:name="Xcb34f04623925f8967268becee762f0be030df7"/>
    <w:p>
      <w:pPr>
        <w:pStyle w:val="Heading2"/>
      </w:pPr>
      <w:r>
        <w:t xml:space="preserve">3.5. Certificates with heterogeneous tolerances</w:t>
      </w:r>
    </w:p>
    <w:p>
      <w:pPr>
        <w:pStyle w:val="FirstParagraph"/>
        <w:keepNext/>
      </w:pPr>
      <w:r>
        <w:t xml:space="preserve">Suppose instead that each measurement has its own known bound,</w:t>
      </w:r>
      <w:r>
        <w:t xml:space="preserve"> </w:t>
      </w:r>
      <m:oMath>
        <m:box>
          <m:e>
            <m:r>
              <m:rPr>
                <m:sty m:val="p"/>
              </m:rPr>
              <m:t>|</m:t>
            </m:r>
            <m:sSub>
              <m:e>
                <m:r>
                  <m:t>z</m:t>
                </m:r>
              </m:e>
              <m:sub>
                <m:r>
                  <m:t>i</m:t>
                </m:r>
              </m:sub>
            </m:sSub>
            <m:r>
              <m:rPr>
                <m:sty m:val="p"/>
              </m:rPr>
              <m:t>−</m:t>
            </m:r>
            <m:sSub>
              <m:e>
                <m:r>
                  <m:t>c</m:t>
                </m:r>
              </m:e>
              <m:sub>
                <m:r>
                  <m:t>i</m:t>
                </m:r>
              </m:sub>
            </m:sSub>
            <m:r>
              <m:rPr>
                <m:sty m:val="p"/>
              </m:rPr>
              <m:t>|</m:t>
            </m:r>
          </m:e>
        </m:box>
        <m:r>
          <m:rPr>
            <m:sty m:val="p"/>
          </m:rPr>
          <m:t>≤</m:t>
        </m:r>
        <m:sSub>
          <m:e>
            <m:r>
              <m:t>e</m:t>
            </m:r>
          </m:e>
          <m:sub>
            <m:r>
              <m:t>i</m:t>
            </m:r>
          </m:sub>
        </m:sSub>
      </m:oMath>
      <w:r>
        <w:t xml:space="preserve"> </w:t>
      </w:r>
      <w:r>
        <w:t xml:space="preserve">and</w:t>
      </w:r>
      <w:r>
        <w:t xml:space="preserve"> </w:t>
      </w:r>
      <m:oMath>
        <m:box>
          <m:e>
            <m:r>
              <m:rPr>
                <m:sty m:val="p"/>
              </m:rPr>
              <m:t>|</m:t>
            </m:r>
            <m:sSub>
              <m:e>
                <m:r>
                  <m:t>z</m:t>
                </m:r>
              </m:e>
              <m:sub>
                <m:r>
                  <m:t>i</m:t>
                </m:r>
                <m:r>
                  <m:t>j</m:t>
                </m:r>
              </m:sub>
            </m:sSub>
            <m:r>
              <m:rPr>
                <m:sty m:val="p"/>
              </m:rPr>
              <m:t>−</m:t>
            </m:r>
            <m:sSub>
              <m:e>
                <m:r>
                  <m:t>c</m:t>
                </m:r>
              </m:e>
              <m:sub>
                <m:r>
                  <m:t>i</m:t>
                </m:r>
                <m:r>
                  <m:t>j</m:t>
                </m:r>
              </m:sub>
            </m:sSub>
            <m:r>
              <m:rPr>
                <m:sty m:val="p"/>
              </m:rPr>
              <m:t>|</m:t>
            </m:r>
          </m:e>
        </m:box>
        <m:r>
          <m:rPr>
            <m:sty m:val="p"/>
          </m:rPr>
          <m:t>≤</m:t>
        </m:r>
        <m:sSub>
          <m:e>
            <m:r>
              <m:t>e</m:t>
            </m:r>
          </m:e>
          <m:sub>
            <m:r>
              <m:t>i</m:t>
            </m:r>
            <m:r>
              <m:t>j</m:t>
            </m:r>
          </m:sub>
        </m:sSub>
      </m:oMath>
      <w:r>
        <w:t xml:space="preserve">. For an anchor-rooted forest set</w:t>
      </w:r>
    </w:p>
    <w:p>
      <w:pPr>
        <w:pStyle w:val="Equation"/>
        <w:jc w:val="center"/>
      </w:pPr>
      <m:oMathPara>
        <m:oMathParaPr>
          <m:jc m:val="center"/>
        </m:oMathParaPr>
        <m:oMath>
          <m:eqArr>
            <m:eqArrPr>
              <m:baseJc m:val="center"/>
            </m:eqArrPr>
            <m:e>
              <m:r>
                <m:t>r</m:t>
              </m:r>
              <m:d>
                <m:dPr>
                  <m:begChr m:val="("/>
                  <m:endChr m:val=")"/>
                  <m:sepChr m:val=""/>
                  <m:grow/>
                </m:dPr>
                <m:e>
                  <m:r>
                    <m:t>R</m:t>
                  </m:r>
                </m:e>
              </m:d>
              <m:r>
                <m:rPr>
                  <m:sty m:val="p"/>
                </m:rPr>
                <m:t>=</m:t>
              </m:r>
              <m:r>
                <m:t>​</m:t>
              </m:r>
              <m:nary>
                <m:naryPr>
                  <m:chr m:val="∑"/>
                  <m:limLoc m:val="undOvr"/>
                  <m:subHide m:val="off"/>
                  <m:supHide m:val="on"/>
                </m:naryPr>
                <m:sub>
                  <m:r>
                    <m:rPr>
                      <m:sty m:val="p"/>
                    </m:rPr>
                    <m:t>{</m:t>
                  </m:r>
                  <m:r>
                    <m:t>u</m:t>
                  </m:r>
                  <m:r>
                    <m:rPr>
                      <m:sty m:val="p"/>
                    </m:rPr>
                    <m:t>,</m:t>
                  </m:r>
                  <m:r>
                    <m:t>v</m:t>
                  </m:r>
                  <m:r>
                    <m:rPr>
                      <m:sty m:val="p"/>
                    </m:rPr>
                    <m:t>}</m:t>
                  </m:r>
                  <m:r>
                    <m:rPr>
                      <m:sty m:val="p"/>
                    </m:rPr>
                    <m:t>∈</m:t>
                  </m:r>
                  <m:r>
                    <m:t>E</m:t>
                  </m:r>
                  <m:d>
                    <m:dPr>
                      <m:begChr m:val="("/>
                      <m:endChr m:val=")"/>
                      <m:sepChr m:val=""/>
                      <m:grow/>
                    </m:dPr>
                    <m:e>
                      <m:r>
                        <m:t>R</m:t>
                      </m:r>
                    </m:e>
                  </m:d>
                </m:sub>
                <m:sup>
                  <m:r>
                    <m:t>​</m:t>
                  </m:r>
                </m:sup>
                <m:e>
                  <m:sSub>
                    <m:e>
                      <m:r>
                        <m:t>e</m:t>
                      </m:r>
                    </m:e>
                    <m:sub>
                      <m:r>
                        <m:t>u</m:t>
                      </m:r>
                      <m:r>
                        <m:t>v</m:t>
                      </m:r>
                    </m:sub>
                  </m:sSub>
                </m:e>
              </m:nary>
              <m:r>
                <m:rPr>
                  <m:sty m:val="p"/>
                </m:rPr>
                <m:t>+</m:t>
              </m:r>
              <m:nary>
                <m:naryPr>
                  <m:chr m:val="∑"/>
                  <m:limLoc m:val="undOvr"/>
                  <m:subHide m:val="off"/>
                  <m:supHide m:val="on"/>
                </m:naryPr>
                <m:sub>
                  <m:r>
                    <m:t>j</m:t>
                  </m:r>
                  <m:r>
                    <m:rPr>
                      <m:sty m:val="p"/>
                    </m:rPr>
                    <m:t>∈</m:t>
                  </m:r>
                  <m:r>
                    <m:t>S</m:t>
                  </m:r>
                </m:sub>
                <m:sup>
                  <m:r>
                    <m:t>​</m:t>
                  </m:r>
                </m:sup>
                <m:e>
                  <m:d>
                    <m:dPr>
                      <m:begChr m:val="("/>
                      <m:endChr m:val=")"/>
                      <m:sepChr m:val=""/>
                      <m:grow/>
                    </m:dPr>
                    <m:e>
                      <m:sSub>
                        <m:e>
                          <m:r>
                            <m:rPr>
                              <m:sty m:val="p"/>
                              <m:nor/>
                            </m:rPr>
                            <m:t>deg</m:t>
                          </m:r>
                        </m:e>
                        <m:sub>
                          <m:r>
                            <m:t>R</m:t>
                          </m:r>
                        </m:sub>
                      </m:sSub>
                      <m:d>
                        <m:dPr>
                          <m:begChr m:val="("/>
                          <m:endChr m:val=")"/>
                          <m:sepChr m:val=""/>
                          <m:grow/>
                        </m:dPr>
                        <m:e>
                          <m:r>
                            <m:t>j</m:t>
                          </m:r>
                        </m:e>
                      </m:d>
                      <m:r>
                        <m:rPr>
                          <m:sty m:val="p"/>
                        </m:rPr>
                        <m:t>−</m:t>
                      </m:r>
                      <m:r>
                        <m:t>1</m:t>
                      </m:r>
                    </m:e>
                  </m:d>
                </m:e>
              </m:nary>
              <m:sSub>
                <m:e>
                  <m:r>
                    <m:t>e</m:t>
                  </m:r>
                </m:e>
                <m:sub>
                  <m:r>
                    <m:t>j</m:t>
                  </m:r>
                </m:sub>
              </m:sSub>
            </m:e>
            <m:e>
              <m:r>
                <m:rPr>
                  <m:sty m:val="p"/>
                </m:rPr>
                <m:t>+</m:t>
              </m:r>
              <m:nary>
                <m:naryPr>
                  <m:chr m:val="∑"/>
                  <m:limLoc m:val="undOvr"/>
                  <m:subHide m:val="off"/>
                  <m:supHide m:val="on"/>
                </m:naryPr>
                <m:sub>
                  <m:r>
                    <m:t>a</m:t>
                  </m:r>
                  <m:r>
                    <m:rPr>
                      <m:sty m:val="p"/>
                    </m:rPr>
                    <m:t>∈</m:t>
                  </m:r>
                  <m:r>
                    <m:t>A</m:t>
                  </m:r>
                </m:sub>
                <m:sup>
                  <m:r>
                    <m:t>​</m:t>
                  </m:r>
                </m:sup>
                <m:e>
                  <m:sSub>
                    <m:e>
                      <m:r>
                        <m:rPr>
                          <m:sty m:val="p"/>
                          <m:nor/>
                        </m:rPr>
                        <m:t>deg</m:t>
                      </m:r>
                    </m:e>
                    <m:sub>
                      <m:r>
                        <m:t>R</m:t>
                      </m:r>
                    </m:sub>
                  </m:sSub>
                </m:e>
              </m:nary>
              <m:d>
                <m:dPr>
                  <m:begChr m:val="("/>
                  <m:endChr m:val=")"/>
                  <m:sepChr m:val=""/>
                  <m:grow/>
                </m:dPr>
                <m:e>
                  <m:r>
                    <m:t>a</m:t>
                  </m:r>
                </m:e>
              </m:d>
              <m:sSub>
                <m:e>
                  <m:r>
                    <m:t>e</m:t>
                  </m:r>
                </m:e>
                <m:sub>
                  <m:r>
                    <m:t>a</m:t>
                  </m:r>
                </m:sub>
              </m:sSub>
              <m:r>
                <m:rPr>
                  <m:sty m:val="p"/>
                </m:rPr>
                <m:t>.</m:t>
              </m:r>
            </m:e>
          </m:eqArr>
        </m:oMath>
      </m:oMathPara>
    </w:p>
    <w:p>
      <w:pPr>
        <w:pStyle w:val="FirstParagraph"/>
        <w:keepNext/>
        <w:spacing w:before="140" w:after="100"/>
      </w:pPr>
      <w:r>
        <w:rPr>
          <w:bCs/>
          <w:b/>
        </w:rPr>
        <w:t xml:space="preserve">Proposition 3.5 — Certified continuation interval.</w:t>
      </w:r>
      <w:r>
        <w:t xml:space="preserve"> </w:t>
      </w:r>
      <w:r>
        <w:t xml:space="preserve">The endpoints</w:t>
      </w:r>
    </w:p>
    <w:p>
      <w:pPr>
        <w:pStyle w:val="Equation"/>
        <w:tabs>
          <w:tab w:pos="4680" w:val="center"/>
          <w:tab w:pos="9792" w:val="right"/>
        </w:tabs>
        <w:jc w:val="left"/>
      </w:pPr>
      <w:r>
        <w:tab/>
      </w:r>
      <m:oMath>
        <m:sSub>
          <m:e>
            <m:r>
              <m:t>L</m:t>
            </m:r>
          </m:e>
          <m:sub>
            <m:r>
              <m:t>A</m:t>
            </m:r>
          </m:sub>
        </m:sSub>
        <m:d>
          <m:dPr>
            <m:begChr m:val="("/>
            <m:endChr m:val=")"/>
            <m:sepChr m:val=""/>
            <m:grow/>
          </m:dPr>
          <m:e>
            <m:r>
              <m:t>S</m:t>
            </m:r>
          </m:e>
        </m:d>
        <m:r>
          <m:rPr>
            <m:sty m:val="p"/>
          </m:rPr>
          <m:t>=</m:t>
        </m:r>
        <m:limLow>
          <m:e>
            <m:r>
              <m:rPr>
                <m:sty m:val="p"/>
                <m:nor/>
              </m:rPr>
              <m:t>min</m:t>
            </m:r>
          </m:e>
          <m:lim>
            <m:r>
              <m:t>R</m:t>
            </m:r>
          </m:lim>
        </m:limLow>
        <m:r>
          <m:rPr>
            <m:sty m:val="p"/>
          </m:rPr>
          <m:t>{</m:t>
        </m:r>
        <m:sSub>
          <m:e>
            <m:r>
              <m:t>T</m:t>
            </m:r>
          </m:e>
          <m:sub>
            <m:r>
              <m:t>z</m:t>
            </m:r>
          </m:sub>
        </m:sSub>
        <m:d>
          <m:dPr>
            <m:begChr m:val="("/>
            <m:endChr m:val=")"/>
            <m:sepChr m:val=""/>
            <m:grow/>
          </m:dPr>
          <m:e>
            <m:r>
              <m:t>R</m:t>
            </m:r>
          </m:e>
        </m:d>
        <m:r>
          <m:rPr>
            <m:sty m:val="p"/>
          </m:rPr>
          <m:t>−</m:t>
        </m:r>
        <m:r>
          <m:t>r</m:t>
        </m:r>
        <m:d>
          <m:dPr>
            <m:begChr m:val="("/>
            <m:endChr m:val=")"/>
            <m:sepChr m:val=""/>
            <m:grow/>
          </m:dPr>
          <m:e>
            <m:r>
              <m:t>R</m:t>
            </m:r>
          </m:e>
        </m:d>
        <m:r>
          <m:rPr>
            <m:sty m:val="p"/>
          </m:rPr>
          <m:t>}</m:t>
        </m:r>
        <m:r>
          <m:rPr>
            <m:sty m:val="p"/>
          </m:rPr>
          <m:t>,</m:t>
        </m:r>
        <m:r>
          <m:t>  </m:t>
        </m:r>
        <m:sSub>
          <m:e>
            <m:r>
              <m:t>U</m:t>
            </m:r>
          </m:e>
          <m:sub>
            <m:r>
              <m:t>A</m:t>
            </m:r>
          </m:sub>
        </m:sSub>
        <m:d>
          <m:dPr>
            <m:begChr m:val="("/>
            <m:endChr m:val=")"/>
            <m:sepChr m:val=""/>
            <m:grow/>
          </m:dPr>
          <m:e>
            <m:r>
              <m:t>S</m:t>
            </m:r>
          </m:e>
        </m:d>
        <m:r>
          <m:rPr>
            <m:sty m:val="p"/>
          </m:rPr>
          <m:t>=</m:t>
        </m:r>
        <m:limLow>
          <m:e>
            <m:r>
              <m:rPr>
                <m:sty m:val="p"/>
                <m:nor/>
              </m:rPr>
              <m:t>min</m:t>
            </m:r>
          </m:e>
          <m:lim>
            <m:r>
              <m:t>R</m:t>
            </m:r>
          </m:lim>
        </m:limLow>
        <m:r>
          <m:rPr>
            <m:sty m:val="p"/>
          </m:rPr>
          <m:t>{</m:t>
        </m:r>
        <m:sSub>
          <m:e>
            <m:r>
              <m:t>T</m:t>
            </m:r>
          </m:e>
          <m:sub>
            <m:r>
              <m:t>z</m:t>
            </m:r>
          </m:sub>
        </m:sSub>
        <m:d>
          <m:dPr>
            <m:begChr m:val="("/>
            <m:endChr m:val=")"/>
            <m:sepChr m:val=""/>
            <m:grow/>
          </m:dPr>
          <m:e>
            <m:r>
              <m:t>R</m:t>
            </m:r>
          </m:e>
        </m:d>
        <m:r>
          <m:rPr>
            <m:sty m:val="p"/>
          </m:rPr>
          <m:t>+</m:t>
        </m:r>
        <m:r>
          <m:t>r</m:t>
        </m:r>
        <m:d>
          <m:dPr>
            <m:begChr m:val="("/>
            <m:endChr m:val=")"/>
            <m:sepChr m:val=""/>
            <m:grow/>
          </m:dPr>
          <m:e>
            <m:r>
              <m:t>R</m:t>
            </m:r>
          </m:e>
        </m:d>
        <m:r>
          <m:rPr>
            <m:sty m:val="p"/>
          </m:rPr>
          <m:t>}</m:t>
        </m:r>
      </m:oMath>
      <w:r>
        <w:tab/>
        <w:t>(23)</w:t>
      </w:r>
    </w:p>
    <w:p>
      <w:pPr>
        <w:pStyle w:val="BodyText"/>
      </w:pPr>
      <w:r>
        <w:t xml:space="preserve">satisfy</w:t>
      </w:r>
      <w:r>
        <w:t xml:space="preserve"> </w:t>
      </w:r>
      <m:oMath>
        <m:sSub>
          <m:e>
            <m:r>
              <m:t>L</m:t>
            </m:r>
          </m:e>
          <m:sub>
            <m:r>
              <m:t>A</m:t>
            </m:r>
          </m:sub>
        </m:sSub>
        <m:d>
          <m:dPr>
            <m:begChr m:val="("/>
            <m:endChr m:val=")"/>
            <m:sepChr m:val=""/>
            <m:grow/>
          </m:dPr>
          <m:e>
            <m:r>
              <m:t>S</m:t>
            </m:r>
          </m:e>
        </m:d>
        <m:r>
          <m:rPr>
            <m:sty m:val="p"/>
          </m:rPr>
          <m:t>≤</m:t>
        </m:r>
        <m:sSub>
          <m:e>
            <m:r>
              <m:t>Δ</m:t>
            </m:r>
          </m:e>
          <m:sub>
            <m:r>
              <m:t>F</m:t>
            </m:r>
          </m:sub>
        </m:sSub>
        <m:d>
          <m:dPr>
            <m:begChr m:val="("/>
            <m:endChr m:val=")"/>
            <m:sepChr m:val=""/>
            <m:grow/>
          </m:dPr>
          <m:e>
            <m:r>
              <m:t>A</m:t>
            </m:r>
            <m:r>
              <m:rPr>
                <m:sty m:val="p"/>
              </m:rPr>
              <m:t>,</m:t>
            </m:r>
            <m:r>
              <m:t>S</m:t>
            </m:r>
          </m:e>
        </m:d>
        <m:r>
          <m:rPr>
            <m:sty m:val="p"/>
          </m:rPr>
          <m:t>≤</m:t>
        </m:r>
        <m:sSub>
          <m:e>
            <m:r>
              <m:t>U</m:t>
            </m:r>
          </m:e>
          <m:sub>
            <m:r>
              <m:t>A</m:t>
            </m:r>
          </m:sub>
        </m:sSub>
        <m:d>
          <m:dPr>
            <m:begChr m:val="("/>
            <m:endChr m:val=")"/>
            <m:sepChr m:val=""/>
            <m:grow/>
          </m:dPr>
          <m:e>
            <m:r>
              <m:t>S</m:t>
            </m:r>
          </m:e>
        </m:d>
      </m:oMath>
      <w:r>
        <w:t xml:space="preserve">.</w:t>
      </w:r>
    </w:p>
    <w:p>
      <w:pPr>
        <w:pStyle w:val="BodyText"/>
      </w:pPr>
      <w:r>
        <w:rPr>
          <w:iCs/>
          <w:i/>
        </w:rPr>
        <w:t xml:space="preserve">Proof.</w:t>
      </w:r>
      <w:r>
        <w:t xml:space="preserve"> </w:t>
      </w:r>
      <w:r>
        <w:t xml:space="preserve">For each forest, coefficientwise error control gives</w:t>
      </w:r>
      <w:r>
        <w:t xml:space="preserve"> </w:t>
      </w:r>
      <m:oMath>
        <m:sSub>
          <m:e>
            <m:r>
              <m:t>T</m:t>
            </m:r>
          </m:e>
          <m:sub>
            <m:r>
              <m:t>z</m:t>
            </m:r>
          </m:sub>
        </m:sSub>
        <m:d>
          <m:dPr>
            <m:begChr m:val="("/>
            <m:endChr m:val=")"/>
            <m:sepChr m:val=""/>
            <m:grow/>
          </m:dPr>
          <m:e>
            <m:r>
              <m:t>R</m:t>
            </m:r>
          </m:e>
        </m:d>
        <m:r>
          <m:rPr>
            <m:sty m:val="p"/>
          </m:rPr>
          <m:t>−</m:t>
        </m:r>
        <m:r>
          <m:t>r</m:t>
        </m:r>
        <m:d>
          <m:dPr>
            <m:begChr m:val="("/>
            <m:endChr m:val=")"/>
            <m:sepChr m:val=""/>
            <m:grow/>
          </m:dPr>
          <m:e>
            <m:r>
              <m:t>R</m:t>
            </m:r>
          </m:e>
        </m:d>
        <m:r>
          <m:rPr>
            <m:sty m:val="p"/>
          </m:rPr>
          <m:t>≤</m:t>
        </m:r>
        <m:sSub>
          <m:e>
            <m:r>
              <m:t>T</m:t>
            </m:r>
          </m:e>
          <m:sub>
            <m:r>
              <m:t>c</m:t>
            </m:r>
          </m:sub>
        </m:sSub>
        <m:d>
          <m:dPr>
            <m:begChr m:val="("/>
            <m:endChr m:val=")"/>
            <m:sepChr m:val=""/>
            <m:grow/>
          </m:dPr>
          <m:e>
            <m:r>
              <m:t>R</m:t>
            </m:r>
          </m:e>
        </m:d>
        <m:r>
          <m:rPr>
            <m:sty m:val="p"/>
          </m:rPr>
          <m:t>≤</m:t>
        </m:r>
        <m:sSub>
          <m:e>
            <m:r>
              <m:t>T</m:t>
            </m:r>
          </m:e>
          <m:sub>
            <m:r>
              <m:t>z</m:t>
            </m:r>
          </m:sub>
        </m:sSub>
        <m:d>
          <m:dPr>
            <m:begChr m:val="("/>
            <m:endChr m:val=")"/>
            <m:sepChr m:val=""/>
            <m:grow/>
          </m:dPr>
          <m:e>
            <m:r>
              <m:t>R</m:t>
            </m:r>
          </m:e>
        </m:d>
        <m:r>
          <m:rPr>
            <m:sty m:val="p"/>
          </m:rPr>
          <m:t>+</m:t>
        </m:r>
        <m:r>
          <m:t>r</m:t>
        </m:r>
        <m:d>
          <m:dPr>
            <m:begChr m:val="("/>
            <m:endChr m:val=")"/>
            <m:sepChr m:val=""/>
            <m:grow/>
          </m:dPr>
          <m:e>
            <m:r>
              <m:t>R</m:t>
            </m:r>
          </m:e>
        </m:d>
      </m:oMath>
      <w:r>
        <w:t xml:space="preserve">. Take minima and apply Theorem 3.3.</w:t>
      </w:r>
      <w:r>
        <w:t xml:space="preserve"> </w:t>
      </w:r>
      <m:oMath>
        <m:r>
          <m:rPr>
            <m:sty m:val="p"/>
          </m:rPr>
          <m:t>▫</m:t>
        </m:r>
      </m:oMath>
    </w:p>
    <w:p>
      <w:pPr>
        <w:pStyle w:val="BodyText"/>
      </w:pPr>
      <w:r>
        <w:t xml:space="preserve">Both endpoints require one minimum spanning tree. To compute the lower endpoint, replace singleton inputs by</w:t>
      </w:r>
      <w:r>
        <w:t xml:space="preserve"> </w:t>
      </w:r>
      <m:oMath>
        <m:sSub>
          <m:e>
            <m:r>
              <m:t>z</m:t>
            </m:r>
          </m:e>
          <m:sub>
            <m:r>
              <m:t>i</m:t>
            </m:r>
          </m:sub>
        </m:sSub>
        <m:r>
          <m:rPr>
            <m:sty m:val="p"/>
          </m:rPr>
          <m:t>+</m:t>
        </m:r>
        <m:sSub>
          <m:e>
            <m:r>
              <m:t>e</m:t>
            </m:r>
          </m:e>
          <m:sub>
            <m:r>
              <m:t>i</m:t>
            </m:r>
          </m:sub>
        </m:sSub>
      </m:oMath>
      <w:r>
        <w:t xml:space="preserve"> </w:t>
      </w:r>
      <w:r>
        <w:t xml:space="preserve">and pair inputs by</w:t>
      </w:r>
      <w:r>
        <w:t xml:space="preserve"> </w:t>
      </w:r>
      <m:oMath>
        <m:sSub>
          <m:e>
            <m:r>
              <m:t>z</m:t>
            </m:r>
          </m:e>
          <m:sub>
            <m:r>
              <m:t>i</m:t>
            </m:r>
            <m:r>
              <m:t>j</m:t>
            </m:r>
          </m:sub>
        </m:sSub>
        <m:r>
          <m:rPr>
            <m:sty m:val="p"/>
          </m:rPr>
          <m:t>−</m:t>
        </m:r>
        <m:sSub>
          <m:e>
            <m:r>
              <m:t>e</m:t>
            </m:r>
          </m:e>
          <m:sub>
            <m:r>
              <m:t>i</m:t>
            </m:r>
            <m:r>
              <m:t>j</m:t>
            </m:r>
          </m:sub>
        </m:sSub>
      </m:oMath>
      <w:r>
        <w:t xml:space="preserve"> </w:t>
      </w:r>
      <w:r>
        <w:t xml:space="preserve">in the continuation estimator. Reverse these signs for the upper endpoint. If all singleton bounds equal</w:t>
      </w:r>
      <w:r>
        <w:t xml:space="preserve"> </w:t>
      </w:r>
      <m:oMath>
        <m:sSub>
          <m:e>
            <m:r>
              <m:t>ε</m:t>
            </m:r>
          </m:e>
          <m:sub>
            <m:r>
              <m:t>1</m:t>
            </m:r>
          </m:sub>
        </m:sSub>
      </m:oMath>
      <w:r>
        <w:t xml:space="preserve"> </w:t>
      </w:r>
      <w:r>
        <w:t xml:space="preserve">and all pair bounds equal</w:t>
      </w:r>
      <w:r>
        <w:t xml:space="preserve"> </w:t>
      </w:r>
      <m:oMath>
        <m:sSub>
          <m:e>
            <m:r>
              <m:t>ε</m:t>
            </m:r>
          </m:e>
          <m:sub>
            <m:r>
              <m:t>2</m:t>
            </m:r>
          </m:sub>
        </m:sSub>
      </m:oMath>
      <w:r>
        <w:t xml:space="preserve">, the radius of every forest is</w:t>
      </w:r>
      <w:r>
        <w:t xml:space="preserve"> </w:t>
      </w:r>
      <m:oMath>
        <m:r>
          <m:t>k</m:t>
        </m:r>
        <m:d>
          <m:dPr>
            <m:begChr m:val="("/>
            <m:endChr m:val=")"/>
            <m:sepChr m:val=""/>
            <m:grow/>
          </m:dPr>
          <m:e>
            <m:sSub>
              <m:e>
                <m:r>
                  <m:t>ε</m:t>
                </m:r>
              </m:e>
              <m:sub>
                <m:r>
                  <m:t>1</m:t>
                </m:r>
              </m:sub>
            </m:sSub>
            <m:r>
              <m:rPr>
                <m:sty m:val="p"/>
              </m:rPr>
              <m:t>+</m:t>
            </m:r>
            <m:sSub>
              <m:e>
                <m:r>
                  <m:t>ε</m:t>
                </m:r>
              </m:e>
              <m:sub>
                <m:r>
                  <m:t>2</m:t>
                </m:r>
              </m:sub>
            </m:sSub>
          </m:e>
        </m:d>
      </m:oMath>
      <w:r>
        <w:t xml:space="preserve">, recovering Theorem 3.3. For arbitrary heterogeneous bounds, the interval is certified but is not asserted to equal the extrema over all compatible true trees.</w:t>
      </w:r>
    </w:p>
    <w:bookmarkEnd w:id="38"/>
    <w:bookmarkEnd w:id="39"/>
    <w:bookmarkStart w:id="44" w:name="sequential-bayesian-decisions"/>
    <w:p>
      <w:pPr>
        <w:pStyle w:val="Heading1"/>
      </w:pPr>
      <w:r>
        <w:t xml:space="preserve">4. Sequential Bayesian decisions</w:t>
      </w:r>
    </w:p>
    <w:bookmarkStart w:id="40" w:name="exact-finite-horizon-solution"/>
    <w:p>
      <w:pPr>
        <w:pStyle w:val="Heading2"/>
      </w:pPr>
      <w:r>
        <w:t xml:space="preserve">4.1. Exact finite-horizon solution</w:t>
      </w:r>
    </w:p>
    <w:p>
      <w:pPr>
        <w:pStyle w:val="FirstParagraph"/>
      </w:pPr>
      <w:r>
        <w:t xml:space="preserve">Let the latent state</w:t>
      </w:r>
      <w:r>
        <w:t xml:space="preserve"> </w:t>
      </w:r>
      <m:oMath>
        <m:r>
          <m:t>X</m:t>
        </m:r>
      </m:oMath>
      <w:r>
        <w:t xml:space="preserve"> </w:t>
      </w:r>
      <w:r>
        <w:t xml:space="preserve">take values in a finite set</w:t>
      </w:r>
      <w:r>
        <w:t xml:space="preserve"> </w:t>
      </w:r>
      <m:oMath>
        <m:r>
          <m:rPr>
            <m:sty m:val="p"/>
          </m:rPr>
          <m:t>𝒳</m:t>
        </m:r>
      </m:oMath>
      <w:r>
        <w:t xml:space="preserve">, with prior</w:t>
      </w:r>
      <w:r>
        <w:t xml:space="preserve"> </w:t>
      </w:r>
      <m:oMath>
        <m:r>
          <m:t>p</m:t>
        </m:r>
      </m:oMath>
      <w:r>
        <w:t xml:space="preserve">. Source</w:t>
      </w:r>
      <w:r>
        <w:t xml:space="preserve"> </w:t>
      </w:r>
      <m:oMath>
        <m:r>
          <m:t>i</m:t>
        </m:r>
      </m:oMath>
      <w:r>
        <w:t xml:space="preserve"> </w:t>
      </w:r>
      <w:r>
        <w:t xml:space="preserve">returns an observation in a finite set</w:t>
      </w:r>
      <w:r>
        <w:t xml:space="preserve"> </w:t>
      </w:r>
      <m:oMath>
        <m:sSub>
          <m:e>
            <m:r>
              <m:rPr>
                <m:sty m:val="p"/>
              </m:rPr>
              <m:t>𝒴</m:t>
            </m:r>
          </m:e>
          <m:sub>
            <m:r>
              <m:t>i</m:t>
            </m:r>
          </m:sub>
        </m:sSub>
      </m:oMath>
      <w:r>
        <w:t xml:space="preserve">, according to a known likelihood</w:t>
      </w:r>
      <w:r>
        <w:t xml:space="preserve"> </w:t>
      </w:r>
      <m:oMath>
        <m:sSub>
          <m:e>
            <m:r>
              <m:t>L</m:t>
            </m:r>
          </m:e>
          <m:sub>
            <m:r>
              <m:t>i</m:t>
            </m:r>
          </m:sub>
        </m:sSub>
        <m:d>
          <m:dPr>
            <m:begChr m:val="("/>
            <m:endChr m:val=")"/>
            <m:sepChr m:val=""/>
            <m:grow/>
          </m:dPr>
          <m:e>
            <m:r>
              <m:t>y</m:t>
            </m:r>
            <m:r>
              <m:rPr>
                <m:sty m:val="p"/>
              </m:rPr>
              <m:t>∣</m:t>
            </m:r>
            <m:r>
              <m:t>x</m:t>
            </m:r>
          </m:e>
        </m:d>
      </m:oMath>
      <w:r>
        <w:t xml:space="preserve">. Source observations are conditionally independent given</w:t>
      </w:r>
      <w:r>
        <w:t xml:space="preserve"> </w:t>
      </w:r>
      <m:oMath>
        <m:r>
          <m:t>X</m:t>
        </m:r>
      </m:oMath>
      <w:r>
        <w:t xml:space="preserve">.</w:t>
      </w:r>
    </w:p>
    <w:p>
      <w:pPr>
        <w:pStyle w:val="BodyText"/>
        <w:keepNext/>
      </w:pPr>
      <w:r>
        <w:t xml:space="preserve">A final decision</w:t>
      </w:r>
      <w:r>
        <w:t xml:space="preserve"> </w:t>
      </w:r>
      <m:oMath>
        <m:r>
          <m:t>d</m:t>
        </m:r>
      </m:oMath>
      <w:r>
        <w:t xml:space="preserve"> </w:t>
      </w:r>
      <w:r>
        <w:t xml:space="preserve">belongs to a finite set</w:t>
      </w:r>
      <w:r>
        <w:t xml:space="preserve"> </w:t>
      </w:r>
      <m:oMath>
        <m:r>
          <m:rPr>
            <m:sty m:val="p"/>
          </m:rPr>
          <m:t>𝒟</m:t>
        </m:r>
      </m:oMath>
      <w:r>
        <w:t xml:space="preserve">, with loss</w:t>
      </w:r>
      <w:r>
        <w:t xml:space="preserve"> </w:t>
      </w:r>
      <m:oMath>
        <m:r>
          <m:t>0</m:t>
        </m:r>
        <m:r>
          <m:rPr>
            <m:sty m:val="p"/>
          </m:rPr>
          <m:t>≤</m:t>
        </m:r>
        <m:r>
          <m:rPr>
            <m:sty m:val="p"/>
          </m:rPr>
          <m:t>ℓ</m:t>
        </m:r>
        <m:d>
          <m:dPr>
            <m:begChr m:val="("/>
            <m:endChr m:val=")"/>
            <m:sepChr m:val=""/>
            <m:grow/>
          </m:dPr>
          <m:e>
            <m:r>
              <m:t>d</m:t>
            </m:r>
            <m:r>
              <m:rPr>
                <m:sty m:val="p"/>
              </m:rPr>
              <m:t>,</m:t>
            </m:r>
            <m:r>
              <m:t>x</m:t>
            </m:r>
          </m:e>
        </m:d>
        <m:r>
          <m:rPr>
            <m:sty m:val="p"/>
          </m:rPr>
          <m:t>≤</m:t>
        </m:r>
        <m:r>
          <m:t>1</m:t>
        </m:r>
      </m:oMath>
      <w:r>
        <w:t xml:space="preserve">. A policy may stop or query an unqueried source, with at most</w:t>
      </w:r>
      <w:r>
        <w:t xml:space="preserve"> </w:t>
      </w:r>
      <m:oMath>
        <m:r>
          <m:t>B</m:t>
        </m:r>
        <m:r>
          <m:rPr>
            <m:sty m:val="p"/>
          </m:rPr>
          <m:t>≤</m:t>
        </m:r>
        <m:r>
          <m:t>n</m:t>
        </m:r>
      </m:oMath>
      <w:r>
        <w:t xml:space="preserve"> </w:t>
      </w:r>
      <w:r>
        <w:t xml:space="preserve">queries. If its final queried set is</w:t>
      </w:r>
      <w:r>
        <w:t xml:space="preserve"> </w:t>
      </w:r>
      <m:oMath>
        <m:sSub>
          <m:e>
            <m:r>
              <m:t>S</m:t>
            </m:r>
          </m:e>
          <m:sub>
            <m:r>
              <m:t>τ</m:t>
            </m:r>
          </m:sub>
        </m:sSub>
      </m:oMath>
      <w:r>
        <w:t xml:space="preserve">, its objective is</w:t>
      </w:r>
    </w:p>
    <w:p>
      <w:pPr>
        <w:pStyle w:val="Equation"/>
        <w:tabs>
          <w:tab w:pos="4680" w:val="center"/>
          <w:tab w:pos="9792" w:val="right"/>
        </w:tabs>
        <w:jc w:val="left"/>
      </w:pPr>
      <w:r>
        <w:tab/>
      </w:r>
      <m:oMath>
        <m:sSub>
          <m:e>
            <m:r>
              <m:t>J</m:t>
            </m:r>
          </m:e>
          <m:sub>
            <m:r>
              <m:t>F</m:t>
            </m:r>
          </m:sub>
        </m:sSub>
        <m:d>
          <m:dPr>
            <m:begChr m:val="("/>
            <m:endChr m:val=")"/>
            <m:sepChr m:val=""/>
            <m:grow/>
          </m:dPr>
          <m:e>
            <m:r>
              <m:t>π</m:t>
            </m:r>
          </m:e>
        </m:d>
        <m:r>
          <m:rPr>
            <m:sty m:val="p"/>
          </m:rPr>
          <m:t>=</m:t>
        </m:r>
        <m:sSup>
          <m:e>
            <m:r>
              <m:rPr>
                <m:sty m:val="p"/>
              </m:rPr>
              <m:t>𝔼</m:t>
            </m:r>
          </m:e>
          <m:sup>
            <m:r>
              <m:t>π</m:t>
            </m:r>
          </m:sup>
        </m:sSup>
        <m:box>
          <m:e>
            <m:r>
              <m:rPr>
                <m:sty m:val="p"/>
              </m:rPr>
              <m:t>[</m:t>
            </m:r>
            <m:r>
              <m:rPr>
                <m:sty m:val="p"/>
              </m:rPr>
              <m:t>ℓ</m:t>
            </m:r>
            <m:d>
              <m:dPr>
                <m:begChr m:val="("/>
                <m:endChr m:val=")"/>
                <m:sepChr m:val=""/>
                <m:grow/>
              </m:dPr>
              <m:e>
                <m:sSub>
                  <m:e>
                    <m:r>
                      <m:t>d</m:t>
                    </m:r>
                  </m:e>
                  <m:sub>
                    <m:r>
                      <m:t>τ</m:t>
                    </m:r>
                  </m:sub>
                </m:sSub>
                <m:r>
                  <m:rPr>
                    <m:sty m:val="p"/>
                  </m:rPr>
                  <m:t>,</m:t>
                </m:r>
                <m:r>
                  <m:t>X</m:t>
                </m:r>
              </m:e>
            </m:d>
            <m:r>
              <m:rPr>
                <m:sty m:val="p"/>
              </m:rPr>
              <m:t>+</m:t>
            </m:r>
            <m:r>
              <m:t>λ</m:t>
            </m:r>
            <m:r>
              <m:t>F</m:t>
            </m:r>
            <m:d>
              <m:dPr>
                <m:begChr m:val="("/>
                <m:endChr m:val=")"/>
                <m:sepChr m:val=""/>
                <m:grow/>
              </m:dPr>
              <m:e>
                <m:sSub>
                  <m:e>
                    <m:r>
                      <m:t>S</m:t>
                    </m:r>
                  </m:e>
                  <m:sub>
                    <m:r>
                      <m:t>τ</m:t>
                    </m:r>
                  </m:sub>
                </m:sSub>
              </m:e>
            </m:d>
            <m:r>
              <m:rPr>
                <m:sty m:val="p"/>
              </m:rPr>
              <m:t>]</m:t>
            </m:r>
          </m:e>
        </m:box>
        <m:r>
          <m:rPr>
            <m:sty m:val="p"/>
          </m:rPr>
          <m:t>,</m:t>
        </m:r>
        <m:r>
          <m:t>  </m:t>
        </m:r>
        <m:r>
          <m:t>λ</m:t>
        </m:r>
        <m:r>
          <m:rPr>
            <m:sty m:val="p"/>
          </m:rPr>
          <m:t>&gt;</m:t>
        </m:r>
        <m:r>
          <m:t>0</m:t>
        </m:r>
        <m:r>
          <m:rPr>
            <m:sty m:val="p"/>
          </m:rPr>
          <m:t>.</m:t>
        </m:r>
      </m:oMath>
      <w:r>
        <w:tab/>
        <w:t>(24)</w:t>
      </w:r>
    </w:p>
    <w:p>
      <w:pPr>
        <w:pStyle w:val="BodyText"/>
      </w:pPr>
      <w:r>
        <w:t xml:space="preserve">The query limit is a call budget; monetary cost appears as a penalty. A hard monetary constraint would make the admissible policy class depend on the estimated cost and requires separate treatment.</w:t>
      </w:r>
    </w:p>
    <w:p>
      <w:pPr>
        <w:pStyle w:val="BodyText"/>
        <w:keepNext/>
      </w:pPr>
      <w:r>
        <w:t xml:space="preserve">For posterior</w:t>
      </w:r>
      <w:r>
        <w:t xml:space="preserve"> </w:t>
      </w:r>
      <m:oMath>
        <m:r>
          <m:t>p</m:t>
        </m:r>
      </m:oMath>
      <w:r>
        <w:t xml:space="preserve">, define</w:t>
      </w:r>
    </w:p>
    <w:p>
      <w:pPr>
        <w:pStyle w:val="Equation"/>
        <w:keepNext/>
        <w:jc w:val="center"/>
      </w:pPr>
      <m:oMathPara>
        <m:oMathParaPr>
          <m:jc m:val="center"/>
        </m:oMathParaPr>
        <m:oMath>
          <m:r>
            <m:t>r</m:t>
          </m:r>
          <m:d>
            <m:dPr>
              <m:begChr m:val="("/>
              <m:endChr m:val=")"/>
              <m:sepChr m:val=""/>
              <m:grow/>
            </m:dPr>
            <m:e>
              <m:r>
                <m:t>p</m:t>
              </m:r>
            </m:e>
          </m:d>
          <m:r>
            <m:rPr>
              <m:sty m:val="p"/>
            </m:rPr>
            <m:t>=</m:t>
          </m:r>
          <m:limLow>
            <m:e>
              <m:r>
                <m:rPr>
                  <m:sty m:val="p"/>
                  <m:nor/>
                </m:rPr>
                <m:t>min</m:t>
              </m:r>
            </m:e>
            <m:lim>
              <m:r>
                <m:t>d</m:t>
              </m:r>
              <m:r>
                <m:rPr>
                  <m:sty m:val="p"/>
                </m:rPr>
                <m:t>∈</m:t>
              </m:r>
              <m:r>
                <m:rPr>
                  <m:sty m:val="p"/>
                </m:rPr>
                <m:t>𝒟</m:t>
              </m:r>
            </m:lim>
          </m:limLow>
          <m:nary>
            <m:naryPr>
              <m:chr m:val="∑"/>
              <m:limLoc m:val="undOvr"/>
              <m:subHide m:val="off"/>
              <m:supHide m:val="on"/>
            </m:naryPr>
            <m:sub>
              <m:r>
                <m:t>x</m:t>
              </m:r>
            </m:sub>
            <m:sup>
              <m:r>
                <m:t>​</m:t>
              </m:r>
            </m:sup>
            <m:e>
              <m:r>
                <m:t>p</m:t>
              </m:r>
            </m:e>
          </m:nary>
          <m:d>
            <m:dPr>
              <m:begChr m:val="("/>
              <m:endChr m:val=")"/>
              <m:sepChr m:val=""/>
              <m:grow/>
            </m:dPr>
            <m:e>
              <m:r>
                <m:t>x</m:t>
              </m:r>
            </m:e>
          </m:d>
          <m:r>
            <m:rPr>
              <m:sty m:val="p"/>
            </m:rPr>
            <m:t>ℓ</m:t>
          </m:r>
          <m:d>
            <m:dPr>
              <m:begChr m:val="("/>
              <m:endChr m:val=")"/>
              <m:sepChr m:val=""/>
              <m:grow/>
            </m:dPr>
            <m:e>
              <m:r>
                <m:t>d</m:t>
              </m:r>
              <m:r>
                <m:rPr>
                  <m:sty m:val="p"/>
                </m:rPr>
                <m:t>,</m:t>
              </m:r>
              <m:r>
                <m:t>x</m:t>
              </m:r>
            </m:e>
          </m:d>
          <m:r>
            <m:rPr>
              <m:sty m:val="p"/>
            </m:rPr>
            <m:t>,</m:t>
          </m:r>
        </m:oMath>
      </m:oMathPara>
    </w:p>
    <w:p>
      <w:pPr>
        <w:pStyle w:val="Equation"/>
        <w:tabs>
          <w:tab w:pos="4680" w:val="center"/>
          <w:tab w:pos="9792" w:val="right"/>
        </w:tabs>
        <w:jc w:val="left"/>
      </w:pPr>
      <w:r>
        <w:tab/>
      </w:r>
      <m:oMath>
        <m:sSub>
          <m:e>
            <m:r>
              <m:t>q</m:t>
            </m:r>
          </m:e>
          <m:sub>
            <m:r>
              <m:t>i</m:t>
            </m:r>
          </m:sub>
        </m:sSub>
        <m:d>
          <m:dPr>
            <m:begChr m:val="("/>
            <m:endChr m:val=")"/>
            <m:sepChr m:val=""/>
            <m:grow/>
          </m:dPr>
          <m:e>
            <m:r>
              <m:t>y</m:t>
            </m:r>
            <m:r>
              <m:rPr>
                <m:sty m:val="p"/>
              </m:rPr>
              <m:t>∣</m:t>
            </m:r>
            <m:r>
              <m:t>p</m:t>
            </m:r>
          </m:e>
        </m:d>
        <m:r>
          <m:rPr>
            <m:sty m:val="p"/>
          </m:rPr>
          <m:t>=</m:t>
        </m:r>
        <m:nary>
          <m:naryPr>
            <m:chr m:val="∑"/>
            <m:limLoc m:val="undOvr"/>
            <m:subHide m:val="off"/>
            <m:supHide m:val="on"/>
          </m:naryPr>
          <m:sub>
            <m:r>
              <m:t>x</m:t>
            </m:r>
          </m:sub>
          <m:sup>
            <m:r>
              <m:t>​</m:t>
            </m:r>
          </m:sup>
          <m:e>
            <m:r>
              <m:t>p</m:t>
            </m:r>
          </m:e>
        </m:nary>
        <m:d>
          <m:dPr>
            <m:begChr m:val="("/>
            <m:endChr m:val=")"/>
            <m:sepChr m:val=""/>
            <m:grow/>
          </m:dPr>
          <m:e>
            <m:r>
              <m:t>x</m:t>
            </m:r>
          </m:e>
        </m:d>
        <m:sSub>
          <m:e>
            <m:r>
              <m:t>L</m:t>
            </m:r>
          </m:e>
          <m:sub>
            <m:r>
              <m:t>i</m:t>
            </m:r>
          </m:sub>
        </m:sSub>
        <m:d>
          <m:dPr>
            <m:begChr m:val="("/>
            <m:endChr m:val=")"/>
            <m:sepChr m:val=""/>
            <m:grow/>
          </m:dPr>
          <m:e>
            <m:r>
              <m:t>y</m:t>
            </m:r>
            <m:r>
              <m:rPr>
                <m:sty m:val="p"/>
              </m:rPr>
              <m:t>∣</m:t>
            </m:r>
            <m:r>
              <m:t>x</m:t>
            </m:r>
          </m:e>
        </m:d>
        <m:r>
          <m:rPr>
            <m:sty m:val="p"/>
          </m:rPr>
          <m:t>,</m:t>
        </m:r>
        <m:r>
          <m:t>  </m:t>
        </m:r>
        <m:sSub>
          <m:e>
            <m:r>
              <m:t>T</m:t>
            </m:r>
          </m:e>
          <m:sub>
            <m:r>
              <m:t>i</m:t>
            </m:r>
          </m:sub>
        </m:sSub>
        <m:d>
          <m:dPr>
            <m:begChr m:val="("/>
            <m:endChr m:val=")"/>
            <m:sepChr m:val=""/>
            <m:grow/>
          </m:dPr>
          <m:e>
            <m:r>
              <m:t>p</m:t>
            </m:r>
            <m:r>
              <m:rPr>
                <m:sty m:val="p"/>
              </m:rPr>
              <m:t>,</m:t>
            </m:r>
            <m:r>
              <m:t>y</m:t>
            </m:r>
          </m:e>
        </m:d>
        <m:d>
          <m:dPr>
            <m:begChr m:val="("/>
            <m:endChr m:val=")"/>
            <m:sepChr m:val=""/>
            <m:grow/>
          </m:dPr>
          <m:e>
            <m:r>
              <m:t>x</m:t>
            </m:r>
          </m:e>
        </m:d>
        <m:r>
          <m:rPr>
            <m:sty m:val="p"/>
          </m:rPr>
          <m:t>=</m:t>
        </m:r>
        <m:f>
          <m:fPr>
            <m:type m:val="bar"/>
          </m:fPr>
          <m:num>
            <m:r>
              <m:t>p</m:t>
            </m:r>
            <m:d>
              <m:dPr>
                <m:begChr m:val="("/>
                <m:endChr m:val=")"/>
                <m:sepChr m:val=""/>
                <m:grow/>
              </m:dPr>
              <m:e>
                <m:r>
                  <m:t>x</m:t>
                </m:r>
              </m:e>
            </m:d>
            <m:sSub>
              <m:e>
                <m:r>
                  <m:t>L</m:t>
                </m:r>
              </m:e>
              <m:sub>
                <m:r>
                  <m:t>i</m:t>
                </m:r>
              </m:sub>
            </m:sSub>
            <m:d>
              <m:dPr>
                <m:begChr m:val="("/>
                <m:endChr m:val=")"/>
                <m:sepChr m:val=""/>
                <m:grow/>
              </m:dPr>
              <m:e>
                <m:r>
                  <m:t>y</m:t>
                </m:r>
                <m:r>
                  <m:rPr>
                    <m:sty m:val="p"/>
                  </m:rPr>
                  <m:t>∣</m:t>
                </m:r>
                <m:r>
                  <m:t>x</m:t>
                </m:r>
              </m:e>
            </m:d>
          </m:num>
          <m:den>
            <m:sSub>
              <m:e>
                <m:r>
                  <m:t>q</m:t>
                </m:r>
              </m:e>
              <m:sub>
                <m:r>
                  <m:t>i</m:t>
                </m:r>
              </m:sub>
            </m:sSub>
            <m:d>
              <m:dPr>
                <m:begChr m:val="("/>
                <m:endChr m:val=")"/>
                <m:sepChr m:val=""/>
                <m:grow/>
              </m:dPr>
              <m:e>
                <m:r>
                  <m:t>y</m:t>
                </m:r>
                <m:r>
                  <m:rPr>
                    <m:sty m:val="p"/>
                  </m:rPr>
                  <m:t>∣</m:t>
                </m:r>
                <m:r>
                  <m:t>p</m:t>
                </m:r>
              </m:e>
            </m:d>
          </m:den>
        </m:f>
        <m:r>
          <m:rPr>
            <m:sty m:val="p"/>
          </m:rPr>
          <m:t>.</m:t>
        </m:r>
      </m:oMath>
      <w:r>
        <w:tab/>
        <w:t>(25)</w:t>
      </w:r>
    </w:p>
    <w:p>
      <w:pPr>
        <w:pStyle w:val="BodyText"/>
      </w:pPr>
      <w:r>
        <w:t xml:space="preserve">Outcomes of zero predictive probability are omitted.</w:t>
      </w:r>
    </w:p>
    <w:p>
      <w:pPr>
        <w:pStyle w:val="BodyText"/>
        <w:keepNext/>
        <w:spacing w:before="140" w:after="100"/>
      </w:pPr>
      <w:r>
        <w:rPr>
          <w:bCs/>
          <w:b/>
        </w:rPr>
        <w:t xml:space="preserve">Proposition 4.1 — Bellman recursion.</w:t>
      </w:r>
      <w:r>
        <w:t xml:space="preserve"> </w:t>
      </w:r>
      <w:r>
        <w:t xml:space="preserve">The minimum expected remaining loss and future acquisition cost, after querying</w:t>
      </w:r>
      <w:r>
        <w:t xml:space="preserve"> </w:t>
      </w:r>
      <m:oMath>
        <m:r>
          <m:t>A</m:t>
        </m:r>
      </m:oMath>
      <w:r>
        <w:t xml:space="preserve"> </w:t>
      </w:r>
      <w:r>
        <w:t xml:space="preserve">and with</w:t>
      </w:r>
      <w:r>
        <w:t xml:space="preserve"> </w:t>
      </w:r>
      <m:oMath>
        <m:r>
          <m:t>b</m:t>
        </m:r>
      </m:oMath>
      <w:r>
        <w:t xml:space="preserve"> </w:t>
      </w:r>
      <w:r>
        <w:t xml:space="preserve">calls remaining, is</w:t>
      </w:r>
    </w:p>
    <w:p>
      <w:pPr>
        <w:pStyle w:val="Equation"/>
        <w:tabs>
          <w:tab w:pos="4680" w:val="center"/>
          <w:tab w:pos="9792" w:val="right"/>
        </w:tabs>
        <w:jc w:val="left"/>
      </w:pPr>
      <w:r>
        <w:tab/>
      </w:r>
      <m:oMath>
        <m:sSub>
          <m:e>
            <m:r>
              <m:t>V</m:t>
            </m:r>
          </m:e>
          <m:sub>
            <m:r>
              <m:t>0</m:t>
            </m:r>
          </m:sub>
        </m:sSub>
        <m:d>
          <m:dPr>
            <m:begChr m:val="("/>
            <m:endChr m:val=")"/>
            <m:sepChr m:val=""/>
            <m:grow/>
          </m:dPr>
          <m:e>
            <m:r>
              <m:t>p</m:t>
            </m:r>
            <m:r>
              <m:rPr>
                <m:sty m:val="p"/>
              </m:rPr>
              <m:t>,</m:t>
            </m:r>
            <m:r>
              <m:t>A</m:t>
            </m:r>
          </m:e>
        </m:d>
        <m:r>
          <m:rPr>
            <m:sty m:val="p"/>
          </m:rPr>
          <m:t>=</m:t>
        </m:r>
        <m:r>
          <m:t>r</m:t>
        </m:r>
        <m:d>
          <m:dPr>
            <m:begChr m:val="("/>
            <m:endChr m:val=")"/>
            <m:sepChr m:val=""/>
            <m:grow/>
          </m:dPr>
          <m:e>
            <m:r>
              <m:t>p</m:t>
            </m:r>
          </m:e>
        </m:d>
        <m:r>
          <m:rPr>
            <m:sty m:val="p"/>
          </m:rPr>
          <m:t>,</m:t>
        </m:r>
      </m:oMath>
      <w:r>
        <w:tab/>
        <w:t>(26)</w:t>
      </w:r>
    </w:p>
    <w:p>
      <w:pPr>
        <w:pStyle w:val="BodyText"/>
        <w:keepNext/>
      </w:pPr>
      <w:r>
        <w:t xml:space="preserve">and, for</w:t>
      </w:r>
      <w:r>
        <w:t xml:space="preserve"> </w:t>
      </w:r>
      <m:oMath>
        <m:r>
          <m:t>b</m:t>
        </m:r>
        <m:r>
          <m:rPr>
            <m:sty m:val="p"/>
          </m:rPr>
          <m:t>≥</m:t>
        </m:r>
        <m:r>
          <m:t>1</m:t>
        </m:r>
      </m:oMath>
      <w:r>
        <w:t xml:space="preserve">,</w:t>
      </w:r>
    </w:p>
    <w:p>
      <w:pPr>
        <w:pStyle w:val="Equation"/>
        <w:tabs>
          <w:tab w:pos="4680" w:val="center"/>
          <w:tab w:pos="9792" w:val="right"/>
        </w:tabs>
        <w:jc w:val="left"/>
      </w:pPr>
      <w:r>
        <w:tab/>
      </w:r>
      <m:oMath>
        <m:eqArr>
          <m:eqArrPr>
            <m:baseJc m:val="center"/>
          </m:eqArrPr>
          <m:e>
            <m:sSub>
              <m:e>
                <m:r>
                  <m:t>V</m:t>
                </m:r>
              </m:e>
              <m:sub>
                <m:r>
                  <m:t>b</m:t>
                </m:r>
              </m:sub>
            </m:sSub>
            <m:d>
              <m:dPr>
                <m:begChr m:val="("/>
                <m:endChr m:val=")"/>
                <m:sepChr m:val=""/>
                <m:grow/>
              </m:dPr>
              <m:e>
                <m:r>
                  <m:t>p</m:t>
                </m:r>
                <m:r>
                  <m:rPr>
                    <m:sty m:val="p"/>
                  </m:rPr>
                  <m:t>,</m:t>
                </m:r>
                <m:r>
                  <m:t>A</m:t>
                </m:r>
              </m:e>
            </m:d>
            <m:r>
              <m:rPr>
                <m:sty m:val="p"/>
              </m:rPr>
              <m:t>=</m:t>
            </m:r>
            <m:r>
              <m:rPr>
                <m:sty m:val="p"/>
                <m:nor/>
              </m:rPr>
              <m:t>min</m:t>
            </m:r>
            <m:r>
              <m:rPr>
                <m:sty m:val="p"/>
              </m:rPr>
              <m:t>{</m:t>
            </m:r>
            <m:r>
              <m:t>r</m:t>
            </m:r>
            <m:d>
              <m:dPr>
                <m:begChr m:val="("/>
                <m:endChr m:val=")"/>
                <m:sepChr m:val=""/>
                <m:grow/>
              </m:dPr>
              <m:e>
                <m:r>
                  <m:t>p</m:t>
                </m:r>
              </m:e>
            </m:d>
            <m:r>
              <m:rPr>
                <m:sty m:val="p"/>
              </m:rPr>
              <m:t>,</m:t>
            </m:r>
            <m:r>
              <m:t> </m:t>
            </m:r>
            <m:limLow>
              <m:e>
                <m:r>
                  <m:rPr>
                    <m:sty m:val="p"/>
                    <m:nor/>
                  </m:rPr>
                  <m:t>min</m:t>
                </m:r>
              </m:e>
              <m:lim>
                <m:r>
                  <m:t>i</m:t>
                </m:r>
                <m:r>
                  <m:rPr>
                    <m:sty m:val="p"/>
                  </m:rPr>
                  <m:t>∉</m:t>
                </m:r>
                <m:r>
                  <m:t>A</m:t>
                </m:r>
              </m:lim>
            </m:limLow>
            <m:r>
              <m:rPr>
                <m:sty m:val="p"/>
              </m:rPr>
              <m:t>[</m:t>
            </m:r>
            <m:r>
              <m:t>λ</m:t>
            </m:r>
            <m:d>
              <m:dPr>
                <m:begChr m:val="("/>
                <m:endChr m:val=")"/>
                <m:sepChr m:val=""/>
                <m:grow/>
              </m:dPr>
              <m:e>
                <m:r>
                  <m:t>F</m:t>
                </m:r>
                <m:d>
                  <m:dPr>
                    <m:begChr m:val="("/>
                    <m:endChr m:val=")"/>
                    <m:sepChr m:val=""/>
                    <m:grow/>
                  </m:dPr>
                  <m:e>
                    <m:r>
                      <m:t>A</m:t>
                    </m:r>
                    <m:r>
                      <m:rPr>
                        <m:sty m:val="p"/>
                      </m:rPr>
                      <m:t>∪</m:t>
                    </m:r>
                    <m:r>
                      <m:rPr>
                        <m:sty m:val="p"/>
                      </m:rPr>
                      <m:t>{</m:t>
                    </m:r>
                    <m:r>
                      <m:t>i</m:t>
                    </m:r>
                    <m:r>
                      <m:rPr>
                        <m:sty m:val="p"/>
                      </m:rPr>
                      <m:t>}</m:t>
                    </m:r>
                  </m:e>
                </m:d>
                <m:r>
                  <m:rPr>
                    <m:sty m:val="p"/>
                  </m:rPr>
                  <m:t>−</m:t>
                </m:r>
                <m:r>
                  <m:t>F</m:t>
                </m:r>
                <m:d>
                  <m:dPr>
                    <m:begChr m:val="("/>
                    <m:endChr m:val=")"/>
                    <m:sepChr m:val=""/>
                    <m:grow/>
                  </m:dPr>
                  <m:e>
                    <m:r>
                      <m:t>A</m:t>
                    </m:r>
                  </m:e>
                </m:d>
              </m:e>
            </m:d>
          </m:e>
          <m:e>
            <m:r>
              <m:rPr>
                <m:sty m:val="p"/>
              </m:rPr>
              <m:t>+</m:t>
            </m:r>
            <m:nary>
              <m:naryPr>
                <m:chr m:val="∑"/>
                <m:limLoc m:val="undOvr"/>
                <m:subHide m:val="off"/>
                <m:supHide m:val="on"/>
              </m:naryPr>
              <m:sub>
                <m:r>
                  <m:t>y</m:t>
                </m:r>
              </m:sub>
              <m:sup>
                <m:r>
                  <m:t>​</m:t>
                </m:r>
              </m:sup>
              <m:e>
                <m:sSub>
                  <m:e>
                    <m:r>
                      <m:t>q</m:t>
                    </m:r>
                  </m:e>
                  <m:sub>
                    <m:r>
                      <m:t>i</m:t>
                    </m:r>
                  </m:sub>
                </m:sSub>
              </m:e>
            </m:nary>
            <m:d>
              <m:dPr>
                <m:begChr m:val="("/>
                <m:endChr m:val=")"/>
                <m:sepChr m:val=""/>
                <m:grow/>
              </m:dPr>
              <m:e>
                <m:r>
                  <m:t>y</m:t>
                </m:r>
                <m:r>
                  <m:rPr>
                    <m:sty m:val="p"/>
                  </m:rPr>
                  <m:t>∣</m:t>
                </m:r>
                <m:r>
                  <m:t>p</m:t>
                </m:r>
              </m:e>
            </m:d>
            <m:sSub>
              <m:e>
                <m:r>
                  <m:t>V</m:t>
                </m:r>
              </m:e>
              <m:sub>
                <m:r>
                  <m:t>b</m:t>
                </m:r>
                <m:r>
                  <m:rPr>
                    <m:sty m:val="p"/>
                  </m:rPr>
                  <m:t>−</m:t>
                </m:r>
                <m:r>
                  <m:t>1</m:t>
                </m:r>
              </m:sub>
            </m:sSub>
            <m:d>
              <m:dPr>
                <m:begChr m:val="("/>
                <m:endChr m:val=")"/>
                <m:sepChr m:val=""/>
                <m:grow/>
              </m:dPr>
              <m:e>
                <m:sSub>
                  <m:e>
                    <m:r>
                      <m:t>T</m:t>
                    </m:r>
                  </m:e>
                  <m:sub>
                    <m:r>
                      <m:t>i</m:t>
                    </m:r>
                  </m:sub>
                </m:sSub>
                <m:d>
                  <m:dPr>
                    <m:begChr m:val="("/>
                    <m:endChr m:val=")"/>
                    <m:sepChr m:val=""/>
                    <m:grow/>
                  </m:dPr>
                  <m:e>
                    <m:r>
                      <m:t>p</m:t>
                    </m:r>
                    <m:r>
                      <m:rPr>
                        <m:sty m:val="p"/>
                      </m:rPr>
                      <m:t>,</m:t>
                    </m:r>
                    <m:r>
                      <m:t>y</m:t>
                    </m:r>
                  </m:e>
                </m:d>
                <m:r>
                  <m:rPr>
                    <m:sty m:val="p"/>
                  </m:rPr>
                  <m:t>,</m:t>
                </m:r>
                <m:r>
                  <m:t>A</m:t>
                </m:r>
                <m:r>
                  <m:rPr>
                    <m:sty m:val="p"/>
                  </m:rPr>
                  <m:t>∪</m:t>
                </m:r>
                <m:r>
                  <m:rPr>
                    <m:sty m:val="p"/>
                  </m:rPr>
                  <m:t>{</m:t>
                </m:r>
                <m:r>
                  <m:t>i</m:t>
                </m:r>
                <m:r>
                  <m:rPr>
                    <m:sty m:val="p"/>
                  </m:rPr>
                  <m:t>}</m:t>
                </m:r>
              </m:e>
            </m:d>
            <m:r>
              <m:rPr>
                <m:sty m:val="p"/>
              </m:rPr>
              <m:t>]</m:t>
            </m:r>
            <m:r>
              <m:rPr>
                <m:sty m:val="p"/>
              </m:rPr>
              <m:t>}</m:t>
            </m:r>
            <m:r>
              <m:rPr>
                <m:sty m:val="p"/>
              </m:rPr>
              <m:t>.</m:t>
            </m:r>
          </m:e>
        </m:eqArr>
      </m:oMath>
      <w:r>
        <w:tab/>
        <w:t>(27)</w:t>
      </w:r>
    </w:p>
    <w:p>
      <w:pPr>
        <w:pStyle w:val="BodyText"/>
      </w:pPr>
      <w:r>
        <w:t xml:space="preserve">If no source remains, only the stopping term is used. A deterministic optimal policy exists.</w:t>
      </w:r>
    </w:p>
    <w:p>
      <w:pPr>
        <w:pStyle w:val="BodyText"/>
      </w:pPr>
      <w:r>
        <w:rPr>
          <w:iCs/>
          <w:i/>
        </w:rPr>
        <w:t xml:space="preserve">Proof.</w:t>
      </w:r>
      <w:r>
        <w:t xml:space="preserve"> </w:t>
      </w:r>
      <w:r>
        <w:t xml:space="preserve">Conditional independence makes</w:t>
      </w:r>
      <w:r>
        <w:t xml:space="preserve"> </w:t>
      </w:r>
      <m:oMath>
        <m:d>
          <m:dPr>
            <m:begChr m:val="("/>
            <m:endChr m:val=")"/>
            <m:sepChr m:val=""/>
            <m:grow/>
          </m:dPr>
          <m:e>
            <m:r>
              <m:t>p</m:t>
            </m:r>
            <m:r>
              <m:rPr>
                <m:sty m:val="p"/>
              </m:rPr>
              <m:t>,</m:t>
            </m:r>
            <m:r>
              <m:t>A</m:t>
            </m:r>
            <m:r>
              <m:rPr>
                <m:sty m:val="p"/>
              </m:rPr>
              <m:t>,</m:t>
            </m:r>
            <m:r>
              <m:t>b</m:t>
            </m:r>
          </m:e>
        </m:d>
      </m:oMath>
      <w:r>
        <w:t xml:space="preserve"> </w:t>
      </w:r>
      <w:r>
        <w:t xml:space="preserve">sufficient for predicting every remaining observation. Stopping incurs Bayes risk</w:t>
      </w:r>
      <w:r>
        <w:t xml:space="preserve"> </w:t>
      </w:r>
      <m:oMath>
        <m:r>
          <m:t>r</m:t>
        </m:r>
        <m:d>
          <m:dPr>
            <m:begChr m:val="("/>
            <m:endChr m:val=")"/>
            <m:sepChr m:val=""/>
            <m:grow/>
          </m:dPr>
          <m:e>
            <m:r>
              <m:t>p</m:t>
            </m:r>
          </m:e>
        </m:d>
      </m:oMath>
      <w:r>
        <w:t xml:space="preserve">. Querying</w:t>
      </w:r>
      <w:r>
        <w:t xml:space="preserve"> </w:t>
      </w:r>
      <m:oMath>
        <m:r>
          <m:t>i</m:t>
        </m:r>
      </m:oMath>
      <w:r>
        <w:t xml:space="preserve"> </w:t>
      </w:r>
      <w:r>
        <w:t xml:space="preserve">incurs its marginal cost and the optimal continuation value under the updated posterior.</w:t>
      </w:r>
    </w:p>
    <w:p>
      <w:pPr>
        <w:pStyle w:val="BodyText"/>
      </w:pPr>
      <w:r>
        <w:t xml:space="preserve">Backward induction over</w:t>
      </w:r>
      <w:r>
        <w:t xml:space="preserve"> </w:t>
      </w:r>
      <m:oMath>
        <m:r>
          <m:t>b</m:t>
        </m:r>
      </m:oMath>
      <w:r>
        <w:t xml:space="preserve"> </w:t>
      </w:r>
      <w:r>
        <w:t xml:space="preserve">proves (26)–(27). The action and observation sets are finite, so every minimum is attained. Marginal costs telescope to</w:t>
      </w:r>
      <w:r>
        <w:t xml:space="preserve"> </w:t>
      </w:r>
      <m:oMath>
        <m:r>
          <m:t>F</m:t>
        </m:r>
        <m:d>
          <m:dPr>
            <m:begChr m:val="("/>
            <m:endChr m:val=")"/>
            <m:sepChr m:val=""/>
            <m:grow/>
          </m:dPr>
          <m:e>
            <m:sSub>
              <m:e>
                <m:r>
                  <m:t>S</m:t>
                </m:r>
              </m:e>
              <m:sub>
                <m:r>
                  <m:t>τ</m:t>
                </m:r>
              </m:sub>
            </m:sSub>
          </m:e>
        </m:d>
      </m:oMath>
      <w:r>
        <w:t xml:space="preserve">, giving (24) at the initial state.</w:t>
      </w:r>
      <w:r>
        <w:t xml:space="preserve"> </w:t>
      </w:r>
      <m:oMath>
        <m:r>
          <m:rPr>
            <m:sty m:val="p"/>
          </m:rPr>
          <m:t>▫</m:t>
        </m:r>
      </m:oMath>
    </w:p>
    <w:p>
      <w:pPr>
        <w:pStyle w:val="BodyText"/>
        <w:keepNext/>
      </w:pPr>
      <w:r>
        <w:t xml:space="preserve">This specializes finite-horizon belief-state dynamic programming [14,24]. With at most</w:t>
      </w:r>
      <w:r>
        <w:t xml:space="preserve"> </w:t>
      </w:r>
      <m:oMath>
        <m:r>
          <m:t>q</m:t>
        </m:r>
      </m:oMath>
      <w:r>
        <w:t xml:space="preserve"> </w:t>
      </w:r>
      <w:r>
        <w:t xml:space="preserve">outcomes per source, there are at most</w:t>
      </w:r>
    </w:p>
    <w:p>
      <w:pPr>
        <w:pStyle w:val="Equation"/>
        <w:jc w:val="center"/>
      </w:pPr>
      <m:oMathPara>
        <m:oMathParaPr>
          <m:jc m:val="center"/>
        </m:oMathParaPr>
        <m:oMath>
          <m:nary>
            <m:naryPr>
              <m:chr m:val="∑"/>
              <m:limLoc m:val="undOvr"/>
              <m:subHide m:val="off"/>
              <m:supHide m:val="off"/>
            </m:naryPr>
            <m:sub>
              <m:r>
                <m:t>m</m:t>
              </m:r>
              <m:r>
                <m:rPr>
                  <m:sty m:val="p"/>
                </m:rPr>
                <m:t>=</m:t>
              </m:r>
              <m:r>
                <m:t>0</m:t>
              </m:r>
            </m:sub>
            <m:sup>
              <m:r>
                <m:t>B</m:t>
              </m:r>
            </m:sup>
            <m:e>
              <m:d>
                <m:dPr>
                  <m:begChr m:val="("/>
                  <m:endChr m:val=")"/>
                  <m:sepChr m:val=""/>
                  <m:grow/>
                </m:dPr>
                <m:e>
                  <m:f>
                    <m:fPr>
                      <m:type m:val="noBar"/>
                    </m:fPr>
                    <m:num>
                      <m:r>
                        <m:t>n</m:t>
                      </m:r>
                    </m:num>
                    <m:den>
                      <m:r>
                        <m:t>m</m:t>
                      </m:r>
                    </m:den>
                  </m:f>
                </m:e>
              </m:d>
            </m:e>
          </m:nary>
          <m:sSup>
            <m:e>
              <m:r>
                <m:t>q</m:t>
              </m:r>
            </m:e>
            <m:sup>
              <m:r>
                <m:t>m</m:t>
              </m:r>
            </m:sup>
          </m:sSup>
        </m:oMath>
      </m:oMathPara>
    </w:p>
    <w:p>
      <w:pPr>
        <w:pStyle w:val="FirstParagraph"/>
      </w:pPr>
      <w:r>
        <w:t xml:space="preserve">partial observation assignments from a fixed prior. Compact representation of acquisition costs therefore does not make exact adaptive optimization polynomial.</w:t>
      </w:r>
    </w:p>
    <w:p>
      <w:pPr>
        <w:pStyle w:val="BodyText"/>
      </w:pPr>
      <w:r>
        <w:t xml:space="preserve">The same recursion applies to</w:t>
      </w:r>
      <w:r>
        <w:t xml:space="preserve"> </w:t>
      </w:r>
      <m:oMath>
        <m:r>
          <m:t>H</m:t>
        </m:r>
      </m:oMath>
      <w:r>
        <w:t xml:space="preserve">, using differences</w:t>
      </w:r>
      <w:r>
        <w:t xml:space="preserve"> </w:t>
      </w:r>
      <m:oMath>
        <m:r>
          <m:t>H</m:t>
        </m:r>
        <m:d>
          <m:dPr>
            <m:begChr m:val="("/>
            <m:endChr m:val=")"/>
            <m:sepChr m:val=""/>
            <m:grow/>
          </m:dPr>
          <m:e>
            <m:r>
              <m:t>A</m:t>
            </m:r>
            <m:r>
              <m:rPr>
                <m:sty m:val="p"/>
              </m:rPr>
              <m:t>∪</m:t>
            </m:r>
            <m:r>
              <m:rPr>
                <m:sty m:val="p"/>
              </m:rPr>
              <m:t>{</m:t>
            </m:r>
            <m:r>
              <m:t>i</m:t>
            </m:r>
            <m:r>
              <m:rPr>
                <m:sty m:val="p"/>
              </m:rPr>
              <m:t>}</m:t>
            </m:r>
          </m:e>
        </m:d>
        <m:r>
          <m:rPr>
            <m:sty m:val="p"/>
          </m:rPr>
          <m:t>−</m:t>
        </m:r>
        <m:r>
          <m:t>H</m:t>
        </m:r>
        <m:d>
          <m:dPr>
            <m:begChr m:val="("/>
            <m:endChr m:val=")"/>
            <m:sepChr m:val=""/>
            <m:grow/>
          </m:dPr>
          <m:e>
            <m:r>
              <m:t>A</m:t>
            </m:r>
          </m:e>
        </m:d>
      </m:oMath>
      <w:r>
        <w:t xml:space="preserve">. When raw measurements are incompatible, these differences must be evaluated from the set estimate: formula (5) need not hold for noisy overlaps. Negative surrogate increments do not invalidate finite-horizon optimization, although they lack a physical activation-cost interpretation.</w:t>
      </w:r>
    </w:p>
    <w:bookmarkEnd w:id="40"/>
    <w:bookmarkStart w:id="41" w:name="stability-of-values-and-policies"/>
    <w:p>
      <w:pPr>
        <w:pStyle w:val="Heading2"/>
      </w:pPr>
      <w:r>
        <w:t xml:space="preserve">4.2. Stability of values and policies</w:t>
      </w:r>
    </w:p>
    <w:p>
      <w:pPr>
        <w:pStyle w:val="FirstParagraph"/>
        <w:keepNext/>
      </w:pPr>
      <w:r>
        <w:t xml:space="preserve">Write</w:t>
      </w:r>
      <w:r>
        <w:t xml:space="preserve"> </w:t>
      </w:r>
      <m:oMath>
        <m:sSub>
          <m:e>
            <m:r>
              <m:t>V</m:t>
            </m:r>
          </m:e>
          <m:sub>
            <m:r>
              <m:t>F</m:t>
            </m:r>
          </m:sub>
        </m:sSub>
        <m:r>
          <m:rPr>
            <m:sty m:val="p"/>
          </m:rPr>
          <m:t>=</m:t>
        </m:r>
        <m:sSub>
          <m:e>
            <m:r>
              <m:rPr>
                <m:sty m:val="p"/>
                <m:nor/>
              </m:rPr>
              <m:t>min</m:t>
            </m:r>
          </m:e>
          <m:sub>
            <m:r>
              <m:t>π</m:t>
            </m:r>
          </m:sub>
        </m:sSub>
        <m:sSub>
          <m:e>
            <m:r>
              <m:t>J</m:t>
            </m:r>
          </m:e>
          <m:sub>
            <m:r>
              <m:t>F</m:t>
            </m:r>
          </m:sub>
        </m:sSub>
        <m:d>
          <m:dPr>
            <m:begChr m:val="("/>
            <m:endChr m:val=")"/>
            <m:sepChr m:val=""/>
            <m:grow/>
          </m:dPr>
          <m:e>
            <m:r>
              <m:t>π</m:t>
            </m:r>
          </m:e>
        </m:d>
      </m:oMath>
      <w:r>
        <w:t xml:space="preserve">,</w:t>
      </w:r>
      <w:r>
        <w:t xml:space="preserve"> </w:t>
      </w:r>
      <m:oMath>
        <m:sSub>
          <m:e>
            <m:r>
              <m:t>V</m:t>
            </m:r>
          </m:e>
          <m:sub>
            <m:r>
              <m:t>H</m:t>
            </m:r>
          </m:sub>
        </m:sSub>
        <m:r>
          <m:rPr>
            <m:sty m:val="p"/>
          </m:rPr>
          <m:t>=</m:t>
        </m:r>
        <m:sSub>
          <m:e>
            <m:r>
              <m:rPr>
                <m:sty m:val="p"/>
                <m:nor/>
              </m:rPr>
              <m:t>min</m:t>
            </m:r>
          </m:e>
          <m:sub>
            <m:r>
              <m:t>π</m:t>
            </m:r>
          </m:sub>
        </m:sSub>
        <m:sSub>
          <m:e>
            <m:r>
              <m:t>J</m:t>
            </m:r>
          </m:e>
          <m:sub>
            <m:r>
              <m:t>H</m:t>
            </m:r>
          </m:sub>
        </m:sSub>
        <m:d>
          <m:dPr>
            <m:begChr m:val="("/>
            <m:endChr m:val=")"/>
            <m:sepChr m:val=""/>
            <m:grow/>
          </m:dPr>
          <m:e>
            <m:r>
              <m:t>π</m:t>
            </m:r>
          </m:e>
        </m:d>
      </m:oMath>
      <w:r>
        <w:t xml:space="preserve">, and</w:t>
      </w:r>
    </w:p>
    <w:p>
      <w:pPr>
        <w:pStyle w:val="Equation"/>
        <w:tabs>
          <w:tab w:pos="4680" w:val="center"/>
          <w:tab w:pos="9792" w:val="right"/>
        </w:tabs>
        <w:jc w:val="left"/>
      </w:pPr>
      <w:r>
        <w:tab/>
      </w:r>
      <m:oMath>
        <m:sSub>
          <m:e>
            <m:r>
              <m:t>β</m:t>
            </m:r>
          </m:e>
          <m:sub>
            <m:r>
              <m:t>B</m:t>
            </m:r>
          </m:sub>
        </m:sSub>
        <m:r>
          <m:rPr>
            <m:sty m:val="p"/>
          </m:rPr>
          <m:t>=</m:t>
        </m:r>
        <m:limLow>
          <m:e>
            <m:r>
              <m:rPr>
                <m:sty m:val="p"/>
                <m:nor/>
              </m:rPr>
              <m:t>max</m:t>
            </m:r>
          </m:e>
          <m:lim>
            <m:r>
              <m:t>0</m:t>
            </m:r>
            <m:r>
              <m:rPr>
                <m:sty m:val="p"/>
              </m:rPr>
              <m:t>≤</m:t>
            </m:r>
            <m:r>
              <m:t>m</m:t>
            </m:r>
            <m:r>
              <m:rPr>
                <m:sty m:val="p"/>
              </m:rPr>
              <m:t>≤</m:t>
            </m:r>
            <m:r>
              <m:t>B</m:t>
            </m:r>
          </m:lim>
        </m:limLow>
        <m:sSub>
          <m:e>
            <m:r>
              <m:t>α</m:t>
            </m:r>
          </m:e>
          <m:sub>
            <m:r>
              <m:t>m</m:t>
            </m:r>
          </m:sub>
        </m:sSub>
        <m:r>
          <m:rPr>
            <m:sty m:val="p"/>
          </m:rPr>
          <m:t>=</m:t>
        </m:r>
        <m:box>
          <m:e>
            <m:r>
              <m:rPr>
                <m:sty m:val="p"/>
              </m:rPr>
              <w:rPr>
                <w:sz w:val="66"/>
              </w:rPr>
              <m:t>{</m:t>
            </m:r>
            <m:m>
              <m:mPr>
                <m:baseJc m:val="center"/>
                <m:plcHide m:val="on"/>
                <m:mcs>
                  <m:mc>
                    <m:mcPr>
                      <m:mcJc m:val="left"/>
                      <m:count m:val="1"/>
                    </m:mcPr>
                  </m:mc>
                  <m:mc>
                    <m:mcPr>
                      <m:mcJc m:val="left"/>
                      <m:count m:val="1"/>
                    </m:mcPr>
                  </m:mc>
                </m:mcs>
              </m:mPr>
              <m:mr>
                <m:e>
                  <m:r>
                    <m:t>0</m:t>
                  </m:r>
                  <m:r>
                    <m:rPr>
                      <m:sty m:val="p"/>
                    </m:rPr>
                    <m:t>,</m:t>
                  </m:r>
                </m:e>
                <m:e>
                  <m:r>
                    <m:t>B</m:t>
                  </m:r>
                  <m:r>
                    <m:rPr>
                      <m:sty m:val="p"/>
                    </m:rPr>
                    <m:t>=</m:t>
                  </m:r>
                  <m:r>
                    <m:t>0</m:t>
                  </m:r>
                  <m:r>
                    <m:rPr>
                      <m:sty m:val="p"/>
                    </m:rPr>
                    <m:t>,</m:t>
                  </m:r>
                </m:e>
              </m:mr>
              <m:mr>
                <m:e>
                  <m:r>
                    <m:t>1</m:t>
                  </m:r>
                  <m:r>
                    <m:rPr>
                      <m:sty m:val="p"/>
                    </m:rPr>
                    <m:t>,</m:t>
                  </m:r>
                </m:e>
                <m:e>
                  <m:r>
                    <m:t>B</m:t>
                  </m:r>
                  <m:r>
                    <m:rPr>
                      <m:sty m:val="p"/>
                    </m:rPr>
                    <m:t>=</m:t>
                  </m:r>
                  <m:r>
                    <m:t>1</m:t>
                  </m:r>
                  <m:r>
                    <m:rPr>
                      <m:sty m:val="p"/>
                    </m:rPr>
                    <m:t>,</m:t>
                  </m:r>
                </m:e>
              </m:mr>
              <m:mr>
                <m:e>
                  <m:r>
                    <m:t>2</m:t>
                  </m:r>
                  <m:r>
                    <m:t>B</m:t>
                  </m:r>
                  <m:r>
                    <m:rPr>
                      <m:sty m:val="p"/>
                    </m:rPr>
                    <m:t>−</m:t>
                  </m:r>
                  <m:r>
                    <m:t>3</m:t>
                  </m:r>
                  <m:r>
                    <m:rPr>
                      <m:sty m:val="p"/>
                    </m:rPr>
                    <m:t>,</m:t>
                  </m:r>
                </m:e>
                <m:e>
                  <m:r>
                    <m:t>B</m:t>
                  </m:r>
                  <m:r>
                    <m:rPr>
                      <m:sty m:val="p"/>
                    </m:rPr>
                    <m:t>≥</m:t>
                  </m:r>
                  <m:r>
                    <m:t>2</m:t>
                  </m:r>
                  <m:r>
                    <m:rPr>
                      <m:sty m:val="p"/>
                    </m:rPr>
                    <m:t>.</m:t>
                  </m:r>
                </m:e>
              </m:mr>
            </m:m>
          </m:e>
        </m:box>
      </m:oMath>
      <w:r>
        <w:tab/>
        <w:t>(28)</w:t>
      </w:r>
    </w:p>
    <w:p>
      <w:pPr>
        <w:pStyle w:val="BodyText"/>
        <w:keepNext/>
        <w:spacing w:before="140" w:after="100"/>
      </w:pPr>
      <w:r>
        <w:rPr>
          <w:bCs/>
          <w:b/>
        </w:rPr>
        <w:t xml:space="preserve">Theorem 4.2 — Decision stability.</w:t>
      </w:r>
      <w:r>
        <w:t xml:space="preserve"> </w:t>
      </w:r>
      <w:r>
        <w:t xml:space="preserve">Under (8), for the same likelihoods, loss, prior, call budget, and penalty weight,</w:t>
      </w:r>
    </w:p>
    <w:p>
      <w:pPr>
        <w:pStyle w:val="Equation"/>
        <w:tabs>
          <w:tab w:pos="4680" w:val="center"/>
          <w:tab w:pos="9792" w:val="right"/>
        </w:tabs>
        <w:jc w:val="left"/>
      </w:pPr>
      <w:r>
        <w:tab/>
      </w:r>
      <m:oMath>
        <m:box>
          <m:e>
            <m:r>
              <m:rPr>
                <m:sty m:val="p"/>
              </m:rPr>
              <m:t>|</m:t>
            </m:r>
            <m:sSub>
              <m:e>
                <m:r>
                  <m:t>V</m:t>
                </m:r>
              </m:e>
              <m:sub>
                <m:r>
                  <m:t>F</m:t>
                </m:r>
              </m:sub>
            </m:sSub>
            <m:r>
              <m:rPr>
                <m:sty m:val="p"/>
              </m:rPr>
              <m:t>−</m:t>
            </m:r>
            <m:sSub>
              <m:e>
                <m:r>
                  <m:t>V</m:t>
                </m:r>
              </m:e>
              <m:sub>
                <m:r>
                  <m:t>H</m:t>
                </m:r>
              </m:sub>
            </m:sSub>
            <m:r>
              <m:rPr>
                <m:sty m:val="p"/>
              </m:rPr>
              <m:t>|</m:t>
            </m:r>
          </m:e>
        </m:box>
        <m:r>
          <m:rPr>
            <m:sty m:val="p"/>
          </m:rPr>
          <m:t>≤</m:t>
        </m:r>
        <m:r>
          <m:t>λ</m:t>
        </m:r>
        <m:sSub>
          <m:e>
            <m:r>
              <m:t>β</m:t>
            </m:r>
          </m:e>
          <m:sub>
            <m:r>
              <m:t>B</m:t>
            </m:r>
          </m:sub>
        </m:sSub>
        <m:r>
          <m:t>ε</m:t>
        </m:r>
        <m:r>
          <m:rPr>
            <m:sty m:val="p"/>
          </m:rPr>
          <m:t>.</m:t>
        </m:r>
      </m:oMath>
      <w:r>
        <w:tab/>
        <w:t>(29)</w:t>
      </w:r>
    </w:p>
    <w:p>
      <w:pPr>
        <w:pStyle w:val="BodyText"/>
        <w:keepNext/>
      </w:pPr>
      <w:r>
        <w:t xml:space="preserve">If</w:t>
      </w:r>
      <w:r>
        <w:t xml:space="preserve"> </w:t>
      </w:r>
      <m:oMath>
        <m:sSub>
          <m:e>
            <m:r>
              <m:t>π</m:t>
            </m:r>
          </m:e>
          <m:sub>
            <m:r>
              <m:t>H</m:t>
            </m:r>
          </m:sub>
        </m:sSub>
      </m:oMath>
      <w:r>
        <w:t xml:space="preserve"> </w:t>
      </w:r>
      <w:r>
        <w:t xml:space="preserve">minimizes the measured-cost objective, then</w:t>
      </w:r>
    </w:p>
    <w:p>
      <w:pPr>
        <w:pStyle w:val="Equation"/>
        <w:tabs>
          <w:tab w:pos="4680" w:val="center"/>
          <w:tab w:pos="9792" w:val="right"/>
        </w:tabs>
        <w:jc w:val="left"/>
      </w:pPr>
      <w:r>
        <w:tab/>
      </w:r>
      <m:oMath>
        <m:r>
          <m:t>0</m:t>
        </m:r>
        <m:r>
          <m:rPr>
            <m:sty m:val="p"/>
          </m:rPr>
          <m:t>≤</m:t>
        </m:r>
        <m:sSub>
          <m:e>
            <m:r>
              <m:t>J</m:t>
            </m:r>
          </m:e>
          <m:sub>
            <m:r>
              <m:t>F</m:t>
            </m:r>
          </m:sub>
        </m:sSub>
        <m:d>
          <m:dPr>
            <m:begChr m:val="("/>
            <m:endChr m:val=")"/>
            <m:sepChr m:val=""/>
            <m:grow/>
          </m:dPr>
          <m:e>
            <m:sSub>
              <m:e>
                <m:r>
                  <m:t>π</m:t>
                </m:r>
              </m:e>
              <m:sub>
                <m:r>
                  <m:t>H</m:t>
                </m:r>
              </m:sub>
            </m:sSub>
          </m:e>
        </m:d>
        <m:r>
          <m:rPr>
            <m:sty m:val="p"/>
          </m:rPr>
          <m:t>−</m:t>
        </m:r>
        <m:sSub>
          <m:e>
            <m:r>
              <m:t>V</m:t>
            </m:r>
          </m:e>
          <m:sub>
            <m:r>
              <m:t>F</m:t>
            </m:r>
          </m:sub>
        </m:sSub>
        <m:r>
          <m:rPr>
            <m:sty m:val="p"/>
          </m:rPr>
          <m:t>≤</m:t>
        </m:r>
        <m:r>
          <m:t>2</m:t>
        </m:r>
        <m:r>
          <m:t>λ</m:t>
        </m:r>
        <m:sSub>
          <m:e>
            <m:r>
              <m:t>β</m:t>
            </m:r>
          </m:e>
          <m:sub>
            <m:r>
              <m:t>B</m:t>
            </m:r>
          </m:sub>
        </m:sSub>
        <m:r>
          <m:t>ε</m:t>
        </m:r>
        <m:r>
          <m:rPr>
            <m:sty m:val="p"/>
          </m:rPr>
          <m:t>.</m:t>
        </m:r>
      </m:oMath>
      <w:r>
        <w:tab/>
        <w:t>(30)</w:t>
      </w:r>
    </w:p>
    <w:p>
      <w:pPr>
        <w:pStyle w:val="BodyText"/>
      </w:pPr>
      <w:r>
        <w:t xml:space="preserve">For</w:t>
      </w:r>
      <w:r>
        <w:t xml:space="preserve"> </w:t>
      </w:r>
      <m:oMath>
        <m:r>
          <m:t>B</m:t>
        </m:r>
        <m:r>
          <m:rPr>
            <m:sty m:val="p"/>
          </m:rPr>
          <m:t>≥</m:t>
        </m:r>
        <m:r>
          <m:t>2</m:t>
        </m:r>
      </m:oMath>
      <w:r>
        <w:t xml:space="preserve">, the coefficient in (29) is sharp over this decision-model class.</w:t>
      </w:r>
    </w:p>
    <w:p>
      <w:pPr>
        <w:pStyle w:val="BodyText"/>
        <w:keepNext/>
      </w:pPr>
      <w:r>
        <w:rPr>
          <w:iCs/>
          <w:i/>
        </w:rPr>
        <w:t xml:space="preserve">Proof.</w:t>
      </w:r>
      <w:r>
        <w:t xml:space="preserve"> </w:t>
      </w:r>
      <w:r>
        <w:t xml:space="preserve">Fix any history-dependent policy</w:t>
      </w:r>
      <w:r>
        <w:t xml:space="preserve"> </w:t>
      </w:r>
      <m:oMath>
        <m:r>
          <m:t>π</m:t>
        </m:r>
      </m:oMath>
      <w:r>
        <w:t xml:space="preserve">. Holding this policy fixed, replacing the cost table does not change the observation law or its stopping decisions. Since</w:t>
      </w:r>
      <w:r>
        <w:t xml:space="preserve"> </w:t>
      </w:r>
      <m:oMath>
        <m:box>
          <m:e>
            <m:r>
              <m:rPr>
                <m:sty m:val="p"/>
              </m:rPr>
              <m:t>|</m:t>
            </m:r>
            <m:sSub>
              <m:e>
                <m:r>
                  <m:t>S</m:t>
                </m:r>
              </m:e>
              <m:sub>
                <m:r>
                  <m:t>τ</m:t>
                </m:r>
              </m:sub>
            </m:sSub>
            <m:r>
              <m:rPr>
                <m:sty m:val="p"/>
              </m:rPr>
              <m:t>|</m:t>
            </m:r>
          </m:e>
        </m:box>
        <m:r>
          <m:rPr>
            <m:sty m:val="p"/>
          </m:rPr>
          <m:t>≤</m:t>
        </m:r>
        <m:r>
          <m:t>B</m:t>
        </m:r>
      </m:oMath>
      <w:r>
        <w:t xml:space="preserve">, Theorem 3.1 gives</w:t>
      </w:r>
    </w:p>
    <w:p>
      <w:pPr>
        <w:pStyle w:val="Equation"/>
        <w:jc w:val="center"/>
      </w:pPr>
      <m:oMathPara>
        <m:oMathParaPr>
          <m:jc m:val="center"/>
        </m:oMathParaPr>
        <m:oMath>
          <m:eqArr>
            <m:eqArrPr>
              <m:baseJc m:val="center"/>
            </m:eqArrPr>
            <m:e>
              <m:box>
                <m:e>
                  <m:r>
                    <m:rPr>
                      <m:sty m:val="p"/>
                    </m:rPr>
                    <m:t>|</m:t>
                  </m:r>
                  <m:sSub>
                    <m:e>
                      <m:r>
                        <m:t>J</m:t>
                      </m:r>
                    </m:e>
                    <m:sub>
                      <m:r>
                        <m:t>F</m:t>
                      </m:r>
                    </m:sub>
                  </m:sSub>
                  <m:d>
                    <m:dPr>
                      <m:begChr m:val="("/>
                      <m:endChr m:val=")"/>
                      <m:sepChr m:val=""/>
                      <m:grow/>
                    </m:dPr>
                    <m:e>
                      <m:r>
                        <m:t>π</m:t>
                      </m:r>
                    </m:e>
                  </m:d>
                  <m:r>
                    <m:rPr>
                      <m:sty m:val="p"/>
                    </m:rPr>
                    <m:t>−</m:t>
                  </m:r>
                  <m:sSub>
                    <m:e>
                      <m:r>
                        <m:t>J</m:t>
                      </m:r>
                    </m:e>
                    <m:sub>
                      <m:r>
                        <m:t>H</m:t>
                      </m:r>
                    </m:sub>
                  </m:sSub>
                  <m:d>
                    <m:dPr>
                      <m:begChr m:val="("/>
                      <m:endChr m:val=")"/>
                      <m:sepChr m:val=""/>
                      <m:grow/>
                    </m:dPr>
                    <m:e>
                      <m:r>
                        <m:t>π</m:t>
                      </m:r>
                    </m:e>
                  </m:d>
                  <m:r>
                    <m:rPr>
                      <m:sty m:val="p"/>
                    </m:rPr>
                    <m:t>|</m:t>
                  </m:r>
                </m:e>
              </m:box>
              <m:r>
                <m:rPr>
                  <m:sty m:val="p"/>
                </m:rPr>
                <m:t>≤</m:t>
              </m:r>
              <m:r>
                <m:t>λ</m:t>
              </m:r>
              <m:sSup>
                <m:e>
                  <m:r>
                    <m:rPr>
                      <m:sty m:val="p"/>
                    </m:rPr>
                    <m:t>𝔼</m:t>
                  </m:r>
                </m:e>
                <m:sup>
                  <m:r>
                    <m:t>π</m:t>
                  </m:r>
                </m:sup>
              </m:sSup>
              <m:box>
                <m:e>
                  <m:r>
                    <m:rPr>
                      <m:sty m:val="p"/>
                    </m:rPr>
                    <m:t>|</m:t>
                  </m:r>
                  <m:r>
                    <m:t>F</m:t>
                  </m:r>
                  <m:d>
                    <m:dPr>
                      <m:begChr m:val="("/>
                      <m:endChr m:val=")"/>
                      <m:sepChr m:val=""/>
                      <m:grow/>
                    </m:dPr>
                    <m:e>
                      <m:sSub>
                        <m:e>
                          <m:r>
                            <m:t>S</m:t>
                          </m:r>
                        </m:e>
                        <m:sub>
                          <m:r>
                            <m:t>τ</m:t>
                          </m:r>
                        </m:sub>
                      </m:sSub>
                    </m:e>
                  </m:d>
                  <m:r>
                    <m:rPr>
                      <m:sty m:val="p"/>
                    </m:rPr>
                    <m:t>−</m:t>
                  </m:r>
                  <m:r>
                    <m:t>H</m:t>
                  </m:r>
                  <m:d>
                    <m:dPr>
                      <m:begChr m:val="("/>
                      <m:endChr m:val=")"/>
                      <m:sepChr m:val=""/>
                      <m:grow/>
                    </m:dPr>
                    <m:e>
                      <m:sSub>
                        <m:e>
                          <m:r>
                            <m:t>S</m:t>
                          </m:r>
                        </m:e>
                        <m:sub>
                          <m:r>
                            <m:t>τ</m:t>
                          </m:r>
                        </m:sub>
                      </m:sSub>
                    </m:e>
                  </m:d>
                  <m:r>
                    <m:rPr>
                      <m:sty m:val="p"/>
                    </m:rPr>
                    <m:t>|</m:t>
                  </m:r>
                </m:e>
              </m:box>
            </m:e>
            <m:e>
              <m:r>
                <m:rPr>
                  <m:sty m:val="p"/>
                </m:rPr>
                <m:t>≤</m:t>
              </m:r>
              <m:r>
                <m:t>λ</m:t>
              </m:r>
              <m:sSub>
                <m:e>
                  <m:r>
                    <m:t>β</m:t>
                  </m:r>
                </m:e>
                <m:sub>
                  <m:r>
                    <m:t>B</m:t>
                  </m:r>
                </m:sub>
              </m:sSub>
              <m:r>
                <m:t>ε</m:t>
              </m:r>
              <m:r>
                <m:rPr>
                  <m:sty m:val="p"/>
                </m:rPr>
                <m:t>.</m:t>
              </m:r>
            </m:e>
          </m:eqArr>
        </m:oMath>
      </m:oMathPara>
    </w:p>
    <w:p>
      <w:pPr>
        <w:pStyle w:val="FirstParagraph"/>
        <w:keepNext/>
      </w:pPr>
      <w:r>
        <w:t xml:space="preserve">Taking minima proves (29). If</w:t>
      </w:r>
      <w:r>
        <w:t xml:space="preserve"> </w:t>
      </w:r>
      <m:oMath>
        <m:sSub>
          <m:e>
            <m:r>
              <m:t>π</m:t>
            </m:r>
          </m:e>
          <m:sub>
            <m:r>
              <m:t>F</m:t>
            </m:r>
          </m:sub>
        </m:sSub>
      </m:oMath>
      <w:r>
        <w:t xml:space="preserve"> </w:t>
      </w:r>
      <w:r>
        <w:t xml:space="preserve">is optimal for</w:t>
      </w:r>
      <w:r>
        <w:t xml:space="preserve"> </w:t>
      </w:r>
      <m:oMath>
        <m:r>
          <m:t>F</m:t>
        </m:r>
      </m:oMath>
      <w:r>
        <w:t xml:space="preserve">, then</w:t>
      </w:r>
    </w:p>
    <w:p>
      <w:pPr>
        <w:pStyle w:val="Equation"/>
        <w:jc w:val="center"/>
      </w:pPr>
      <m:oMathPara>
        <m:oMathParaPr>
          <m:jc m:val="center"/>
        </m:oMathParaPr>
        <m:oMath>
          <m:eqArr>
            <m:eqArrPr>
              <m:baseJc m:val="center"/>
            </m:eqArrPr>
            <m:e>
              <m:sSub>
                <m:e>
                  <m:r>
                    <m:t>J</m:t>
                  </m:r>
                </m:e>
                <m:sub>
                  <m:r>
                    <m:t>F</m:t>
                  </m:r>
                </m:sub>
              </m:sSub>
              <m:d>
                <m:dPr>
                  <m:begChr m:val="("/>
                  <m:endChr m:val=")"/>
                  <m:sepChr m:val=""/>
                  <m:grow/>
                </m:dPr>
                <m:e>
                  <m:sSub>
                    <m:e>
                      <m:r>
                        <m:t>π</m:t>
                      </m:r>
                    </m:e>
                    <m:sub>
                      <m:r>
                        <m:t>H</m:t>
                      </m:r>
                    </m:sub>
                  </m:sSub>
                </m:e>
              </m:d>
              <m:r>
                <m:rPr>
                  <m:sty m:val="p"/>
                </m:rPr>
                <m:t>≤</m:t>
              </m:r>
              <m:sSub>
                <m:e>
                  <m:r>
                    <m:t>J</m:t>
                  </m:r>
                </m:e>
                <m:sub>
                  <m:r>
                    <m:t>H</m:t>
                  </m:r>
                </m:sub>
              </m:sSub>
              <m:d>
                <m:dPr>
                  <m:begChr m:val="("/>
                  <m:endChr m:val=")"/>
                  <m:sepChr m:val=""/>
                  <m:grow/>
                </m:dPr>
                <m:e>
                  <m:sSub>
                    <m:e>
                      <m:r>
                        <m:t>π</m:t>
                      </m:r>
                    </m:e>
                    <m:sub>
                      <m:r>
                        <m:t>H</m:t>
                      </m:r>
                    </m:sub>
                  </m:sSub>
                </m:e>
              </m:d>
              <m:r>
                <m:rPr>
                  <m:sty m:val="p"/>
                </m:rPr>
                <m:t>+</m:t>
              </m:r>
              <m:r>
                <m:t>λ</m:t>
              </m:r>
              <m:sSub>
                <m:e>
                  <m:r>
                    <m:t>β</m:t>
                  </m:r>
                </m:e>
                <m:sub>
                  <m:r>
                    <m:t>B</m:t>
                  </m:r>
                </m:sub>
              </m:sSub>
              <m:r>
                <m:t>ε</m:t>
              </m:r>
            </m:e>
            <m:e>
              <m:r>
                <m:rPr>
                  <m:sty m:val="p"/>
                </m:rPr>
                <m:t>≤</m:t>
              </m:r>
              <m:sSub>
                <m:e>
                  <m:r>
                    <m:t>J</m:t>
                  </m:r>
                </m:e>
                <m:sub>
                  <m:r>
                    <m:t>H</m:t>
                  </m:r>
                </m:sub>
              </m:sSub>
              <m:d>
                <m:dPr>
                  <m:begChr m:val="("/>
                  <m:endChr m:val=")"/>
                  <m:sepChr m:val=""/>
                  <m:grow/>
                </m:dPr>
                <m:e>
                  <m:sSub>
                    <m:e>
                      <m:r>
                        <m:t>π</m:t>
                      </m:r>
                    </m:e>
                    <m:sub>
                      <m:r>
                        <m:t>F</m:t>
                      </m:r>
                    </m:sub>
                  </m:sSub>
                </m:e>
              </m:d>
              <m:r>
                <m:rPr>
                  <m:sty m:val="p"/>
                </m:rPr>
                <m:t>+</m:t>
              </m:r>
              <m:r>
                <m:t>λ</m:t>
              </m:r>
              <m:sSub>
                <m:e>
                  <m:r>
                    <m:t>β</m:t>
                  </m:r>
                </m:e>
                <m:sub>
                  <m:r>
                    <m:t>B</m:t>
                  </m:r>
                </m:sub>
              </m:sSub>
              <m:r>
                <m:t>ε</m:t>
              </m:r>
            </m:e>
            <m:e>
              <m:r>
                <m:rPr>
                  <m:sty m:val="p"/>
                </m:rPr>
                <m:t>≤</m:t>
              </m:r>
              <m:sSub>
                <m:e>
                  <m:r>
                    <m:t>V</m:t>
                  </m:r>
                </m:e>
                <m:sub>
                  <m:r>
                    <m:t>F</m:t>
                  </m:r>
                </m:sub>
              </m:sSub>
              <m:r>
                <m:rPr>
                  <m:sty m:val="p"/>
                </m:rPr>
                <m:t>+</m:t>
              </m:r>
              <m:r>
                <m:t>2</m:t>
              </m:r>
              <m:r>
                <m:t>λ</m:t>
              </m:r>
              <m:sSub>
                <m:e>
                  <m:r>
                    <m:t>β</m:t>
                  </m:r>
                </m:e>
                <m:sub>
                  <m:r>
                    <m:t>B</m:t>
                  </m:r>
                </m:sub>
              </m:sSub>
              <m:r>
                <m:t>ε</m:t>
              </m:r>
              <m:r>
                <m:rPr>
                  <m:sty m:val="p"/>
                </m:rPr>
                <m:t>,</m:t>
              </m:r>
            </m:e>
          </m:eqArr>
        </m:oMath>
      </m:oMathPara>
    </w:p>
    <w:p>
      <w:pPr>
        <w:pStyle w:val="FirstParagraph"/>
      </w:pPr>
      <w:r>
        <w:t xml:space="preserve">which proves (30).</w:t>
      </w:r>
    </w:p>
    <w:p>
      <w:pPr>
        <w:pStyle w:val="BodyText"/>
      </w:pPr>
      <w:r>
        <w:t xml:space="preserve">For sharpness of (29), take</w:t>
      </w:r>
      <w:r>
        <w:t xml:space="preserve"> </w:t>
      </w:r>
      <m:oMath>
        <m:r>
          <m:t>B</m:t>
        </m:r>
      </m:oMath>
      <w:r>
        <w:t xml:space="preserve"> </w:t>
      </w:r>
      <w:r>
        <w:t xml:space="preserve">independent fair bits</w:t>
      </w:r>
      <w:r>
        <w:t xml:space="preserve"> </w:t>
      </w:r>
      <m:oMath>
        <m:sSub>
          <m:e>
            <m:r>
              <m:t>X</m:t>
            </m:r>
          </m:e>
          <m:sub>
            <m:r>
              <m:t>1</m:t>
            </m:r>
          </m:sub>
        </m:sSub>
        <m:r>
          <m:rPr>
            <m:sty m:val="p"/>
          </m:rPr>
          <m:t>,</m:t>
        </m:r>
        <m:r>
          <m:rPr>
            <m:sty m:val="p"/>
          </m:rPr>
          <m:t>…</m:t>
        </m:r>
        <m:r>
          <m:rPr>
            <m:sty m:val="p"/>
          </m:rPr>
          <m:t>,</m:t>
        </m:r>
        <m:sSub>
          <m:e>
            <m:r>
              <m:t>X</m:t>
            </m:r>
          </m:e>
          <m:sub>
            <m:r>
              <m:t>B</m:t>
            </m:r>
          </m:sub>
        </m:sSub>
      </m:oMath>
      <w:r>
        <w:t xml:space="preserve"> </w:t>
      </w:r>
      <w:r>
        <w:t xml:space="preserve">as the latent state. Source</w:t>
      </w:r>
      <w:r>
        <w:t xml:space="preserve"> </w:t>
      </w:r>
      <m:oMath>
        <m:r>
          <m:t>i</m:t>
        </m:r>
      </m:oMath>
      <w:r>
        <w:t xml:space="preserve"> </w:t>
      </w:r>
      <w:r>
        <w:t xml:space="preserve">reveals</w:t>
      </w:r>
      <w:r>
        <w:t xml:space="preserve"> </w:t>
      </w:r>
      <m:oMath>
        <m:sSub>
          <m:e>
            <m:r>
              <m:t>X</m:t>
            </m:r>
          </m:e>
          <m:sub>
            <m:r>
              <m:t>i</m:t>
            </m:r>
          </m:sub>
        </m:sSub>
      </m:oMath>
      <w:r>
        <w:t xml:space="preserve"> </w:t>
      </w:r>
      <w:r>
        <w:t xml:space="preserve">deterministically, and the final decision predicts their parity under zero-one loss. Conditional independence holds given the complete latent state. Every proper subset leaves parity uniformly distributed, while the full set determines it.</w:t>
      </w:r>
    </w:p>
    <w:p>
      <w:pPr>
        <w:pStyle w:val="BodyText"/>
        <w:keepNext/>
      </w:pPr>
      <w:r>
        <w:t xml:space="preserve">For a nonnegative monotone cost function</w:t>
      </w:r>
      <w:r>
        <w:t xml:space="preserve"> </w:t>
      </w:r>
      <m:oMath>
        <m:r>
          <m:t>K</m:t>
        </m:r>
      </m:oMath>
      <w:r>
        <w:t xml:space="preserve">, a policy completing all queries with probability</w:t>
      </w:r>
      <w:r>
        <w:t xml:space="preserve"> </w:t>
      </w:r>
      <m:oMath>
        <m:r>
          <m:t>u</m:t>
        </m:r>
      </m:oMath>
      <w:r>
        <w:t xml:space="preserve"> </w:t>
      </w:r>
      <w:r>
        <w:t xml:space="preserve">has objective at least</w:t>
      </w:r>
    </w:p>
    <w:p>
      <w:pPr>
        <w:pStyle w:val="Equation"/>
        <w:jc w:val="center"/>
      </w:pPr>
      <m:oMathPara>
        <m:oMathParaPr>
          <m:jc m:val="center"/>
        </m:oMathParaPr>
        <m:oMath>
          <m:r>
            <m:t>u</m:t>
          </m:r>
          <m:r>
            <m:t>λ</m:t>
          </m:r>
          <m:r>
            <m:t>K</m:t>
          </m:r>
          <m:d>
            <m:dPr>
              <m:begChr m:val="("/>
              <m:endChr m:val=")"/>
              <m:sepChr m:val=""/>
              <m:grow/>
            </m:dPr>
            <m:e>
              <m:r>
                <m:t>N</m:t>
              </m:r>
            </m:e>
          </m:d>
          <m:r>
            <m:rPr>
              <m:sty m:val="p"/>
            </m:rPr>
            <m:t>+</m:t>
          </m:r>
          <m:d>
            <m:dPr>
              <m:begChr m:val="("/>
              <m:endChr m:val=")"/>
              <m:sepChr m:val=""/>
              <m:grow/>
            </m:dPr>
            <m:e>
              <m:r>
                <m:t>1</m:t>
              </m:r>
              <m:r>
                <m:rPr>
                  <m:sty m:val="p"/>
                </m:rPr>
                <m:t>−</m:t>
              </m:r>
              <m:r>
                <m:t>u</m:t>
              </m:r>
            </m:e>
          </m:d>
          <m:r>
            <m:rPr>
              <m:sty m:val="p"/>
            </m:rPr>
            <m:t>/</m:t>
          </m:r>
          <m:r>
            <m:t>2</m:t>
          </m:r>
          <m:r>
            <m:rPr>
              <m:sty m:val="p"/>
            </m:rPr>
            <m:t>.</m:t>
          </m:r>
        </m:oMath>
      </m:oMathPara>
    </w:p>
    <w:p>
      <w:pPr>
        <w:pStyle w:val="FirstParagraph"/>
        <w:keepNext/>
      </w:pPr>
      <w:r>
        <w:t xml:space="preserve">Always stopping or always completing attains the two endpoints. The optimal value is consequently</w:t>
      </w:r>
    </w:p>
    <w:p>
      <w:pPr>
        <w:pStyle w:val="Equation"/>
        <w:jc w:val="center"/>
      </w:pPr>
      <m:oMathPara>
        <m:oMathParaPr>
          <m:jc m:val="center"/>
        </m:oMathParaPr>
        <m:oMath>
          <m:r>
            <m:rPr>
              <m:sty m:val="p"/>
              <m:nor/>
            </m:rPr>
            <m:t>min</m:t>
          </m:r>
          <m:r>
            <m:rPr>
              <m:sty m:val="p"/>
            </m:rPr>
            <m:t>{</m:t>
          </m:r>
          <m:r>
            <m:t>1</m:t>
          </m:r>
          <m:r>
            <m:rPr>
              <m:sty m:val="p"/>
            </m:rPr>
            <m:t>/</m:t>
          </m:r>
          <m:r>
            <m:t>2</m:t>
          </m:r>
          <m:r>
            <m:rPr>
              <m:sty m:val="p"/>
            </m:rPr>
            <m:t>,</m:t>
          </m:r>
          <m:r>
            <m:t>λ</m:t>
          </m:r>
          <m:r>
            <m:t>K</m:t>
          </m:r>
          <m:d>
            <m:dPr>
              <m:begChr m:val="("/>
              <m:endChr m:val=")"/>
              <m:sepChr m:val=""/>
              <m:grow/>
            </m:dPr>
            <m:e>
              <m:r>
                <m:t>N</m:t>
              </m:r>
            </m:e>
          </m:d>
          <m:r>
            <m:rPr>
              <m:sty m:val="p"/>
            </m:rPr>
            <m:t>}</m:t>
          </m:r>
          <m:r>
            <m:rPr>
              <m:sty m:val="p"/>
            </m:rPr>
            <m:t>.</m:t>
          </m:r>
        </m:oMath>
      </m:oMathPara>
    </w:p>
    <w:p>
      <w:pPr>
        <w:pStyle w:val="FirstParagraph"/>
        <w:keepNext/>
      </w:pPr>
      <w:r>
        <w:t xml:space="preserve">Use the central tree and the plus perturbation from Theorem 3.1, choosing</w:t>
      </w:r>
      <w:r>
        <w:t xml:space="preserve"> </w:t>
      </w:r>
      <m:oMath>
        <m:r>
          <m:t>λ</m:t>
        </m:r>
      </m:oMath>
      <w:r>
        <w:t xml:space="preserve"> </w:t>
      </w:r>
      <w:r>
        <w:t xml:space="preserve">small enough that full acquisition is optimal for both. Their values differ by exactly</w:t>
      </w:r>
    </w:p>
    <w:p>
      <w:pPr>
        <w:pStyle w:val="Equation"/>
        <w:jc w:val="center"/>
      </w:pPr>
      <m:oMathPara>
        <m:oMathParaPr>
          <m:jc m:val="center"/>
        </m:oMathParaPr>
        <m:oMath>
          <m:r>
            <m:t>λ</m:t>
          </m:r>
          <m:d>
            <m:dPr>
              <m:begChr m:val="("/>
              <m:endChr m:val=")"/>
              <m:sepChr m:val=""/>
              <m:grow/>
            </m:dPr>
            <m:e>
              <m:r>
                <m:t>2</m:t>
              </m:r>
              <m:r>
                <m:t>B</m:t>
              </m:r>
              <m:r>
                <m:rPr>
                  <m:sty m:val="p"/>
                </m:rPr>
                <m:t>−</m:t>
              </m:r>
              <m:r>
                <m:t>3</m:t>
              </m:r>
            </m:e>
          </m:d>
          <m:r>
            <m:t>ε</m:t>
          </m:r>
          <m:r>
            <m:rPr>
              <m:sty m:val="p"/>
            </m:rPr>
            <m:t>.</m:t>
          </m:r>
        </m:oMath>
      </m:oMathPara>
    </w:p>
    <w:p>
      <w:pPr>
        <w:pStyle w:val="FirstParagraph"/>
      </w:pPr>
      <w:r>
        <w:t xml:space="preserve">This proves sharpness.</w:t>
      </w:r>
      <w:r>
        <w:t xml:space="preserve"> </w:t>
      </w:r>
      <m:oMath>
        <m:r>
          <m:rPr>
            <m:sty m:val="p"/>
          </m:rPr>
          <m:t>▫</m:t>
        </m:r>
      </m:oMath>
    </w:p>
    <w:p>
      <w:pPr>
        <w:pStyle w:val="BodyText"/>
        <w:keepNext/>
        <w:spacing w:before="140" w:after="100"/>
      </w:pPr>
      <w:r>
        <w:t xml:space="preserve">Theorem 4.3 below proves that the factor two in (30) cannot be reduced for surrogate-optimal policies, even when the measured table is itself a physical tree. Replacing</w:t>
      </w:r>
      <w:r>
        <w:t xml:space="preserve"> </w:t>
      </w:r>
      <m:oMath>
        <m:r>
          <m:t>H</m:t>
        </m:r>
      </m:oMath>
      <w:r>
        <w:t xml:space="preserve"> </w:t>
      </w:r>
      <w:r>
        <w:t xml:space="preserve">by the repaired estimate gives corresponding value and excess-loss bounds with</w:t>
      </w:r>
      <w:r>
        <w:t xml:space="preserve"> </w:t>
      </w:r>
      <m:oMath>
        <m:r>
          <m:t>4</m:t>
        </m:r>
        <m:r>
          <m:t>B</m:t>
        </m:r>
        <m:r>
          <m:rPr>
            <m:sty m:val="p"/>
          </m:rPr>
          <m:t>−</m:t>
        </m:r>
        <m:r>
          <m:t>3</m:t>
        </m:r>
      </m:oMath>
      <w:r>
        <w:t xml:space="preserve">, for</w:t>
      </w:r>
      <w:r>
        <w:t xml:space="preserve"> </w:t>
      </w:r>
      <m:oMath>
        <m:r>
          <m:t>B</m:t>
        </m:r>
        <m:r>
          <m:rPr>
            <m:sty m:val="p"/>
          </m:rPr>
          <m:t>≥</m:t>
        </m:r>
        <m:r>
          <m:t>1</m:t>
        </m:r>
      </m:oMath>
      <w:r>
        <w:t xml:space="preserve">.</w:t>
      </w:r>
    </w:p>
    <w:p>
      <w:pPr>
        <w:pStyle w:val="BodyText"/>
      </w:pPr>
      <w:r>
        <w:t xml:space="preserve">The parity example also shows a limitation of one-step policies. If every initial acquisition has positive cost, a policy comparing only immediate Bayes-risk reduction with acquisition cost stops without querying. Its value remains</w:t>
      </w:r>
      <w:r>
        <w:t xml:space="preserve"> </w:t>
      </w:r>
      <m:oMath>
        <m:r>
          <m:t>1</m:t>
        </m:r>
        <m:r>
          <m:rPr>
            <m:sty m:val="p"/>
          </m:rPr>
          <m:t>/</m:t>
        </m:r>
        <m:r>
          <m:t>2</m:t>
        </m:r>
      </m:oMath>
      <w:r>
        <w:t xml:space="preserve">, while the optimum is</w:t>
      </w:r>
      <w:r>
        <w:t xml:space="preserve"> </w:t>
      </w:r>
      <m:oMath>
        <m:r>
          <m:t>λ</m:t>
        </m:r>
        <m:r>
          <m:t>F</m:t>
        </m:r>
        <m:d>
          <m:dPr>
            <m:begChr m:val="("/>
            <m:endChr m:val=")"/>
            <m:sepChr m:val=""/>
            <m:grow/>
          </m:dPr>
          <m:e>
            <m:r>
              <m:t>N</m:t>
            </m:r>
          </m:e>
        </m:d>
      </m:oMath>
      <w:r>
        <w:t xml:space="preserve"> </w:t>
      </w:r>
      <w:r>
        <w:t xml:space="preserve">for sufficiently small</w:t>
      </w:r>
      <w:r>
        <w:t xml:space="preserve"> </w:t>
      </w:r>
      <m:oMath>
        <m:r>
          <m:t>λ</m:t>
        </m:r>
      </m:oMath>
      <w:r>
        <w:t xml:space="preserve">. Their ratio is unbounded as</w:t>
      </w:r>
      <w:r>
        <w:t xml:space="preserve"> </w:t>
      </w:r>
      <m:oMath>
        <m:r>
          <m:t>λ</m:t>
        </m:r>
      </m:oMath>
      <w:r>
        <w:t xml:space="preserve"> </w:t>
      </w:r>
      <w:r>
        <w:t xml:space="preserve">approaches zero. Thus tree structure alone does not provide a general one-step approximation guarantee; assumptions on information value are also required [10].</w:t>
      </w:r>
    </w:p>
    <w:p>
      <w:pPr>
        <w:pStyle w:val="BodyText"/>
      </w:pPr>
      <w:r>
        <w:t xml:space="preserve">The stability question here differs from optimization over uncertain transition laws. Iyengar [13] and Nilim and El Ghaoui [21] develop robust dynamic programming for transition uncertainty. In Theorem 4.2 the likelihoods and admissible policies are common to the true-cost and measured-cost problems; only the acquisition objective changes. Extending the result to uncertain likelihoods would therefore require an additional argument.</w:t>
      </w:r>
    </w:p>
    <w:bookmarkEnd w:id="41"/>
    <w:bookmarkStart w:id="42" w:name="sharpness-of-the-policy-loss-constant"/>
    <w:p>
      <w:pPr>
        <w:pStyle w:val="Heading2"/>
      </w:pPr>
      <w:r>
        <w:t xml:space="preserve">4.3. Sharpness of the policy-loss constant</w:t>
      </w:r>
    </w:p>
    <w:p>
      <w:pPr>
        <w:pStyle w:val="FirstParagraph"/>
        <w:keepNext/>
        <w:spacing w:before="140" w:after="100"/>
      </w:pPr>
      <w:r>
        <w:rPr>
          <w:bCs/>
          <w:b/>
        </w:rPr>
        <w:t xml:space="preserve">Theorem 4.3 — Sharp initial policy loss.</w:t>
      </w:r>
      <w:r>
        <w:t xml:space="preserve"> </w:t>
      </w:r>
      <w:r>
        <w:t xml:space="preserve">For every</w:t>
      </w:r>
      <w:r>
        <w:t xml:space="preserve"> </w:t>
      </w:r>
      <m:oMath>
        <m:r>
          <m:t>B</m:t>
        </m:r>
        <m:r>
          <m:rPr>
            <m:sty m:val="p"/>
          </m:rPr>
          <m:t>≥</m:t>
        </m:r>
        <m:r>
          <m:t>2</m:t>
        </m:r>
      </m:oMath>
      <w:r>
        <w:t xml:space="preserve"> </w:t>
      </w:r>
      <w:r>
        <w:t xml:space="preserve">and</w:t>
      </w:r>
      <w:r>
        <w:t xml:space="preserve"> </w:t>
      </w:r>
      <m:oMath>
        <m:r>
          <m:t>ε</m:t>
        </m:r>
        <m:r>
          <m:rPr>
            <m:sty m:val="p"/>
          </m:rPr>
          <m:t>&gt;</m:t>
        </m:r>
        <m:r>
          <m:t>0</m:t>
        </m:r>
      </m:oMath>
      <w:r>
        <w:t xml:space="preserve">, the factor two in (30) is sharp as a supremum over the decision-model class with at least</w:t>
      </w:r>
      <w:r>
        <w:t xml:space="preserve"> </w:t>
      </w:r>
      <m:oMath>
        <m:r>
          <m:t>2</m:t>
        </m:r>
        <m:r>
          <m:t>B</m:t>
        </m:r>
      </m:oMath>
      <w:r>
        <w:t xml:space="preserve"> </w:t>
      </w:r>
      <w:r>
        <w:t xml:space="preserve">available sources. More precisely, let</w:t>
      </w:r>
      <w:r>
        <w:t xml:space="preserve"> </w:t>
      </w:r>
      <m:oMath>
        <m:r>
          <m:t>ρ</m:t>
        </m:r>
        <m:r>
          <m:rPr>
            <m:sty m:val="p"/>
          </m:rPr>
          <m:t>=</m:t>
        </m:r>
        <m:d>
          <m:dPr>
            <m:begChr m:val="("/>
            <m:endChr m:val=")"/>
            <m:sepChr m:val=""/>
            <m:grow/>
          </m:dPr>
          <m:e>
            <m:r>
              <m:t>2</m:t>
            </m:r>
            <m:r>
              <m:t>B</m:t>
            </m:r>
            <m:r>
              <m:rPr>
                <m:sty m:val="p"/>
              </m:rPr>
              <m:t>−</m:t>
            </m:r>
            <m:r>
              <m:t>3</m:t>
            </m:r>
          </m:e>
        </m:d>
        <m:r>
          <m:t>ε</m:t>
        </m:r>
      </m:oMath>
      <w:r>
        <w:t xml:space="preserve">. For every</w:t>
      </w:r>
      <w:r>
        <w:t xml:space="preserve"> </w:t>
      </w:r>
      <m:oMath>
        <m:r>
          <m:t>0</m:t>
        </m:r>
        <m:r>
          <m:rPr>
            <m:sty m:val="p"/>
          </m:rPr>
          <m:t>&lt;</m:t>
        </m:r>
        <m:r>
          <m:t>η</m:t>
        </m:r>
        <m:r>
          <m:rPr>
            <m:sty m:val="p"/>
          </m:rPr>
          <m:t>&lt;</m:t>
        </m:r>
        <m:r>
          <m:t>2</m:t>
        </m:r>
        <m:r>
          <m:t>ρ</m:t>
        </m:r>
      </m:oMath>
      <w:r>
        <w:t xml:space="preserve">, there are a true tree, a compatible measured tree satisfying (8), and a penalty</w:t>
      </w:r>
      <w:r>
        <w:t xml:space="preserve"> </w:t>
      </w:r>
      <m:oMath>
        <m:r>
          <m:t>λ</m:t>
        </m:r>
        <m:r>
          <m:rPr>
            <m:sty m:val="p"/>
          </m:rPr>
          <m:t>&gt;</m:t>
        </m:r>
        <m:r>
          <m:t>0</m:t>
        </m:r>
      </m:oMath>
      <w:r>
        <w:t xml:space="preserve"> </w:t>
      </w:r>
      <w:r>
        <w:t xml:space="preserve">such that every measured-cost optimal policy has true excess objective</w:t>
      </w:r>
    </w:p>
    <w:p>
      <w:pPr>
        <w:pStyle w:val="Equation"/>
        <w:tabs>
          <w:tab w:pos="4680" w:val="center"/>
          <w:tab w:pos="9792" w:val="right"/>
        </w:tabs>
        <w:jc w:val="left"/>
      </w:pPr>
      <w:r>
        <w:tab/>
      </w:r>
      <m:oMath>
        <m:sSub>
          <m:e>
            <m:r>
              <m:t>J</m:t>
            </m:r>
          </m:e>
          <m:sub>
            <m:r>
              <m:t>F</m:t>
            </m:r>
          </m:sub>
        </m:sSub>
        <m:d>
          <m:dPr>
            <m:begChr m:val="("/>
            <m:endChr m:val=")"/>
            <m:sepChr m:val=""/>
            <m:grow/>
          </m:dPr>
          <m:e>
            <m:sSub>
              <m:e>
                <m:r>
                  <m:t>π</m:t>
                </m:r>
              </m:e>
              <m:sub>
                <m:r>
                  <m:t>H</m:t>
                </m:r>
              </m:sub>
            </m:sSub>
          </m:e>
        </m:d>
        <m:r>
          <m:rPr>
            <m:sty m:val="p"/>
          </m:rPr>
          <m:t>−</m:t>
        </m:r>
        <m:sSub>
          <m:e>
            <m:r>
              <m:t>V</m:t>
            </m:r>
          </m:e>
          <m:sub>
            <m:r>
              <m:t>F</m:t>
            </m:r>
          </m:sub>
        </m:sSub>
        <m:r>
          <m:rPr>
            <m:sty m:val="p"/>
          </m:rPr>
          <m:t>=</m:t>
        </m:r>
        <m:r>
          <m:t>λ</m:t>
        </m:r>
        <m:d>
          <m:dPr>
            <m:begChr m:val="("/>
            <m:endChr m:val=")"/>
            <m:sepChr m:val=""/>
            <m:grow/>
          </m:dPr>
          <m:e>
            <m:r>
              <m:t>2</m:t>
            </m:r>
            <m:r>
              <m:t>ρ</m:t>
            </m:r>
            <m:r>
              <m:rPr>
                <m:sty m:val="p"/>
              </m:rPr>
              <m:t>−</m:t>
            </m:r>
            <m:r>
              <m:t>η</m:t>
            </m:r>
          </m:e>
        </m:d>
        <m:r>
          <m:rPr>
            <m:sty m:val="p"/>
          </m:rPr>
          <m:t>.</m:t>
        </m:r>
      </m:oMath>
      <w:r>
        <w:tab/>
        <w:t>(31)</w:t>
      </w:r>
    </w:p>
    <w:p>
      <w:pPr>
        <w:pStyle w:val="BodyText"/>
      </w:pPr>
      <w:r>
        <w:rPr>
          <w:iCs/>
          <w:i/>
        </w:rPr>
        <w:t xml:space="preserve">Proof.</w:t>
      </w:r>
      <w:r>
        <w:t xml:space="preserve"> </w:t>
      </w:r>
      <w:r>
        <w:t xml:space="preserve">Set</w:t>
      </w:r>
      <w:r>
        <w:t xml:space="preserve"> </w:t>
      </w:r>
      <m:oMath>
        <m:r>
          <m:t>k</m:t>
        </m:r>
        <m:r>
          <m:rPr>
            <m:sty m:val="p"/>
          </m:rPr>
          <m:t>=</m:t>
        </m:r>
        <m:r>
          <m:t>B</m:t>
        </m:r>
      </m:oMath>
      <w:r>
        <w:t xml:space="preserve">. Let</w:t>
      </w:r>
      <w:r>
        <w:t xml:space="preserve"> </w:t>
      </w:r>
      <m:oMath>
        <m:r>
          <m:t>k</m:t>
        </m:r>
      </m:oMath>
      <w:r>
        <w:t xml:space="preserve"> </w:t>
      </w:r>
      <w:r>
        <w:t xml:space="preserve">independent fair bits form the latent state. There are two sources revealing each bit, one in each of two branches. Every source returns its bit deterministically; the final decision predicts the parity. With a call budget of</w:t>
      </w:r>
      <w:r>
        <w:t xml:space="preserve"> </w:t>
      </w:r>
      <m:oMath>
        <m:r>
          <m:t>k</m:t>
        </m:r>
      </m:oMath>
      <w:r>
        <w:t xml:space="preserve">, an informative terminal set must contain exactly one copy of every bit. All other terminal sets leave Bayes risk</w:t>
      </w:r>
      <w:r>
        <w:t xml:space="preserve"> </w:t>
      </w:r>
      <m:oMath>
        <m:r>
          <m:t>1</m:t>
        </m:r>
        <m:r>
          <m:rPr>
            <m:sty m:val="p"/>
          </m:rPr>
          <m:t>/</m:t>
        </m:r>
        <m:r>
          <m:t>2</m:t>
        </m:r>
      </m:oMath>
      <w:r>
        <w:t xml:space="preserve">.</w:t>
      </w:r>
    </w:p>
    <w:p>
      <w:pPr>
        <w:pStyle w:val="BodyText"/>
      </w:pPr>
      <w:r>
        <w:t xml:space="preserve">The measured tree has two branches, with trunk lengths</w:t>
      </w:r>
      <w:r>
        <w:t xml:space="preserve"> </w:t>
      </w:r>
      <m:oMath>
        <m:r>
          <m:t>a</m:t>
        </m:r>
      </m:oMath>
      <w:r>
        <w:t xml:space="preserve"> </w:t>
      </w:r>
      <w:r>
        <w:t xml:space="preserve">and</w:t>
      </w:r>
      <w:r>
        <w:t xml:space="preserve"> </w:t>
      </w:r>
      <m:oMath>
        <m:r>
          <m:t>a</m:t>
        </m:r>
        <m:r>
          <m:rPr>
            <m:sty m:val="p"/>
          </m:rPr>
          <m:t>+</m:t>
        </m:r>
        <m:r>
          <m:t>η</m:t>
        </m:r>
      </m:oMath>
      <w:r>
        <w:t xml:space="preserve">, and all pendant lengths</w:t>
      </w:r>
      <w:r>
        <w:t xml:space="preserve"> </w:t>
      </w:r>
      <m:oMath>
        <m:r>
          <m:t>b</m:t>
        </m:r>
      </m:oMath>
      <w:r>
        <w:t xml:space="preserve">, where</w:t>
      </w:r>
      <w:r>
        <w:t xml:space="preserve"> </w:t>
      </w:r>
      <m:oMath>
        <m:r>
          <m:t>a</m:t>
        </m:r>
        <m:r>
          <m:rPr>
            <m:sty m:val="p"/>
          </m:rPr>
          <m:t>&gt;</m:t>
        </m:r>
        <m:r>
          <m:t>3</m:t>
        </m:r>
        <m:r>
          <m:t>ε</m:t>
        </m:r>
      </m:oMath>
      <w:r>
        <w:t xml:space="preserve"> </w:t>
      </w:r>
      <w:r>
        <w:t xml:space="preserve">and</w:t>
      </w:r>
      <w:r>
        <w:t xml:space="preserve"> </w:t>
      </w:r>
      <m:oMath>
        <m:r>
          <m:t>b</m:t>
        </m:r>
        <m:r>
          <m:rPr>
            <m:sty m:val="p"/>
          </m:rPr>
          <m:t>&gt;</m:t>
        </m:r>
        <m:r>
          <m:t>2</m:t>
        </m:r>
        <m:r>
          <m:t>ε</m:t>
        </m:r>
      </m:oMath>
      <w:r>
        <w:t xml:space="preserve">. The cheapest informative set consists of all first-branch sources, with measured cost</w:t>
      </w:r>
      <w:r>
        <w:t xml:space="preserve"> </w:t>
      </w:r>
      <m:oMath>
        <m:r>
          <m:t>C</m:t>
        </m:r>
        <m:r>
          <m:rPr>
            <m:sty m:val="p"/>
          </m:rPr>
          <m:t>=</m:t>
        </m:r>
        <m:r>
          <m:t>a</m:t>
        </m:r>
        <m:r>
          <m:rPr>
            <m:sty m:val="p"/>
          </m:rPr>
          <m:t>+</m:t>
        </m:r>
        <m:r>
          <m:t>k</m:t>
        </m:r>
        <m:r>
          <m:t>b</m:t>
        </m:r>
      </m:oMath>
      <w:r>
        <w:t xml:space="preserve">. Any mixed set pays for both trunks.</w:t>
      </w:r>
    </w:p>
    <w:p>
      <w:pPr>
        <w:pStyle w:val="BodyText"/>
      </w:pPr>
      <w:r>
        <w:t xml:space="preserve">In the true tree, change the first trunk to</w:t>
      </w:r>
      <w:r>
        <w:t xml:space="preserve"> </w:t>
      </w:r>
      <m:oMath>
        <m:r>
          <m:t>a</m:t>
        </m:r>
        <m:r>
          <m:rPr>
            <m:sty m:val="p"/>
          </m:rPr>
          <m:t>−</m:t>
        </m:r>
        <m:r>
          <m:t>3</m:t>
        </m:r>
        <m:r>
          <m:t>ε</m:t>
        </m:r>
      </m:oMath>
      <w:r>
        <w:t xml:space="preserve"> </w:t>
      </w:r>
      <w:r>
        <w:t xml:space="preserve">and its pendants to</w:t>
      </w:r>
      <w:r>
        <w:t xml:space="preserve"> </w:t>
      </w:r>
      <m:oMath>
        <m:r>
          <m:t>b</m:t>
        </m:r>
        <m:r>
          <m:rPr>
            <m:sty m:val="p"/>
          </m:rPr>
          <m:t>+</m:t>
        </m:r>
        <m:r>
          <m:t>2</m:t>
        </m:r>
        <m:r>
          <m:t>ε</m:t>
        </m:r>
      </m:oMath>
      <w:r>
        <w:t xml:space="preserve">; change the second trunk to</w:t>
      </w:r>
      <w:r>
        <w:t xml:space="preserve"> </w:t>
      </w:r>
      <m:oMath>
        <m:r>
          <m:t>a</m:t>
        </m:r>
        <m:r>
          <m:rPr>
            <m:sty m:val="p"/>
          </m:rPr>
          <m:t>+</m:t>
        </m:r>
        <m:r>
          <m:t>η</m:t>
        </m:r>
        <m:r>
          <m:rPr>
            <m:sty m:val="p"/>
          </m:rPr>
          <m:t>+</m:t>
        </m:r>
        <m:r>
          <m:t>3</m:t>
        </m:r>
        <m:r>
          <m:t>ε</m:t>
        </m:r>
      </m:oMath>
      <w:r>
        <w:t xml:space="preserve"> </w:t>
      </w:r>
      <w:r>
        <w:t xml:space="preserve">and its pendants to</w:t>
      </w:r>
      <w:r>
        <w:t xml:space="preserve"> </w:t>
      </w:r>
      <m:oMath>
        <m:r>
          <m:t>b</m:t>
        </m:r>
        <m:r>
          <m:rPr>
            <m:sty m:val="p"/>
          </m:rPr>
          <m:t>−</m:t>
        </m:r>
        <m:r>
          <m:t>2</m:t>
        </m:r>
        <m:r>
          <m:t>ε</m:t>
        </m:r>
      </m:oMath>
      <w:r>
        <w:t xml:space="preserve">. The singleton errors are</w:t>
      </w:r>
      <w:r>
        <w:t xml:space="preserve"> </w:t>
      </w:r>
      <m:oMath>
        <m:r>
          <m:rPr>
            <m:sty m:val="p"/>
          </m:rPr>
          <m:t>−</m:t>
        </m:r>
        <m:r>
          <m:t>ε</m:t>
        </m:r>
      </m:oMath>
      <w:r>
        <w:t xml:space="preserve"> </w:t>
      </w:r>
      <w:r>
        <w:t xml:space="preserve">in the first branch and</w:t>
      </w:r>
      <w:r>
        <w:t xml:space="preserve"> </w:t>
      </w:r>
      <m:oMath>
        <m:r>
          <m:rPr>
            <m:sty m:val="p"/>
          </m:rPr>
          <m:t>+</m:t>
        </m:r>
        <m:r>
          <m:t>ε</m:t>
        </m:r>
      </m:oMath>
      <w:r>
        <w:t xml:space="preserve"> </w:t>
      </w:r>
      <w:r>
        <w:t xml:space="preserve">in the second. Within-branch pair errors are</w:t>
      </w:r>
      <w:r>
        <w:t xml:space="preserve"> </w:t>
      </w:r>
      <m:oMath>
        <m:r>
          <m:rPr>
            <m:sty m:val="p"/>
          </m:rPr>
          <m:t>+</m:t>
        </m:r>
        <m:r>
          <m:t>ε</m:t>
        </m:r>
      </m:oMath>
      <w:r>
        <w:t xml:space="preserve"> </w:t>
      </w:r>
      <w:r>
        <w:t xml:space="preserve">and</w:t>
      </w:r>
      <w:r>
        <w:t xml:space="preserve"> </w:t>
      </w:r>
      <m:oMath>
        <m:r>
          <m:rPr>
            <m:sty m:val="p"/>
          </m:rPr>
          <m:t>−</m:t>
        </m:r>
        <m:r>
          <m:t>ε</m:t>
        </m:r>
      </m:oMath>
      <w:r>
        <w:t xml:space="preserve">, respectively, while cross-branch pair errors are zero. Thus all measurements satisfy the required bound.</w:t>
      </w:r>
    </w:p>
    <w:p>
      <w:pPr>
        <w:pStyle w:val="BodyText"/>
        <w:keepNext/>
      </w:pPr>
      <w:r>
        <w:t xml:space="preserve">The full first- and second-branch costs in the true tree are</w:t>
      </w:r>
    </w:p>
    <w:p>
      <w:pPr>
        <w:pStyle w:val="Equation"/>
        <w:jc w:val="center"/>
      </w:pPr>
      <m:oMathPara>
        <m:oMathParaPr>
          <m:jc m:val="center"/>
        </m:oMathParaPr>
        <m:oMath>
          <m:r>
            <m:t>C</m:t>
          </m:r>
          <m:r>
            <m:rPr>
              <m:sty m:val="p"/>
            </m:rPr>
            <m:t>+</m:t>
          </m:r>
          <m:r>
            <m:t>ρ</m:t>
          </m:r>
          <m:r>
            <m:rPr>
              <m:sty m:val="p"/>
            </m:rPr>
            <m:t>,</m:t>
          </m:r>
          <m:r>
            <m:t>  </m:t>
          </m:r>
          <m:r>
            <m:t>C</m:t>
          </m:r>
          <m:r>
            <m:rPr>
              <m:sty m:val="p"/>
            </m:rPr>
            <m:t>+</m:t>
          </m:r>
          <m:r>
            <m:t>η</m:t>
          </m:r>
          <m:r>
            <m:rPr>
              <m:sty m:val="p"/>
            </m:rPr>
            <m:t>−</m:t>
          </m:r>
          <m:r>
            <m:t>ρ</m:t>
          </m:r>
          <m:r>
            <m:rPr>
              <m:sty m:val="p"/>
            </m:rPr>
            <m:t>.</m:t>
          </m:r>
        </m:oMath>
      </m:oMathPara>
    </w:p>
    <w:p>
      <w:pPr>
        <w:pStyle w:val="FirstParagraph"/>
      </w:pPr>
      <w:r>
        <w:t xml:space="preserve">The second is strictly smaller. A mixed informative set containing</w:t>
      </w:r>
      <w:r>
        <w:t xml:space="preserve"> </w:t>
      </w:r>
      <m:oMath>
        <m:r>
          <m:t>s</m:t>
        </m:r>
      </m:oMath>
      <w:r>
        <w:t xml:space="preserve"> </w:t>
      </w:r>
      <w:r>
        <w:t xml:space="preserve">sources from the first branch,</w:t>
      </w:r>
      <w:r>
        <w:t xml:space="preserve"> </w:t>
      </w:r>
      <m:oMath>
        <m:r>
          <m:t>1</m:t>
        </m:r>
        <m:r>
          <m:rPr>
            <m:sty m:val="p"/>
          </m:rPr>
          <m:t>≤</m:t>
        </m:r>
        <m:r>
          <m:t>s</m:t>
        </m:r>
        <m:r>
          <m:rPr>
            <m:sty m:val="p"/>
          </m:rPr>
          <m:t>&lt;</m:t>
        </m:r>
        <m:r>
          <m:t>k</m:t>
        </m:r>
      </m:oMath>
      <w:r>
        <w:t xml:space="preserve">, costs more than the full second branch by</w:t>
      </w:r>
      <w:r>
        <w:t xml:space="preserve"> </w:t>
      </w:r>
      <m:oMath>
        <m:r>
          <m:t>a</m:t>
        </m:r>
        <m:r>
          <m:rPr>
            <m:sty m:val="p"/>
          </m:rPr>
          <m:t>+</m:t>
        </m:r>
        <m:r>
          <m:t>4</m:t>
        </m:r>
        <m:r>
          <m:t>s</m:t>
        </m:r>
        <m:r>
          <m:t>ε</m:t>
        </m:r>
        <m:r>
          <m:rPr>
            <m:sty m:val="p"/>
          </m:rPr>
          <m:t>&gt;</m:t>
        </m:r>
        <m:r>
          <m:t>0</m:t>
        </m:r>
      </m:oMath>
      <w:r>
        <w:t xml:space="preserve">.</w:t>
      </w:r>
    </w:p>
    <w:p>
      <w:pPr>
        <w:pStyle w:val="BodyText"/>
      </w:pPr>
      <w:r>
        <w:t xml:space="preserve">For either physical cost tree, write</w:t>
      </w:r>
      <w:r>
        <w:t xml:space="preserve"> </w:t>
      </w:r>
      <m:oMath>
        <m:sSub>
          <m:e>
            <m:r>
              <m:t>C</m:t>
            </m:r>
          </m:e>
          <m:sub>
            <m:r>
              <m:rPr>
                <m:sty m:val="p"/>
                <m:nor/>
              </m:rPr>
              <m:t>min</m:t>
            </m:r>
          </m:sub>
        </m:sSub>
      </m:oMath>
      <w:r>
        <w:t xml:space="preserve"> </w:t>
      </w:r>
      <w:r>
        <w:t xml:space="preserve">for its cheapest informative cost. A policy completing an informative set with probability</w:t>
      </w:r>
      <w:r>
        <w:t xml:space="preserve"> </w:t>
      </w:r>
      <m:oMath>
        <m:r>
          <m:t>u</m:t>
        </m:r>
      </m:oMath>
      <w:r>
        <w:t xml:space="preserve"> </w:t>
      </w:r>
      <w:r>
        <w:t xml:space="preserve">has objective at least</w:t>
      </w:r>
      <w:r>
        <w:t xml:space="preserve"> </w:t>
      </w:r>
      <m:oMath>
        <m:r>
          <m:t>u</m:t>
        </m:r>
        <m:r>
          <m:t>λ</m:t>
        </m:r>
        <m:sSub>
          <m:e>
            <m:r>
              <m:t>C</m:t>
            </m:r>
          </m:e>
          <m:sub>
            <m:r>
              <m:rPr>
                <m:sty m:val="p"/>
                <m:nor/>
              </m:rPr>
              <m:t>min</m:t>
            </m:r>
          </m:sub>
        </m:sSub>
        <m:r>
          <m:rPr>
            <m:sty m:val="p"/>
          </m:rPr>
          <m:t>+</m:t>
        </m:r>
        <m:d>
          <m:dPr>
            <m:begChr m:val="("/>
            <m:endChr m:val=")"/>
            <m:sepChr m:val=""/>
            <m:grow/>
          </m:dPr>
          <m:e>
            <m:r>
              <m:t>1</m:t>
            </m:r>
            <m:r>
              <m:rPr>
                <m:sty m:val="p"/>
              </m:rPr>
              <m:t>−</m:t>
            </m:r>
            <m:r>
              <m:t>u</m:t>
            </m:r>
          </m:e>
        </m:d>
        <m:r>
          <m:rPr>
            <m:sty m:val="p"/>
          </m:rPr>
          <m:t>/</m:t>
        </m:r>
        <m:r>
          <m:t>2</m:t>
        </m:r>
      </m:oMath>
      <w:r>
        <w:t xml:space="preserve">. Choosing</w:t>
      </w:r>
      <w:r>
        <w:t xml:space="preserve"> </w:t>
      </w:r>
      <m:oMath>
        <m:r>
          <m:t>λ</m:t>
        </m:r>
      </m:oMath>
      <w:r>
        <w:t xml:space="preserve"> </w:t>
      </w:r>
      <w:r>
        <w:t xml:space="preserve">with</w:t>
      </w:r>
      <w:r>
        <w:t xml:space="preserve"> </w:t>
      </w:r>
      <m:oMath>
        <m:r>
          <m:t>λ</m:t>
        </m:r>
        <m:sSub>
          <m:e>
            <m:r>
              <m:t>C</m:t>
            </m:r>
          </m:e>
          <m:sub>
            <m:r>
              <m:rPr>
                <m:sty m:val="p"/>
                <m:nor/>
              </m:rPr>
              <m:t>min</m:t>
            </m:r>
          </m:sub>
        </m:sSub>
        <m:r>
          <m:rPr>
            <m:sty m:val="p"/>
          </m:rPr>
          <m:t>&lt;</m:t>
        </m:r>
        <m:r>
          <m:t>1</m:t>
        </m:r>
        <m:r>
          <m:rPr>
            <m:sty m:val="p"/>
          </m:rPr>
          <m:t>/</m:t>
        </m:r>
        <m:r>
          <m:t>2</m:t>
        </m:r>
      </m:oMath>
      <w:r>
        <w:t xml:space="preserve"> </w:t>
      </w:r>
      <w:r>
        <w:t xml:space="preserve">for both trees forces optimal policies to complete an informative set. Under the measured tree the cheapest such set is uniquely the first branch; under the true tree it is uniquely the second branch. Their true cost difference is</w:t>
      </w:r>
      <w:r>
        <w:t xml:space="preserve"> </w:t>
      </w:r>
      <m:oMath>
        <m:r>
          <m:t>2</m:t>
        </m:r>
        <m:r>
          <m:t>ρ</m:t>
        </m:r>
        <m:r>
          <m:rPr>
            <m:sty m:val="p"/>
          </m:rPr>
          <m:t>−</m:t>
        </m:r>
        <m:r>
          <m:t>η</m:t>
        </m:r>
      </m:oMath>
      <w:r>
        <w:t xml:space="preserve">, proving the assertion. Letting</w:t>
      </w:r>
      <w:r>
        <w:t xml:space="preserve"> </w:t>
      </w:r>
      <m:oMath>
        <m:r>
          <m:t>η</m:t>
        </m:r>
        <m:r>
          <m:rPr>
            <m:sty m:val="p"/>
          </m:rPr>
          <m:t>/</m:t>
        </m:r>
        <m:r>
          <m:t>ρ</m:t>
        </m:r>
      </m:oMath>
      <w:r>
        <w:t xml:space="preserve"> </w:t>
      </w:r>
      <w:r>
        <w:t xml:space="preserve">tend to zero proves sharpness without relying on adverse tie-breaking.</w:t>
      </w:r>
      <w:r>
        <w:t xml:space="preserve"> </w:t>
      </w:r>
      <m:oMath>
        <m:r>
          <m:rPr>
            <m:sty m:val="p"/>
          </m:rPr>
          <m:t>▫</m:t>
        </m:r>
      </m:oMath>
    </w:p>
    <w:p>
      <w:pPr>
        <w:pStyle w:val="BodyText"/>
      </w:pPr>
      <w:r>
        <w:t xml:space="preserve">This statement concerns the worst-case loss of a policy optimized for the measured objective. It does not assert minimax optimality of that policy among all decision rules that could account explicitly for uncertainty.</w:t>
      </w:r>
    </w:p>
    <w:bookmarkEnd w:id="42"/>
    <w:bookmarkStart w:id="43" w:name="Xfa26ae5d29c524b3d85dc494c0bebe523e2bf8b"/>
    <w:p>
      <w:pPr>
        <w:pStyle w:val="Heading2"/>
      </w:pPr>
      <w:r>
        <w:t xml:space="preserve">4.4. Continuation decisions with a fixed anchor set</w:t>
      </w:r>
    </w:p>
    <w:p>
      <w:pPr>
        <w:pStyle w:val="FirstParagraph"/>
        <w:keepNext/>
      </w:pPr>
      <w:r>
        <w:t xml:space="preserve">At a current posterior</w:t>
      </w:r>
      <w:r>
        <w:t xml:space="preserve"> </w:t>
      </w:r>
      <m:oMath>
        <m:r>
          <m:t>p</m:t>
        </m:r>
      </m:oMath>
      <w:r>
        <w:t xml:space="preserve">, let the previously queried set be</w:t>
      </w:r>
      <w:r>
        <w:t xml:space="preserve"> </w:t>
      </w:r>
      <m:oMath>
        <m:r>
          <m:t>A</m:t>
        </m:r>
        <m:r>
          <m:rPr>
            <m:sty m:val="p"/>
          </m:rPr>
          <m:t>≠</m:t>
        </m:r>
        <m:r>
          <m:rPr>
            <m:sty m:val="p"/>
          </m:rPr>
          <m:t>⌀</m:t>
        </m:r>
      </m:oMath>
      <w:r>
        <w:t xml:space="preserve">, and let at most</w:t>
      </w:r>
      <w:r>
        <w:t xml:space="preserve"> </w:t>
      </w:r>
      <m:oMath>
        <m:r>
          <m:t>b</m:t>
        </m:r>
      </m:oMath>
      <w:r>
        <w:t xml:space="preserve"> </w:t>
      </w:r>
      <w:r>
        <w:t xml:space="preserve">further calls be available. The sunk cost is omitted from the continuation objective. For a policy whose set of new acquisitions is</w:t>
      </w:r>
      <w:r>
        <w:t xml:space="preserve"> </w:t>
      </w:r>
      <m:oMath>
        <m:sSub>
          <m:e>
            <m:r>
              <m:t>S</m:t>
            </m:r>
          </m:e>
          <m:sub>
            <m:r>
              <m:t>τ</m:t>
            </m:r>
          </m:sub>
        </m:sSub>
      </m:oMath>
      <w:r>
        <w:t xml:space="preserve">, define</w:t>
      </w:r>
    </w:p>
    <w:p>
      <w:pPr>
        <w:pStyle w:val="Equation"/>
        <w:tabs>
          <w:tab w:pos="4680" w:val="center"/>
          <w:tab w:pos="9792" w:val="right"/>
        </w:tabs>
        <w:jc w:val="left"/>
      </w:pPr>
      <w:r>
        <w:tab/>
      </w:r>
      <m:oMath>
        <m:eqArr>
          <m:eqArrPr>
            <m:baseJc m:val="center"/>
          </m:eqArrPr>
          <m:e>
            <m:sSubSup>
              <m:e>
                <m:r>
                  <m:t>J</m:t>
                </m:r>
              </m:e>
              <m:sub>
                <m:r>
                  <m:t>F</m:t>
                </m:r>
              </m:sub>
              <m:sup>
                <m:r>
                  <m:t>A</m:t>
                </m:r>
              </m:sup>
            </m:sSubSup>
            <m:d>
              <m:dPr>
                <m:begChr m:val="("/>
                <m:endChr m:val=")"/>
                <m:sepChr m:val=""/>
                <m:grow/>
              </m:dPr>
              <m:e>
                <m:r>
                  <m:t>π</m:t>
                </m:r>
              </m:e>
            </m:d>
            <m:r>
              <m:rPr>
                <m:sty m:val="p"/>
              </m:rPr>
              <m:t>=</m:t>
            </m:r>
            <m:sSup>
              <m:e>
                <m:r>
                  <m:rPr>
                    <m:sty m:val="p"/>
                  </m:rPr>
                  <m:t>𝔼</m:t>
                </m:r>
              </m:e>
              <m:sup>
                <m:r>
                  <m:t>π</m:t>
                </m:r>
              </m:sup>
            </m:sSup>
            <m:box>
              <m:e>
                <m:r>
                  <m:rPr>
                    <m:sty m:val="p"/>
                  </m:rPr>
                  <m:t>[</m:t>
                </m:r>
                <m:r>
                  <m:rPr>
                    <m:sty m:val="p"/>
                  </m:rPr>
                  <m:t>ℓ</m:t>
                </m:r>
                <m:d>
                  <m:dPr>
                    <m:begChr m:val="("/>
                    <m:endChr m:val=")"/>
                    <m:sepChr m:val=""/>
                    <m:grow/>
                  </m:dPr>
                  <m:e>
                    <m:sSub>
                      <m:e>
                        <m:r>
                          <m:t>d</m:t>
                        </m:r>
                      </m:e>
                      <m:sub>
                        <m:r>
                          <m:t>τ</m:t>
                        </m:r>
                      </m:sub>
                    </m:sSub>
                    <m:r>
                      <m:rPr>
                        <m:sty m:val="p"/>
                      </m:rPr>
                      <m:t>,</m:t>
                    </m:r>
                    <m:r>
                      <m:t>X</m:t>
                    </m:r>
                  </m:e>
                </m:d>
                <m:r>
                  <m:rPr>
                    <m:sty m:val="p"/>
                  </m:rPr>
                  <m:t>+</m:t>
                </m:r>
                <m:r>
                  <m:t>λ</m:t>
                </m:r>
                <m:sSub>
                  <m:e>
                    <m:r>
                      <m:t>Δ</m:t>
                    </m:r>
                  </m:e>
                  <m:sub>
                    <m:r>
                      <m:t>F</m:t>
                    </m:r>
                  </m:sub>
                </m:sSub>
                <m:d>
                  <m:dPr>
                    <m:begChr m:val="("/>
                    <m:endChr m:val=")"/>
                    <m:sepChr m:val=""/>
                    <m:grow/>
                  </m:dPr>
                  <m:e>
                    <m:r>
                      <m:t>A</m:t>
                    </m:r>
                    <m:r>
                      <m:rPr>
                        <m:sty m:val="p"/>
                      </m:rPr>
                      <m:t>,</m:t>
                    </m:r>
                    <m:sSub>
                      <m:e>
                        <m:r>
                          <m:t>S</m:t>
                        </m:r>
                      </m:e>
                      <m:sub>
                        <m:r>
                          <m:t>τ</m:t>
                        </m:r>
                      </m:sub>
                    </m:sSub>
                  </m:e>
                </m:d>
                <m:r>
                  <m:rPr>
                    <m:sty m:val="p"/>
                  </m:rPr>
                  <m:t>]</m:t>
                </m:r>
              </m:e>
            </m:box>
            <m:r>
              <m:rPr>
                <m:sty m:val="p"/>
              </m:rPr>
              <m:t>,</m:t>
            </m:r>
          </m:e>
          <m:e>
            <m:sSubSup>
              <m:e>
                <m:r>
                  <m:t>J</m:t>
                </m:r>
              </m:e>
              <m:sub>
                <m:sSub>
                  <m:e>
                    <m:r>
                      <m:t>H</m:t>
                    </m:r>
                  </m:e>
                  <m:sub>
                    <m:r>
                      <m:t>A</m:t>
                    </m:r>
                  </m:sub>
                </m:sSub>
              </m:sub>
              <m:sup>
                <m:r>
                  <m:t>A</m:t>
                </m:r>
              </m:sup>
            </m:sSubSup>
            <m:d>
              <m:dPr>
                <m:begChr m:val="("/>
                <m:endChr m:val=")"/>
                <m:sepChr m:val=""/>
                <m:grow/>
              </m:dPr>
              <m:e>
                <m:r>
                  <m:t>π</m:t>
                </m:r>
              </m:e>
            </m:d>
            <m:r>
              <m:rPr>
                <m:sty m:val="p"/>
              </m:rPr>
              <m:t>=</m:t>
            </m:r>
            <m:sSup>
              <m:e>
                <m:r>
                  <m:rPr>
                    <m:sty m:val="p"/>
                  </m:rPr>
                  <m:t>𝔼</m:t>
                </m:r>
              </m:e>
              <m:sup>
                <m:r>
                  <m:t>π</m:t>
                </m:r>
              </m:sup>
            </m:sSup>
            <m:box>
              <m:e>
                <m:r>
                  <m:rPr>
                    <m:sty m:val="p"/>
                  </m:rPr>
                  <m:t>[</m:t>
                </m:r>
                <m:r>
                  <m:rPr>
                    <m:sty m:val="p"/>
                  </m:rPr>
                  <m:t>ℓ</m:t>
                </m:r>
                <m:d>
                  <m:dPr>
                    <m:begChr m:val="("/>
                    <m:endChr m:val=")"/>
                    <m:sepChr m:val=""/>
                    <m:grow/>
                  </m:dPr>
                  <m:e>
                    <m:sSub>
                      <m:e>
                        <m:r>
                          <m:t>d</m:t>
                        </m:r>
                      </m:e>
                      <m:sub>
                        <m:r>
                          <m:t>τ</m:t>
                        </m:r>
                      </m:sub>
                    </m:sSub>
                    <m:r>
                      <m:rPr>
                        <m:sty m:val="p"/>
                      </m:rPr>
                      <m:t>,</m:t>
                    </m:r>
                    <m:r>
                      <m:t>X</m:t>
                    </m:r>
                  </m:e>
                </m:d>
                <m:r>
                  <m:rPr>
                    <m:sty m:val="p"/>
                  </m:rPr>
                  <m:t>+</m:t>
                </m:r>
                <m:r>
                  <m:t>λ</m:t>
                </m:r>
                <m:sSub>
                  <m:e>
                    <m:r>
                      <m:t>H</m:t>
                    </m:r>
                  </m:e>
                  <m:sub>
                    <m:r>
                      <m:t>A</m:t>
                    </m:r>
                  </m:sub>
                </m:sSub>
                <m:d>
                  <m:dPr>
                    <m:begChr m:val="("/>
                    <m:endChr m:val=")"/>
                    <m:sepChr m:val=""/>
                    <m:grow/>
                  </m:dPr>
                  <m:e>
                    <m:sSub>
                      <m:e>
                        <m:r>
                          <m:t>S</m:t>
                        </m:r>
                      </m:e>
                      <m:sub>
                        <m:r>
                          <m:t>τ</m:t>
                        </m:r>
                      </m:sub>
                    </m:sSub>
                  </m:e>
                </m:d>
                <m:r>
                  <m:rPr>
                    <m:sty m:val="p"/>
                  </m:rPr>
                  <m:t>]</m:t>
                </m:r>
              </m:e>
            </m:box>
            <m:r>
              <m:rPr>
                <m:sty m:val="p"/>
              </m:rPr>
              <m:t>.</m:t>
            </m:r>
          </m:e>
        </m:eqArr>
      </m:oMath>
      <w:r>
        <w:tab/>
        <w:t>(32)</w:t>
      </w:r>
    </w:p>
    <w:p>
      <w:pPr>
        <w:pStyle w:val="BodyText"/>
      </w:pPr>
      <w:r>
        <w:t xml:space="preserve">Let</w:t>
      </w:r>
      <w:r>
        <w:t xml:space="preserve"> </w:t>
      </w:r>
      <m:oMath>
        <m:sSubSup>
          <m:e>
            <m:r>
              <m:t>V</m:t>
            </m:r>
          </m:e>
          <m:sub>
            <m:r>
              <m:t>F</m:t>
            </m:r>
          </m:sub>
          <m:sup>
            <m:r>
              <m:t>A</m:t>
            </m:r>
          </m:sup>
        </m:sSubSup>
      </m:oMath>
      <w:r>
        <w:t xml:space="preserve"> </w:t>
      </w:r>
      <w:r>
        <w:t xml:space="preserve">and</w:t>
      </w:r>
      <w:r>
        <w:t xml:space="preserve"> </w:t>
      </w:r>
      <m:oMath>
        <m:sSubSup>
          <m:e>
            <m:r>
              <m:t>V</m:t>
            </m:r>
          </m:e>
          <m:sub>
            <m:sSub>
              <m:e>
                <m:r>
                  <m:t>H</m:t>
                </m:r>
              </m:e>
              <m:sub>
                <m:r>
                  <m:t>A</m:t>
                </m:r>
              </m:sub>
            </m:sSub>
          </m:sub>
          <m:sup>
            <m:r>
              <m:t>A</m:t>
            </m:r>
          </m:sup>
        </m:sSubSup>
      </m:oMath>
      <w:r>
        <w:t xml:space="preserve"> </w:t>
      </w:r>
      <w:r>
        <w:t xml:space="preserve">be their optimal values over the same continuation policies.</w:t>
      </w:r>
    </w:p>
    <w:p>
      <w:pPr>
        <w:pStyle w:val="BodyText"/>
        <w:keepNext/>
        <w:spacing w:before="140" w:after="100"/>
      </w:pPr>
      <w:r>
        <w:rPr>
          <w:bCs/>
          <w:b/>
        </w:rPr>
        <w:t xml:space="preserve">Theorem 4.4 — Sharp continuation decision bounds.</w:t>
      </w:r>
      <w:r>
        <w:t xml:space="preserve"> </w:t>
      </w:r>
      <w:r>
        <w:t xml:space="preserve">Under the tolerances of Theorem 3.3, put</w:t>
      </w:r>
      <w:r>
        <w:t xml:space="preserve"> </w:t>
      </w:r>
      <m:oMath>
        <m:sSub>
          <m:e>
            <m:r>
              <m:t>κ</m:t>
            </m:r>
          </m:e>
          <m:sub>
            <m:r>
              <m:t>b</m:t>
            </m:r>
          </m:sub>
        </m:sSub>
        <m:r>
          <m:rPr>
            <m:sty m:val="p"/>
          </m:rPr>
          <m:t>=</m:t>
        </m:r>
        <m:r>
          <m:t>b</m:t>
        </m:r>
        <m:d>
          <m:dPr>
            <m:begChr m:val="("/>
            <m:endChr m:val=")"/>
            <m:sepChr m:val=""/>
            <m:grow/>
          </m:dPr>
          <m:e>
            <m:sSub>
              <m:e>
                <m:r>
                  <m:t>ε</m:t>
                </m:r>
              </m:e>
              <m:sub>
                <m:r>
                  <m:t>1</m:t>
                </m:r>
              </m:sub>
            </m:sSub>
            <m:r>
              <m:rPr>
                <m:sty m:val="p"/>
              </m:rPr>
              <m:t>+</m:t>
            </m:r>
            <m:sSub>
              <m:e>
                <m:r>
                  <m:t>ε</m:t>
                </m:r>
              </m:e>
              <m:sub>
                <m:r>
                  <m:t>2</m:t>
                </m:r>
              </m:sub>
            </m:sSub>
          </m:e>
        </m:d>
      </m:oMath>
      <w:r>
        <w:t xml:space="preserve">. Then</w:t>
      </w:r>
    </w:p>
    <w:p>
      <w:pPr>
        <w:pStyle w:val="Equation"/>
        <w:tabs>
          <w:tab w:pos="4680" w:val="center"/>
          <w:tab w:pos="9792" w:val="right"/>
        </w:tabs>
        <w:jc w:val="left"/>
      </w:pPr>
      <w:r>
        <w:tab/>
      </w:r>
      <m:oMath>
        <m:eqArr>
          <m:eqArrPr>
            <m:baseJc m:val="center"/>
          </m:eqArrPr>
          <m:e>
            <m:box>
              <m:e>
                <m:r>
                  <m:rPr>
                    <m:sty m:val="p"/>
                  </m:rPr>
                  <m:t>|</m:t>
                </m:r>
                <m:sSubSup>
                  <m:e>
                    <m:r>
                      <m:t>V</m:t>
                    </m:r>
                  </m:e>
                  <m:sub>
                    <m:r>
                      <m:t>F</m:t>
                    </m:r>
                  </m:sub>
                  <m:sup>
                    <m:r>
                      <m:t>A</m:t>
                    </m:r>
                  </m:sup>
                </m:sSubSup>
                <m:r>
                  <m:rPr>
                    <m:sty m:val="p"/>
                  </m:rPr>
                  <m:t>−</m:t>
                </m:r>
                <m:sSubSup>
                  <m:e>
                    <m:r>
                      <m:t>V</m:t>
                    </m:r>
                  </m:e>
                  <m:sub>
                    <m:sSub>
                      <m:e>
                        <m:r>
                          <m:t>H</m:t>
                        </m:r>
                      </m:e>
                      <m:sub>
                        <m:r>
                          <m:t>A</m:t>
                        </m:r>
                      </m:sub>
                    </m:sSub>
                  </m:sub>
                  <m:sup>
                    <m:r>
                      <m:t>A</m:t>
                    </m:r>
                  </m:sup>
                </m:sSubSup>
                <m:r>
                  <m:rPr>
                    <m:sty m:val="p"/>
                  </m:rPr>
                  <m:t>|</m:t>
                </m:r>
              </m:e>
            </m:box>
            <m:r>
              <m:rPr>
                <m:sty m:val="p"/>
              </m:rPr>
              <m:t>≤</m:t>
            </m:r>
            <m:r>
              <m:t>λ</m:t>
            </m:r>
            <m:sSub>
              <m:e>
                <m:r>
                  <m:t>κ</m:t>
                </m:r>
              </m:e>
              <m:sub>
                <m:r>
                  <m:t>b</m:t>
                </m:r>
              </m:sub>
            </m:sSub>
            <m:r>
              <m:rPr>
                <m:sty m:val="p"/>
              </m:rPr>
              <m:t>,</m:t>
            </m:r>
          </m:e>
          <m:e>
            <m:r>
              <m:t>0</m:t>
            </m:r>
            <m:r>
              <m:rPr>
                <m:sty m:val="p"/>
              </m:rPr>
              <m:t>≤</m:t>
            </m:r>
            <m:sSubSup>
              <m:e>
                <m:r>
                  <m:t>J</m:t>
                </m:r>
              </m:e>
              <m:sub>
                <m:r>
                  <m:t>F</m:t>
                </m:r>
              </m:sub>
              <m:sup>
                <m:r>
                  <m:t>A</m:t>
                </m:r>
              </m:sup>
            </m:sSubSup>
            <m:d>
              <m:dPr>
                <m:begChr m:val="("/>
                <m:endChr m:val=")"/>
                <m:sepChr m:val=""/>
                <m:grow/>
              </m:dPr>
              <m:e>
                <m:sSub>
                  <m:e>
                    <m:r>
                      <m:t>π</m:t>
                    </m:r>
                  </m:e>
                  <m:sub>
                    <m:sSub>
                      <m:e>
                        <m:r>
                          <m:t>H</m:t>
                        </m:r>
                      </m:e>
                      <m:sub>
                        <m:r>
                          <m:t>A</m:t>
                        </m:r>
                      </m:sub>
                    </m:sSub>
                  </m:sub>
                </m:sSub>
              </m:e>
            </m:d>
            <m:r>
              <m:rPr>
                <m:sty m:val="p"/>
              </m:rPr>
              <m:t>−</m:t>
            </m:r>
            <m:sSubSup>
              <m:e>
                <m:r>
                  <m:t>V</m:t>
                </m:r>
              </m:e>
              <m:sub>
                <m:r>
                  <m:t>F</m:t>
                </m:r>
              </m:sub>
              <m:sup>
                <m:r>
                  <m:t>A</m:t>
                </m:r>
              </m:sup>
            </m:sSubSup>
            <m:r>
              <m:rPr>
                <m:sty m:val="p"/>
              </m:rPr>
              <m:t>≤</m:t>
            </m:r>
            <m:r>
              <m:t>2</m:t>
            </m:r>
            <m:r>
              <m:t>λ</m:t>
            </m:r>
            <m:sSub>
              <m:e>
                <m:r>
                  <m:t>κ</m:t>
                </m:r>
              </m:e>
              <m:sub>
                <m:r>
                  <m:t>b</m:t>
                </m:r>
              </m:sub>
            </m:sSub>
            <m:r>
              <m:rPr>
                <m:sty m:val="p"/>
              </m:rPr>
              <m:t>.</m:t>
            </m:r>
          </m:e>
        </m:eqArr>
      </m:oMath>
      <w:r>
        <w:tab/>
        <w:t>(33)</w:t>
      </w:r>
    </w:p>
    <w:p>
      <w:pPr>
        <w:pStyle w:val="BodyText"/>
      </w:pPr>
      <w:r>
        <w:t xml:space="preserve">The value coefficient one is sharp for every</w:t>
      </w:r>
      <w:r>
        <w:t xml:space="preserve"> </w:t>
      </w:r>
      <m:oMath>
        <m:r>
          <m:t>b</m:t>
        </m:r>
        <m:r>
          <m:rPr>
            <m:sty m:val="p"/>
          </m:rPr>
          <m:t>≥</m:t>
        </m:r>
        <m:r>
          <m:t>1</m:t>
        </m:r>
      </m:oMath>
      <w:r>
        <w:t xml:space="preserve">. When</w:t>
      </w:r>
      <w:r>
        <w:t xml:space="preserve"> </w:t>
      </w:r>
      <m:oMath>
        <m:sSub>
          <m:e>
            <m:r>
              <m:t>ε</m:t>
            </m:r>
          </m:e>
          <m:sub>
            <m:r>
              <m:t>1</m:t>
            </m:r>
          </m:sub>
        </m:sSub>
        <m:r>
          <m:rPr>
            <m:sty m:val="p"/>
          </m:rPr>
          <m:t>+</m:t>
        </m:r>
        <m:sSub>
          <m:e>
            <m:r>
              <m:t>ε</m:t>
            </m:r>
          </m:e>
          <m:sub>
            <m:r>
              <m:t>2</m:t>
            </m:r>
          </m:sub>
        </m:sSub>
        <m:r>
          <m:rPr>
            <m:sty m:val="p"/>
          </m:rPr>
          <m:t>&gt;</m:t>
        </m:r>
        <m:r>
          <m:t>0</m:t>
        </m:r>
      </m:oMath>
      <w:r>
        <w:t xml:space="preserve">, the policy coefficient two is sharp as a supremum over continuation problems with two earlier sources and</w:t>
      </w:r>
      <w:r>
        <w:t xml:space="preserve"> </w:t>
      </w:r>
      <m:oMath>
        <m:r>
          <m:t>2</m:t>
        </m:r>
        <m:r>
          <m:t>b</m:t>
        </m:r>
      </m:oMath>
      <w:r>
        <w:t xml:space="preserve"> </w:t>
      </w:r>
      <w:r>
        <w:t xml:space="preserve">available new sources.</w:t>
      </w:r>
    </w:p>
    <w:p>
      <w:pPr>
        <w:pStyle w:val="BodyText"/>
      </w:pPr>
      <w:r>
        <w:rPr>
          <w:iCs/>
          <w:i/>
        </w:rPr>
        <w:t xml:space="preserve">Proof.</w:t>
      </w:r>
      <w:r>
        <w:t xml:space="preserve"> </w:t>
      </w:r>
      <w:r>
        <w:t xml:space="preserve">For every fixed continuation policy, the observation law is unchanged and Theorem 3.3 bounds the terminal cost error by</w:t>
      </w:r>
      <w:r>
        <w:t xml:space="preserve"> </w:t>
      </w:r>
      <m:oMath>
        <m:sSub>
          <m:e>
            <m:r>
              <m:t>κ</m:t>
            </m:r>
          </m:e>
          <m:sub>
            <m:r>
              <m:t>b</m:t>
            </m:r>
          </m:sub>
        </m:sSub>
      </m:oMath>
      <w:r>
        <w:t xml:space="preserve">. Taking expectations, then applying the two minimization comparisons in Theorem 4.2, proves both inequalities.</w:t>
      </w:r>
    </w:p>
    <w:p>
      <w:pPr>
        <w:pStyle w:val="BodyText"/>
      </w:pPr>
      <w:r>
        <w:t xml:space="preserve">For value sharpness, use the two-tree construction from Theorem 3.3, with uninformative anchors and</w:t>
      </w:r>
      <w:r>
        <w:t xml:space="preserve"> </w:t>
      </w:r>
      <m:oMath>
        <m:r>
          <m:t>b</m:t>
        </m:r>
      </m:oMath>
      <w:r>
        <w:t xml:space="preserve"> </w:t>
      </w:r>
      <w:r>
        <w:t xml:space="preserve">new sources revealing independent bits. The decision predicts their parity. With a sufficiently small positive penalty, complete acquisition is optimal under the central tree and either perturbation. Their continuation values differ by exactly</w:t>
      </w:r>
      <w:r>
        <w:t xml:space="preserve"> </w:t>
      </w:r>
      <m:oMath>
        <m:r>
          <m:t>λ</m:t>
        </m:r>
        <m:sSub>
          <m:e>
            <m:r>
              <m:t>κ</m:t>
            </m:r>
          </m:e>
          <m:sub>
            <m:r>
              <m:t>b</m:t>
            </m:r>
          </m:sub>
        </m:sSub>
      </m:oMath>
      <w:r>
        <w:t xml:space="preserve">.</w:t>
      </w:r>
    </w:p>
    <w:p>
      <w:pPr>
        <w:pStyle w:val="BodyText"/>
      </w:pPr>
      <w:r>
        <w:t xml:space="preserve">For policy sharpness, put</w:t>
      </w:r>
      <w:r>
        <w:t xml:space="preserve"> </w:t>
      </w:r>
      <m:oMath>
        <m:r>
          <m:t>s</m:t>
        </m:r>
        <m:r>
          <m:rPr>
            <m:sty m:val="p"/>
          </m:rPr>
          <m:t>=</m:t>
        </m:r>
        <m:sSub>
          <m:e>
            <m:r>
              <m:t>ε</m:t>
            </m:r>
          </m:e>
          <m:sub>
            <m:r>
              <m:t>1</m:t>
            </m:r>
          </m:sub>
        </m:sSub>
        <m:r>
          <m:rPr>
            <m:sty m:val="p"/>
          </m:rPr>
          <m:t>+</m:t>
        </m:r>
        <m:sSub>
          <m:e>
            <m:r>
              <m:t>ε</m:t>
            </m:r>
          </m:e>
          <m:sub>
            <m:r>
              <m:t>2</m:t>
            </m:r>
          </m:sub>
        </m:sSub>
        <m:r>
          <m:rPr>
            <m:sty m:val="p"/>
          </m:rPr>
          <m:t>&gt;</m:t>
        </m:r>
        <m:r>
          <m:t>0</m:t>
        </m:r>
      </m:oMath>
      <w:r>
        <w:t xml:space="preserve"> </w:t>
      </w:r>
      <w:r>
        <w:t xml:space="preserve">and</w:t>
      </w:r>
      <w:r>
        <w:t xml:space="preserve"> </w:t>
      </w:r>
      <m:oMath>
        <m:r>
          <m:t>t</m:t>
        </m:r>
        <m:r>
          <m:rPr>
            <m:sty m:val="p"/>
          </m:rPr>
          <m:t>=</m:t>
        </m:r>
        <m:r>
          <m:t>2</m:t>
        </m:r>
        <m:sSub>
          <m:e>
            <m:r>
              <m:t>ε</m:t>
            </m:r>
          </m:e>
          <m:sub>
            <m:r>
              <m:t>1</m:t>
            </m:r>
          </m:sub>
        </m:sSub>
        <m:r>
          <m:rPr>
            <m:sty m:val="p"/>
          </m:rPr>
          <m:t>+</m:t>
        </m:r>
        <m:sSub>
          <m:e>
            <m:r>
              <m:t>ε</m:t>
            </m:r>
          </m:e>
          <m:sub>
            <m:r>
              <m:t>2</m:t>
            </m:r>
          </m:sub>
        </m:sSub>
      </m:oMath>
      <w:r>
        <w:t xml:space="preserve">. Take two branches, each containing one already queried uninformative anchor and one copy of each of</w:t>
      </w:r>
      <w:r>
        <w:t xml:space="preserve"> </w:t>
      </w:r>
      <m:oMath>
        <m:r>
          <m:t>b</m:t>
        </m:r>
      </m:oMath>
      <w:r>
        <w:t xml:space="preserve"> </w:t>
      </w:r>
      <w:r>
        <w:t xml:space="preserve">independent bits. In the measured tree both trunks have length</w:t>
      </w:r>
      <w:r>
        <w:t xml:space="preserve"> </w:t>
      </w:r>
      <m:oMath>
        <m:r>
          <m:t>a</m:t>
        </m:r>
        <m:r>
          <m:rPr>
            <m:sty m:val="p"/>
          </m:rPr>
          <m:t>&gt;</m:t>
        </m:r>
        <m:r>
          <m:t>t</m:t>
        </m:r>
      </m:oMath>
      <w:r>
        <w:t xml:space="preserve">. All pendants in the first branch have length</w:t>
      </w:r>
      <w:r>
        <w:t xml:space="preserve"> </w:t>
      </w:r>
      <m:oMath>
        <m:r>
          <m:t>q</m:t>
        </m:r>
        <m:r>
          <m:rPr>
            <m:sty m:val="p"/>
          </m:rPr>
          <m:t>&gt;</m:t>
        </m:r>
        <m:r>
          <m:t>s</m:t>
        </m:r>
      </m:oMath>
      <w:r>
        <w:t xml:space="preserve">; all pendants in the second have length</w:t>
      </w:r>
      <w:r>
        <w:t xml:space="preserve"> </w:t>
      </w:r>
      <m:oMath>
        <m:r>
          <m:t>q</m:t>
        </m:r>
        <m:r>
          <m:rPr>
            <m:sty m:val="p"/>
          </m:rPr>
          <m:t>+</m:t>
        </m:r>
        <m:r>
          <m:t>η</m:t>
        </m:r>
        <m:r>
          <m:rPr>
            <m:sty m:val="p"/>
          </m:rPr>
          <m:t>/</m:t>
        </m:r>
        <m:r>
          <m:t>b</m:t>
        </m:r>
      </m:oMath>
      <w:r>
        <w:t xml:space="preserve">, where</w:t>
      </w:r>
      <w:r>
        <w:t xml:space="preserve"> </w:t>
      </w:r>
      <m:oMath>
        <m:r>
          <m:t>0</m:t>
        </m:r>
        <m:r>
          <m:rPr>
            <m:sty m:val="p"/>
          </m:rPr>
          <m:t>&lt;</m:t>
        </m:r>
        <m:r>
          <m:t>η</m:t>
        </m:r>
        <m:r>
          <m:rPr>
            <m:sty m:val="p"/>
          </m:rPr>
          <m:t>&lt;</m:t>
        </m:r>
        <m:r>
          <m:t>2</m:t>
        </m:r>
        <m:r>
          <m:t>b</m:t>
        </m:r>
        <m:r>
          <m:t>s</m:t>
        </m:r>
      </m:oMath>
      <w:r>
        <w:t xml:space="preserve">. Since each trunk is already activated, the unique cheapest informative continuation selects all first-branch sources.</w:t>
      </w:r>
    </w:p>
    <w:p>
      <w:pPr>
        <w:pStyle w:val="BodyText"/>
      </w:pPr>
      <w:r>
        <w:t xml:space="preserve">For the true tree change the first trunk by</w:t>
      </w:r>
      <w:r>
        <w:t xml:space="preserve"> </w:t>
      </w:r>
      <m:oMath>
        <m:r>
          <m:rPr>
            <m:sty m:val="p"/>
          </m:rPr>
          <m:t>−</m:t>
        </m:r>
        <m:r>
          <m:t>t</m:t>
        </m:r>
      </m:oMath>
      <w:r>
        <w:t xml:space="preserve"> </w:t>
      </w:r>
      <w:r>
        <w:t xml:space="preserve">and every first-branch pendant by</w:t>
      </w:r>
      <w:r>
        <w:t xml:space="preserve"> </w:t>
      </w:r>
      <m:oMath>
        <m:r>
          <m:rPr>
            <m:sty m:val="p"/>
          </m:rPr>
          <m:t>+</m:t>
        </m:r>
        <m:r>
          <m:t>s</m:t>
        </m:r>
      </m:oMath>
      <w:r>
        <w:t xml:space="preserve">; change the second trunk by</w:t>
      </w:r>
      <w:r>
        <w:t xml:space="preserve"> </w:t>
      </w:r>
      <m:oMath>
        <m:r>
          <m:rPr>
            <m:sty m:val="p"/>
          </m:rPr>
          <m:t>+</m:t>
        </m:r>
        <m:r>
          <m:t>t</m:t>
        </m:r>
      </m:oMath>
      <w:r>
        <w:t xml:space="preserve"> </w:t>
      </w:r>
      <w:r>
        <w:t xml:space="preserve">and every second-branch pendant by</w:t>
      </w:r>
      <w:r>
        <w:t xml:space="preserve"> </w:t>
      </w:r>
      <m:oMath>
        <m:r>
          <m:rPr>
            <m:sty m:val="p"/>
          </m:rPr>
          <m:t>−</m:t>
        </m:r>
        <m:r>
          <m:t>s</m:t>
        </m:r>
      </m:oMath>
      <w:r>
        <w:t xml:space="preserve">. As in Theorem 3.3, singleton deviations have magnitude</w:t>
      </w:r>
      <w:r>
        <w:t xml:space="preserve"> </w:t>
      </w:r>
      <m:oMath>
        <m:sSub>
          <m:e>
            <m:r>
              <m:t>ε</m:t>
            </m:r>
          </m:e>
          <m:sub>
            <m:r>
              <m:t>1</m:t>
            </m:r>
          </m:sub>
        </m:sSub>
      </m:oMath>
      <w:r>
        <w:t xml:space="preserve"> </w:t>
      </w:r>
      <w:r>
        <w:t xml:space="preserve">and within-branch pair deviations have magnitude</w:t>
      </w:r>
      <w:r>
        <w:t xml:space="preserve"> </w:t>
      </w:r>
      <m:oMath>
        <m:sSub>
          <m:e>
            <m:r>
              <m:t>ε</m:t>
            </m:r>
          </m:e>
          <m:sub>
            <m:r>
              <m:t>2</m:t>
            </m:r>
          </m:sub>
        </m:sSub>
      </m:oMath>
      <w:r>
        <w:t xml:space="preserve">. Cross-branch pair deviations are zero, including pairs involving anchors. All edge lengths remain positive.</w:t>
      </w:r>
    </w:p>
    <w:p>
      <w:pPr>
        <w:pStyle w:val="BodyText"/>
        <w:keepNext/>
      </w:pPr>
      <w:r>
        <w:t xml:space="preserve">The full first- and second-branch continuation costs are</w:t>
      </w:r>
    </w:p>
    <w:p>
      <w:pPr>
        <w:pStyle w:val="Equation"/>
        <w:jc w:val="center"/>
      </w:pPr>
      <m:oMathPara>
        <m:oMathParaPr>
          <m:jc m:val="center"/>
        </m:oMathParaPr>
        <m:oMath>
          <m:r>
            <m:t>b</m:t>
          </m:r>
          <m:r>
            <m:t>q</m:t>
          </m:r>
          <m:r>
            <m:rPr>
              <m:sty m:val="p"/>
            </m:rPr>
            <m:t>+</m:t>
          </m:r>
          <m:r>
            <m:t>b</m:t>
          </m:r>
          <m:r>
            <m:t>s</m:t>
          </m:r>
          <m:r>
            <m:rPr>
              <m:sty m:val="p"/>
            </m:rPr>
            <m:t>,</m:t>
          </m:r>
          <m:r>
            <m:t>  </m:t>
          </m:r>
          <m:r>
            <m:t>b</m:t>
          </m:r>
          <m:r>
            <m:t>q</m:t>
          </m:r>
          <m:r>
            <m:rPr>
              <m:sty m:val="p"/>
            </m:rPr>
            <m:t>+</m:t>
          </m:r>
          <m:r>
            <m:t>η</m:t>
          </m:r>
          <m:r>
            <m:rPr>
              <m:sty m:val="p"/>
            </m:rPr>
            <m:t>−</m:t>
          </m:r>
          <m:r>
            <m:t>b</m:t>
          </m:r>
          <m:r>
            <m:t>s</m:t>
          </m:r>
          <m:r>
            <m:rPr>
              <m:sty m:val="p"/>
            </m:rPr>
            <m:t>.</m:t>
          </m:r>
        </m:oMath>
      </m:oMathPara>
    </w:p>
    <w:p>
      <w:pPr>
        <w:pStyle w:val="FirstParagraph"/>
      </w:pPr>
      <w:r>
        <w:t xml:space="preserve">Each second-branch source now has strictly smaller additional cost than its first-branch copy. A sufficiently small positive penalty makes complete information optimal under both trees, by the parity argument. The measured-optimal policy consequently incurs excess objective</w:t>
      </w:r>
      <w:r>
        <w:t xml:space="preserve"> </w:t>
      </w:r>
      <m:oMath>
        <m:r>
          <m:t>λ</m:t>
        </m:r>
        <m:d>
          <m:dPr>
            <m:begChr m:val="("/>
            <m:endChr m:val=")"/>
            <m:sepChr m:val=""/>
            <m:grow/>
          </m:dPr>
          <m:e>
            <m:r>
              <m:t>2</m:t>
            </m:r>
            <m:r>
              <m:t>b</m:t>
            </m:r>
            <m:r>
              <m:t>s</m:t>
            </m:r>
            <m:r>
              <m:rPr>
                <m:sty m:val="p"/>
              </m:rPr>
              <m:t>−</m:t>
            </m:r>
            <m:r>
              <m:t>η</m:t>
            </m:r>
          </m:e>
        </m:d>
      </m:oMath>
      <w:r>
        <w:t xml:space="preserve">. Since</w:t>
      </w:r>
      <w:r>
        <w:t xml:space="preserve"> </w:t>
      </w:r>
      <m:oMath>
        <m:sSub>
          <m:e>
            <m:r>
              <m:t>κ</m:t>
            </m:r>
          </m:e>
          <m:sub>
            <m:r>
              <m:t>b</m:t>
            </m:r>
          </m:sub>
        </m:sSub>
        <m:r>
          <m:rPr>
            <m:sty m:val="p"/>
          </m:rPr>
          <m:t>=</m:t>
        </m:r>
        <m:r>
          <m:t>b</m:t>
        </m:r>
        <m:r>
          <m:t>s</m:t>
        </m:r>
      </m:oMath>
      <w:r>
        <w:t xml:space="preserve">, its ratio to</w:t>
      </w:r>
      <w:r>
        <w:t xml:space="preserve"> </w:t>
      </w:r>
      <m:oMath>
        <m:r>
          <m:t>λ</m:t>
        </m:r>
        <m:sSub>
          <m:e>
            <m:r>
              <m:t>κ</m:t>
            </m:r>
          </m:e>
          <m:sub>
            <m:r>
              <m:t>b</m:t>
            </m:r>
          </m:sub>
        </m:sSub>
      </m:oMath>
      <w:r>
        <w:t xml:space="preserve"> </w:t>
      </w:r>
      <w:r>
        <w:t xml:space="preserve">approaches two.</w:t>
      </w:r>
      <w:r>
        <w:t xml:space="preserve"> </w:t>
      </w:r>
      <m:oMath>
        <m:r>
          <m:rPr>
            <m:sty m:val="p"/>
          </m:rPr>
          <m:t>▫</m:t>
        </m:r>
      </m:oMath>
    </w:p>
    <w:p>
      <w:pPr>
        <w:pStyle w:val="BodyText"/>
      </w:pPr>
      <w:r>
        <w:rPr>
          <w:bCs/>
          <w:b/>
        </w:rPr>
        <w:t xml:space="preserve">Implementation condition.</w:t>
      </w:r>
      <w:r>
        <w:t xml:space="preserve"> </w:t>
      </w:r>
      <w:r>
        <w:t xml:space="preserve">Keep the anchor set</w:t>
      </w:r>
      <w:r>
        <w:t xml:space="preserve"> </w:t>
      </w:r>
      <m:oMath>
        <m:r>
          <m:t>A</m:t>
        </m:r>
      </m:oMath>
      <w:r>
        <w:t xml:space="preserve"> </w:t>
      </w:r>
      <w:r>
        <w:t xml:space="preserve">fixed throughout one continuation planning problem. At an intermediate set</w:t>
      </w:r>
      <w:r>
        <w:t xml:space="preserve"> </w:t>
      </w:r>
      <m:oMath>
        <m:r>
          <m:t>U</m:t>
        </m:r>
      </m:oMath>
      <w:r>
        <w:t xml:space="preserve"> </w:t>
      </w:r>
      <w:r>
        <w:t xml:space="preserve">of newly queried sources, charge the surrogate increment</w:t>
      </w:r>
      <w:r>
        <w:t xml:space="preserve"> </w:t>
      </w:r>
      <m:oMath>
        <m:sSub>
          <m:e>
            <m:r>
              <m:t>H</m:t>
            </m:r>
          </m:e>
          <m:sub>
            <m:r>
              <m:t>A</m:t>
            </m:r>
          </m:sub>
        </m:sSub>
        <m:d>
          <m:dPr>
            <m:begChr m:val="("/>
            <m:endChr m:val=")"/>
            <m:sepChr m:val=""/>
            <m:grow/>
          </m:dPr>
          <m:e>
            <m:r>
              <m:t>U</m:t>
            </m:r>
            <m:r>
              <m:rPr>
                <m:sty m:val="p"/>
              </m:rPr>
              <m:t>∪</m:t>
            </m:r>
            <m:r>
              <m:rPr>
                <m:sty m:val="p"/>
              </m:rPr>
              <m:t>{</m:t>
            </m:r>
            <m:r>
              <m:t>i</m:t>
            </m:r>
            <m:r>
              <m:rPr>
                <m:sty m:val="p"/>
              </m:rPr>
              <m:t>}</m:t>
            </m:r>
          </m:e>
        </m:d>
        <m:r>
          <m:rPr>
            <m:sty m:val="p"/>
          </m:rPr>
          <m:t>−</m:t>
        </m:r>
        <m:sSub>
          <m:e>
            <m:r>
              <m:t>H</m:t>
            </m:r>
          </m:e>
          <m:sub>
            <m:r>
              <m:t>A</m:t>
            </m:r>
          </m:sub>
        </m:sSub>
        <m:d>
          <m:dPr>
            <m:begChr m:val="("/>
            <m:endChr m:val=")"/>
            <m:sepChr m:val=""/>
            <m:grow/>
          </m:dPr>
          <m:e>
            <m:r>
              <m:t>U</m:t>
            </m:r>
          </m:e>
        </m:d>
      </m:oMath>
      <w:r>
        <w:t xml:space="preserve">. These increments telescope to the terminal surrogate in the theorem. Replacing them by separately recomputed one-step estimates</w:t>
      </w:r>
      <w:r>
        <w:t xml:space="preserve"> </w:t>
      </w:r>
      <m:oMath>
        <m:sSub>
          <m:e>
            <m:r>
              <m:t>H</m:t>
            </m:r>
          </m:e>
          <m:sub>
            <m:r>
              <m:t>A</m:t>
            </m:r>
            <m:r>
              <m:rPr>
                <m:sty m:val="p"/>
              </m:rPr>
              <m:t>∪</m:t>
            </m:r>
            <m:r>
              <m:t>U</m:t>
            </m:r>
          </m:sub>
        </m:sSub>
        <m:d>
          <m:dPr>
            <m:begChr m:val="("/>
            <m:endChr m:val=")"/>
            <m:sepChr m:val=""/>
            <m:grow/>
          </m:dPr>
          <m:e>
            <m:r>
              <m:rPr>
                <m:sty m:val="p"/>
              </m:rPr>
              <m:t>{</m:t>
            </m:r>
            <m:r>
              <m:t>i</m:t>
            </m:r>
            <m:r>
              <m:rPr>
                <m:sty m:val="p"/>
              </m:rPr>
              <m:t>}</m:t>
            </m:r>
          </m:e>
        </m:d>
      </m:oMath>
      <w:r>
        <w:t xml:space="preserve"> </w:t>
      </w:r>
      <w:r>
        <w:t xml:space="preserve">need not telescope for noisy measurements. Replanning at a later history defines a new continuation problem and a new bound; it does not automatically retain the earlier policy guarantee.</w:t>
      </w:r>
    </w:p>
    <w:p>
      <w:pPr>
        <w:pStyle w:val="BodyText"/>
        <w:keepNext/>
        <w:spacing w:before="140" w:after="100"/>
      </w:pPr>
      <w:r>
        <w:rPr>
          <w:bCs/>
          <w:b/>
        </w:rPr>
        <w:t xml:space="preserve">Corollary 4.5 — A stopping certificate.</w:t>
      </w:r>
      <w:r>
        <w:t xml:space="preserve"> </w:t>
      </w:r>
      <w:r>
        <w:t xml:space="preserve">Let</w:t>
      </w:r>
      <w:r>
        <w:t xml:space="preserve"> </w:t>
      </w:r>
      <m:oMath>
        <m:r>
          <m:t>δ</m:t>
        </m:r>
        <m:r>
          <m:rPr>
            <m:sty m:val="p"/>
          </m:rPr>
          <m:t>=</m:t>
        </m:r>
        <m:r>
          <m:t>λ</m:t>
        </m:r>
        <m:sSub>
          <m:e>
            <m:r>
              <m:t>κ</m:t>
            </m:r>
          </m:e>
          <m:sub>
            <m:r>
              <m:t>b</m:t>
            </m:r>
          </m:sub>
        </m:sSub>
      </m:oMath>
      <w:r>
        <w:t xml:space="preserve">, and let</w:t>
      </w:r>
      <w:r>
        <w:t xml:space="preserve"> </w:t>
      </w:r>
      <m:oMath>
        <m:sSub>
          <m:e>
            <m:r>
              <m:t>Q</m:t>
            </m:r>
          </m:e>
          <m:sub>
            <m:sSub>
              <m:e>
                <m:r>
                  <m:t>H</m:t>
                </m:r>
              </m:e>
              <m:sub>
                <m:r>
                  <m:t>A</m:t>
                </m:r>
              </m:sub>
            </m:sSub>
          </m:sub>
        </m:sSub>
        <m:d>
          <m:dPr>
            <m:begChr m:val="("/>
            <m:endChr m:val=")"/>
            <m:sepChr m:val=""/>
            <m:grow/>
          </m:dPr>
          <m:e>
            <m:r>
              <m:t>i</m:t>
            </m:r>
          </m:e>
        </m:d>
      </m:oMath>
      <w:r>
        <w:t xml:space="preserve"> </w:t>
      </w:r>
      <w:r>
        <w:t xml:space="preserve">denote the measured continuation value when the first action is forced to query source</w:t>
      </w:r>
      <w:r>
        <w:t xml:space="preserve"> </w:t>
      </w:r>
      <m:oMath>
        <m:r>
          <m:t>i</m:t>
        </m:r>
      </m:oMath>
      <w:r>
        <w:t xml:space="preserve"> </w:t>
      </w:r>
      <w:r>
        <w:t xml:space="preserve">and subsequent actions are optimized. If</w:t>
      </w:r>
    </w:p>
    <w:p>
      <w:pPr>
        <w:pStyle w:val="Equation"/>
        <w:jc w:val="center"/>
      </w:pPr>
      <m:oMathPara>
        <m:oMathParaPr>
          <m:jc m:val="center"/>
        </m:oMathParaPr>
        <m:oMath>
          <m:limLow>
            <m:e>
              <m:r>
                <m:rPr>
                  <m:sty m:val="p"/>
                  <m:nor/>
                </m:rPr>
                <m:t>min</m:t>
              </m:r>
            </m:e>
            <m:lim>
              <m:r>
                <m:t>i</m:t>
              </m:r>
            </m:lim>
          </m:limLow>
          <m:sSub>
            <m:e>
              <m:r>
                <m:t>Q</m:t>
              </m:r>
            </m:e>
            <m:sub>
              <m:sSub>
                <m:e>
                  <m:r>
                    <m:t>H</m:t>
                  </m:r>
                </m:e>
                <m:sub>
                  <m:r>
                    <m:t>A</m:t>
                  </m:r>
                </m:sub>
              </m:sSub>
            </m:sub>
          </m:sSub>
          <m:d>
            <m:dPr>
              <m:begChr m:val="("/>
              <m:endChr m:val=")"/>
              <m:sepChr m:val=""/>
              <m:grow/>
            </m:dPr>
            <m:e>
              <m:r>
                <m:t>i</m:t>
              </m:r>
            </m:e>
          </m:d>
          <m:r>
            <m:rPr>
              <m:sty m:val="p"/>
            </m:rPr>
            <m:t>&gt;</m:t>
          </m:r>
          <m:r>
            <m:t>r</m:t>
          </m:r>
          <m:d>
            <m:dPr>
              <m:begChr m:val="("/>
              <m:endChr m:val=")"/>
              <m:sepChr m:val=""/>
              <m:grow/>
            </m:dPr>
            <m:e>
              <m:r>
                <m:t>p</m:t>
              </m:r>
            </m:e>
          </m:d>
          <m:r>
            <m:rPr>
              <m:sty m:val="p"/>
            </m:rPr>
            <m:t>+</m:t>
          </m:r>
          <m:r>
            <m:t>δ</m:t>
          </m:r>
          <m:r>
            <m:rPr>
              <m:sty m:val="p"/>
            </m:rPr>
            <m:t>,</m:t>
          </m:r>
        </m:oMath>
      </m:oMathPara>
    </w:p>
    <w:p>
      <w:pPr>
        <w:pStyle w:val="FirstParagraph"/>
      </w:pPr>
      <w:r>
        <w:t xml:space="preserve">then stopping is optimal under the true cost. If</w:t>
      </w:r>
      <w:r>
        <w:t xml:space="preserve"> </w:t>
      </w:r>
      <m:oMath>
        <m:sSub>
          <m:e>
            <m:r>
              <m:rPr>
                <m:sty m:val="p"/>
                <m:nor/>
              </m:rPr>
              <m:t>min</m:t>
            </m:r>
          </m:e>
          <m:sub>
            <m:r>
              <m:t>i</m:t>
            </m:r>
          </m:sub>
        </m:sSub>
        <m:sSub>
          <m:e>
            <m:r>
              <m:t>Q</m:t>
            </m:r>
          </m:e>
          <m:sub>
            <m:sSub>
              <m:e>
                <m:r>
                  <m:t>H</m:t>
                </m:r>
              </m:e>
              <m:sub>
                <m:r>
                  <m:t>A</m:t>
                </m:r>
              </m:sub>
            </m:sSub>
          </m:sub>
        </m:sSub>
        <m:d>
          <m:dPr>
            <m:begChr m:val="("/>
            <m:endChr m:val=")"/>
            <m:sepChr m:val=""/>
            <m:grow/>
          </m:dPr>
          <m:e>
            <m:r>
              <m:t>i</m:t>
            </m:r>
          </m:e>
        </m:d>
        <m:r>
          <m:rPr>
            <m:sty m:val="p"/>
          </m:rPr>
          <m:t>&lt;</m:t>
        </m:r>
        <m:r>
          <m:t>r</m:t>
        </m:r>
        <m:d>
          <m:dPr>
            <m:begChr m:val="("/>
            <m:endChr m:val=")"/>
            <m:sepChr m:val=""/>
            <m:grow/>
          </m:dPr>
          <m:e>
            <m:r>
              <m:t>p</m:t>
            </m:r>
          </m:e>
        </m:d>
        <m:r>
          <m:rPr>
            <m:sty m:val="p"/>
          </m:rPr>
          <m:t>−</m:t>
        </m:r>
        <m:r>
          <m:t>δ</m:t>
        </m:r>
      </m:oMath>
      <w:r>
        <w:t xml:space="preserve">, stopping is suboptimal under the true cost.</w:t>
      </w:r>
    </w:p>
    <w:p>
      <w:pPr>
        <w:pStyle w:val="BodyText"/>
      </w:pPr>
      <w:r>
        <w:rPr>
          <w:iCs/>
          <w:i/>
        </w:rPr>
        <w:t xml:space="preserve">Proof.</w:t>
      </w:r>
      <w:r>
        <w:t xml:space="preserve"> </w:t>
      </w:r>
      <w:r>
        <w:t xml:space="preserve">Restrict the policy class to each forced first query and repeat the value comparison from Theorem 4.4. Every corresponding true action value differs by at most</w:t>
      </w:r>
      <w:r>
        <w:t xml:space="preserve"> </w:t>
      </w:r>
      <m:oMath>
        <m:r>
          <m:t>δ</m:t>
        </m:r>
      </m:oMath>
      <w:r>
        <w:t xml:space="preserve">; the stopping value</w:t>
      </w:r>
      <w:r>
        <w:t xml:space="preserve"> </w:t>
      </w:r>
      <m:oMath>
        <m:r>
          <m:t>r</m:t>
        </m:r>
        <m:d>
          <m:dPr>
            <m:begChr m:val="("/>
            <m:endChr m:val=")"/>
            <m:sepChr m:val=""/>
            <m:grow/>
          </m:dPr>
          <m:e>
            <m:r>
              <m:t>p</m:t>
            </m:r>
          </m:e>
        </m:d>
      </m:oMath>
      <w:r>
        <w:t xml:space="preserve"> </w:t>
      </w:r>
      <w:r>
        <w:t xml:space="preserve">is exact. The stated inequalities follow.</w:t>
      </w:r>
      <w:r>
        <w:t xml:space="preserve"> </w:t>
      </w:r>
      <m:oMath>
        <m:r>
          <m:rPr>
            <m:sty m:val="p"/>
          </m:rPr>
          <m:t>▫</m:t>
        </m:r>
      </m:oMath>
    </w:p>
    <w:p>
      <w:pPr>
        <w:pStyle w:val="BodyText"/>
      </w:pPr>
      <w:r>
        <w:t xml:space="preserve">This certificate is a direct perturbation consequence, with no additional optimality claim. It requires solving the relevant continuation action values; the minimum-spanning-tree cost estimator does not remove the exponential complexity of general adaptive planning.</w:t>
      </w:r>
    </w:p>
    <w:bookmarkEnd w:id="43"/>
    <w:bookmarkEnd w:id="44"/>
    <w:bookmarkStart w:id="47" w:name="X6536023aadc7ab51e6f91a0e0076485fb9ee5bc"/>
    <w:p>
      <w:pPr>
        <w:pStyle w:val="Heading1"/>
      </w:pPr>
      <w:r>
        <w:t xml:space="preserve">5. Decision equivalence and the boundary of the model</w:t>
      </w:r>
    </w:p>
    <w:bookmarkStart w:id="45" w:name="Xf566fc8f9405a7e51b06c066331be51b71fc5e7"/>
    <w:p>
      <w:pPr>
        <w:pStyle w:val="Heading2"/>
      </w:pPr>
      <w:r>
        <w:t xml:space="preserve">5.1. Which network information is decision-relevant?</w:t>
      </w:r>
    </w:p>
    <w:p>
      <w:pPr>
        <w:pStyle w:val="FirstParagraph"/>
        <w:keepNext/>
        <w:spacing w:before="140" w:after="100"/>
      </w:pPr>
      <w:r>
        <w:rPr>
          <w:bCs/>
          <w:b/>
        </w:rPr>
        <w:t xml:space="preserve">Theorem 5.1 — Universal decision equivalence.</w:t>
      </w:r>
      <w:r>
        <w:t xml:space="preserve"> </w:t>
      </w:r>
      <w:r>
        <w:t xml:space="preserve">Let</w:t>
      </w:r>
      <w:r>
        <w:t xml:space="preserve"> </w:t>
      </w:r>
      <m:oMath>
        <m:r>
          <m:t>F</m:t>
        </m:r>
      </m:oMath>
      <w:r>
        <w:t xml:space="preserve"> </w:t>
      </w:r>
      <w:r>
        <w:t xml:space="preserve">and</w:t>
      </w:r>
      <w:r>
        <w:t xml:space="preserve"> </w:t>
      </w:r>
      <m:oMath>
        <m:r>
          <m:t>G</m:t>
        </m:r>
      </m:oMath>
      <w:r>
        <w:t xml:space="preserve"> </w:t>
      </w:r>
      <w:r>
        <w:t xml:space="preserve">be rooted-tree cost functions on the same</w:t>
      </w:r>
      <w:r>
        <w:t xml:space="preserve"> </w:t>
      </w:r>
      <m:oMath>
        <m:r>
          <m:t>n</m:t>
        </m:r>
        <m:r>
          <m:rPr>
            <m:sty m:val="p"/>
          </m:rPr>
          <m:t>≥</m:t>
        </m:r>
        <m:r>
          <m:t>2</m:t>
        </m:r>
      </m:oMath>
      <w:r>
        <w:t xml:space="preserve"> </w:t>
      </w:r>
      <w:r>
        <w:t xml:space="preserve">labels. Fix</w:t>
      </w:r>
      <w:r>
        <w:t xml:space="preserve"> </w:t>
      </w:r>
      <m:oMath>
        <m:r>
          <m:t>2</m:t>
        </m:r>
        <m:r>
          <m:rPr>
            <m:sty m:val="p"/>
          </m:rPr>
          <m:t>≤</m:t>
        </m:r>
        <m:r>
          <m:t>B</m:t>
        </m:r>
        <m:r>
          <m:rPr>
            <m:sty m:val="p"/>
          </m:rPr>
          <m:t>≤</m:t>
        </m:r>
        <m:r>
          <m:t>n</m:t>
        </m:r>
      </m:oMath>
      <w:r>
        <w:t xml:space="preserve">. The following statements are equivalent:</w:t>
      </w:r>
    </w:p>
    <w:p>
      <w:pPr>
        <w:numPr>
          <w:ilvl w:val="0"/>
          <w:numId w:val="1001"/>
        </w:numPr>
        <w:pStyle w:val="Compact"/>
      </w:pPr>
      <m:oMath>
        <m:r>
          <m:t>F</m:t>
        </m:r>
      </m:oMath>
      <w:r>
        <w:t xml:space="preserve"> </w:t>
      </w:r>
      <w:r>
        <w:t xml:space="preserve">and</w:t>
      </w:r>
      <w:r>
        <w:t xml:space="preserve"> </w:t>
      </w:r>
      <m:oMath>
        <m:r>
          <m:t>G</m:t>
        </m:r>
      </m:oMath>
      <w:r>
        <w:t xml:space="preserve"> </w:t>
      </w:r>
      <w:r>
        <w:t xml:space="preserve">agree on every singleton and pair.</w:t>
      </w:r>
    </w:p>
    <w:p>
      <w:pPr>
        <w:numPr>
          <w:ilvl w:val="0"/>
          <w:numId w:val="1001"/>
        </w:numPr>
        <w:pStyle w:val="Compact"/>
      </w:pPr>
      <w:r>
        <w:t xml:space="preserve">They agree on every subset of sources.</w:t>
      </w:r>
    </w:p>
    <w:p>
      <w:pPr>
        <w:numPr>
          <w:ilvl w:val="0"/>
          <w:numId w:val="1001"/>
        </w:numPr>
        <w:pStyle w:val="Compact"/>
      </w:pPr>
      <w:r>
        <w:t xml:space="preserve">They have equal optimal values for every finite decision experiment described in Section 4 and every</w:t>
      </w:r>
      <w:r>
        <w:t xml:space="preserve"> </w:t>
      </w:r>
      <m:oMath>
        <m:r>
          <m:t>λ</m:t>
        </m:r>
        <m:r>
          <m:rPr>
            <m:sty m:val="p"/>
          </m:rPr>
          <m:t>&gt;</m:t>
        </m:r>
        <m:r>
          <m:t>0</m:t>
        </m:r>
      </m:oMath>
      <w:r>
        <w:t xml:space="preserve">, under the same call limit</w:t>
      </w:r>
      <w:r>
        <w:t xml:space="preserve"> </w:t>
      </w:r>
      <m:oMath>
        <m:r>
          <m:t>B</m:t>
        </m:r>
      </m:oMath>
      <w:r>
        <w:t xml:space="preserve">.</w:t>
      </w:r>
    </w:p>
    <w:p>
      <w:pPr>
        <w:pStyle w:val="FirstParagraph"/>
      </w:pPr>
      <w:r>
        <w:rPr>
          <w:iCs/>
          <w:i/>
        </w:rPr>
        <w:t xml:space="preserve">Proof.</w:t>
      </w:r>
      <w:r>
        <w:t xml:space="preserve"> </w:t>
      </w:r>
      <w:r>
        <w:t xml:space="preserve">Proposition 2.2 gives statement 1 implies statement 2. Identical set costs give identical objectives for every policy, proving statement 2 implies statement 3.</w:t>
      </w:r>
    </w:p>
    <w:p>
      <w:pPr>
        <w:pStyle w:val="BodyText"/>
      </w:pPr>
      <w:r>
        <w:t xml:space="preserve">Suppose statement 1 fails on a set</w:t>
      </w:r>
      <w:r>
        <w:t xml:space="preserve"> </w:t>
      </w:r>
      <m:oMath>
        <m:r>
          <m:t>S</m:t>
        </m:r>
      </m:oMath>
      <w:r>
        <w:t xml:space="preserve"> </w:t>
      </w:r>
      <w:r>
        <w:t xml:space="preserve">of size one or two. Let each source in</w:t>
      </w:r>
      <w:r>
        <w:t xml:space="preserve"> </w:t>
      </w:r>
      <m:oMath>
        <m:r>
          <m:t>S</m:t>
        </m:r>
      </m:oMath>
      <w:r>
        <w:t xml:space="preserve"> </w:t>
      </w:r>
      <w:r>
        <w:t xml:space="preserve">reveal one independent fair bit, let every other source return a constant, and let the final decision predict the parity of the bits in</w:t>
      </w:r>
      <w:r>
        <w:t xml:space="preserve"> </w:t>
      </w:r>
      <m:oMath>
        <m:r>
          <m:t>S</m:t>
        </m:r>
      </m:oMath>
      <w:r>
        <w:t xml:space="preserve">.</w:t>
      </w:r>
    </w:p>
    <w:p>
      <w:pPr>
        <w:pStyle w:val="BodyText"/>
        <w:keepNext/>
      </w:pPr>
      <w:r>
        <w:t xml:space="preserve">By the argument in Theorem 4.2 and monotonicity of acquisition costs, the optimal value under a cost function</w:t>
      </w:r>
      <w:r>
        <w:t xml:space="preserve"> </w:t>
      </w:r>
      <m:oMath>
        <m:r>
          <m:t>K</m:t>
        </m:r>
      </m:oMath>
      <w:r>
        <w:t xml:space="preserve"> </w:t>
      </w:r>
      <w:r>
        <w:t xml:space="preserve">is</w:t>
      </w:r>
    </w:p>
    <w:p>
      <w:pPr>
        <w:pStyle w:val="Equation"/>
        <w:jc w:val="center"/>
      </w:pPr>
      <m:oMathPara>
        <m:oMathParaPr>
          <m:jc m:val="center"/>
        </m:oMathParaPr>
        <m:oMath>
          <m:r>
            <m:rPr>
              <m:sty m:val="p"/>
              <m:nor/>
            </m:rPr>
            <m:t>min</m:t>
          </m:r>
          <m:r>
            <m:rPr>
              <m:sty m:val="p"/>
            </m:rPr>
            <m:t>{</m:t>
          </m:r>
          <m:r>
            <m:t>1</m:t>
          </m:r>
          <m:r>
            <m:rPr>
              <m:sty m:val="p"/>
            </m:rPr>
            <m:t>/</m:t>
          </m:r>
          <m:r>
            <m:t>2</m:t>
          </m:r>
          <m:r>
            <m:rPr>
              <m:sty m:val="p"/>
            </m:rPr>
            <m:t>,</m:t>
          </m:r>
          <m:r>
            <m:t>λ</m:t>
          </m:r>
          <m:r>
            <m:t>K</m:t>
          </m:r>
          <m:d>
            <m:dPr>
              <m:begChr m:val="("/>
              <m:endChr m:val=")"/>
              <m:sepChr m:val=""/>
              <m:grow/>
            </m:dPr>
            <m:e>
              <m:r>
                <m:t>S</m:t>
              </m:r>
            </m:e>
          </m:d>
          <m:r>
            <m:rPr>
              <m:sty m:val="p"/>
            </m:rPr>
            <m:t>}</m:t>
          </m:r>
          <m:r>
            <m:rPr>
              <m:sty m:val="p"/>
            </m:rPr>
            <m:t>.</m:t>
          </m:r>
        </m:oMath>
      </m:oMathPara>
    </w:p>
    <w:p>
      <w:pPr>
        <w:pStyle w:val="FirstParagraph"/>
      </w:pPr>
      <w:r>
        <w:t xml:space="preserve">Choose</w:t>
      </w:r>
      <w:r>
        <w:t xml:space="preserve"> </w:t>
      </w:r>
      <m:oMath>
        <m:r>
          <m:t>λ</m:t>
        </m:r>
        <m:r>
          <m:rPr>
            <m:sty m:val="p"/>
          </m:rPr>
          <m:t>&gt;</m:t>
        </m:r>
        <m:r>
          <m:t>0</m:t>
        </m:r>
      </m:oMath>
      <w:r>
        <w:t xml:space="preserve"> </w:t>
      </w:r>
      <w:r>
        <w:t xml:space="preserve">small enough that acquiring</w:t>
      </w:r>
      <w:r>
        <w:t xml:space="preserve"> </w:t>
      </w:r>
      <m:oMath>
        <m:r>
          <m:t>S</m:t>
        </m:r>
      </m:oMath>
      <w:r>
        <w:t xml:space="preserve"> </w:t>
      </w:r>
      <w:r>
        <w:t xml:space="preserve">is optimal under both</w:t>
      </w:r>
      <w:r>
        <w:t xml:space="preserve"> </w:t>
      </w:r>
      <m:oMath>
        <m:r>
          <m:t>F</m:t>
        </m:r>
      </m:oMath>
      <w:r>
        <w:t xml:space="preserve"> </w:t>
      </w:r>
      <w:r>
        <w:t xml:space="preserve">and</w:t>
      </w:r>
      <w:r>
        <w:t xml:space="preserve"> </w:t>
      </w:r>
      <m:oMath>
        <m:r>
          <m:t>G</m:t>
        </m:r>
      </m:oMath>
      <w:r>
        <w:t xml:space="preserve">. Since</w:t>
      </w:r>
      <w:r>
        <w:t xml:space="preserve"> </w:t>
      </w:r>
      <m:oMath>
        <m:r>
          <m:t>F</m:t>
        </m:r>
        <m:d>
          <m:dPr>
            <m:begChr m:val="("/>
            <m:endChr m:val=")"/>
            <m:sepChr m:val=""/>
            <m:grow/>
          </m:dPr>
          <m:e>
            <m:r>
              <m:t>S</m:t>
            </m:r>
          </m:e>
        </m:d>
        <m:r>
          <m:rPr>
            <m:sty m:val="p"/>
          </m:rPr>
          <m:t>≠</m:t>
        </m:r>
        <m:r>
          <m:t>G</m:t>
        </m:r>
        <m:d>
          <m:dPr>
            <m:begChr m:val="("/>
            <m:endChr m:val=")"/>
            <m:sepChr m:val=""/>
            <m:grow/>
          </m:dPr>
          <m:e>
            <m:r>
              <m:t>S</m:t>
            </m:r>
          </m:e>
        </m:d>
      </m:oMath>
      <w:r>
        <w:t xml:space="preserve">, their optimal values differ, contradicting statement 3.</w:t>
      </w:r>
      <w:r>
        <w:t xml:space="preserve"> </w:t>
      </w:r>
      <m:oMath>
        <m:r>
          <m:rPr>
            <m:sty m:val="p"/>
          </m:rPr>
          <m:t>▫</m:t>
        </m:r>
      </m:oMath>
    </w:p>
    <w:p>
      <w:pPr>
        <w:pStyle w:val="BodyText"/>
      </w:pPr>
      <w:r>
        <w:t xml:space="preserve">For</w:t>
      </w:r>
      <w:r>
        <w:t xml:space="preserve"> </w:t>
      </w:r>
      <m:oMath>
        <m:r>
          <m:t>B</m:t>
        </m:r>
        <m:r>
          <m:rPr>
            <m:sty m:val="p"/>
          </m:rPr>
          <m:t>=</m:t>
        </m:r>
        <m:r>
          <m:t>1</m:t>
        </m:r>
      </m:oMath>
      <w:r>
        <w:t xml:space="preserve">, only singleton costs matter. The quantifier over all positive</w:t>
      </w:r>
      <w:r>
        <w:t xml:space="preserve"> </w:t>
      </w:r>
      <m:oMath>
        <m:r>
          <m:t>λ</m:t>
        </m:r>
      </m:oMath>
      <w:r>
        <w:t xml:space="preserve"> </w:t>
      </w:r>
      <w:r>
        <w:t xml:space="preserve">is essential: a sufficiently high fixed penalty can make immediate stopping optimal in both networks and conceal cost differences.</w:t>
      </w:r>
    </w:p>
    <w:p>
      <w:pPr>
        <w:pStyle w:val="BodyText"/>
      </w:pPr>
      <w:r>
        <w:t xml:space="preserve">Blackwell’s comparison of experiments [2] provides a classical decision-theoretic use of universal quantification over decision problems. The objects compared here are acquisition-cost functions: the observation experiment is the same on both sides of each comparison. Theorem 5.1 characterizes when cost differences can be detected by some such experiment; it is not a characterization of the informational equivalence of observation channels.</w:t>
      </w:r>
    </w:p>
    <w:bookmarkEnd w:id="45"/>
    <w:bookmarkStart w:id="46" w:name="failure-for-general-shared-resources"/>
    <w:p>
      <w:pPr>
        <w:pStyle w:val="Heading2"/>
      </w:pPr>
      <w:r>
        <w:t xml:space="preserve">5.2. Failure for general shared resources</w:t>
      </w:r>
    </w:p>
    <w:p>
      <w:pPr>
        <w:pStyle w:val="FirstParagraph"/>
      </w:pPr>
      <w:r>
        <w:t xml:space="preserve">Rooted-path structure cannot be inferred solely from a compatible pair table. Consider three sources.</w:t>
      </w:r>
    </w:p>
    <w:p>
      <w:pPr>
        <w:pStyle w:val="BodyText"/>
      </w:pPr>
      <w:r>
        <w:t xml:space="preserve">In system A, there are three resources</w:t>
      </w:r>
      <w:r>
        <w:t xml:space="preserve"> </w:t>
      </w:r>
      <m:oMath>
        <m:sSub>
          <m:e>
            <m:r>
              <m:t>e</m:t>
            </m:r>
          </m:e>
          <m:sub>
            <m:r>
              <m:t>12</m:t>
            </m:r>
          </m:sub>
        </m:sSub>
        <m:r>
          <m:rPr>
            <m:sty m:val="p"/>
          </m:rPr>
          <m:t>,</m:t>
        </m:r>
        <m:sSub>
          <m:e>
            <m:r>
              <m:t>e</m:t>
            </m:r>
          </m:e>
          <m:sub>
            <m:r>
              <m:t>13</m:t>
            </m:r>
          </m:sub>
        </m:sSub>
        <m:r>
          <m:rPr>
            <m:sty m:val="p"/>
          </m:rPr>
          <m:t>,</m:t>
        </m:r>
        <m:sSub>
          <m:e>
            <m:r>
              <m:t>e</m:t>
            </m:r>
          </m:e>
          <m:sub>
            <m:r>
              <m:t>23</m:t>
            </m:r>
          </m:sub>
        </m:sSub>
      </m:oMath>
      <w:r>
        <w:t xml:space="preserve">, each of cost one. Source 1 uses</w:t>
      </w:r>
      <w:r>
        <w:t xml:space="preserve"> </w:t>
      </w:r>
      <m:oMath>
        <m:sSub>
          <m:e>
            <m:r>
              <m:t>e</m:t>
            </m:r>
          </m:e>
          <m:sub>
            <m:r>
              <m:t>12</m:t>
            </m:r>
          </m:sub>
        </m:sSub>
        <m:r>
          <m:rPr>
            <m:sty m:val="p"/>
          </m:rPr>
          <m:t>,</m:t>
        </m:r>
        <m:sSub>
          <m:e>
            <m:r>
              <m:t>e</m:t>
            </m:r>
          </m:e>
          <m:sub>
            <m:r>
              <m:t>13</m:t>
            </m:r>
          </m:sub>
        </m:sSub>
      </m:oMath>
      <w:r>
        <w:t xml:space="preserve">; source 2 uses</w:t>
      </w:r>
      <w:r>
        <w:t xml:space="preserve"> </w:t>
      </w:r>
      <m:oMath>
        <m:sSub>
          <m:e>
            <m:r>
              <m:t>e</m:t>
            </m:r>
          </m:e>
          <m:sub>
            <m:r>
              <m:t>12</m:t>
            </m:r>
          </m:sub>
        </m:sSub>
        <m:r>
          <m:rPr>
            <m:sty m:val="p"/>
          </m:rPr>
          <m:t>,</m:t>
        </m:r>
        <m:sSub>
          <m:e>
            <m:r>
              <m:t>e</m:t>
            </m:r>
          </m:e>
          <m:sub>
            <m:r>
              <m:t>23</m:t>
            </m:r>
          </m:sub>
        </m:sSub>
      </m:oMath>
      <w:r>
        <w:t xml:space="preserve">; source 3 uses</w:t>
      </w:r>
      <w:r>
        <w:t xml:space="preserve"> </w:t>
      </w:r>
      <m:oMath>
        <m:sSub>
          <m:e>
            <m:r>
              <m:t>e</m:t>
            </m:r>
          </m:e>
          <m:sub>
            <m:r>
              <m:t>13</m:t>
            </m:r>
          </m:sub>
        </m:sSub>
        <m:r>
          <m:rPr>
            <m:sty m:val="p"/>
          </m:rPr>
          <m:t>,</m:t>
        </m:r>
        <m:sSub>
          <m:e>
            <m:r>
              <m:t>e</m:t>
            </m:r>
          </m:e>
          <m:sub>
            <m:r>
              <m:t>23</m:t>
            </m:r>
          </m:sub>
        </m:sSub>
      </m:oMath>
      <w:r>
        <w:t xml:space="preserve">.</w:t>
      </w:r>
    </w:p>
    <w:p>
      <w:pPr>
        <w:pStyle w:val="BodyText"/>
      </w:pPr>
      <w:r>
        <w:t xml:space="preserve">In system B, every source uses a common resource of cost one and its own private resource of cost one.</w:t>
      </w:r>
    </w:p>
    <w:p>
      <w:pPr>
        <w:pStyle w:val="BodyText"/>
        <w:keepNext/>
      </w:pPr>
      <w:r>
        <w:t xml:space="preserve">Both systems have singleton cost two and pair cost three. Their triple costs differ:</w:t>
      </w:r>
    </w:p>
    <w:p>
      <w:pPr>
        <w:pStyle w:val="Equation"/>
        <w:tabs>
          <w:tab w:pos="4680" w:val="center"/>
          <w:tab w:pos="9792" w:val="right"/>
        </w:tabs>
        <w:jc w:val="left"/>
      </w:pPr>
      <w:r>
        <w:tab/>
      </w:r>
      <m:oMath>
        <m:sSub>
          <m:e>
            <m:r>
              <m:t>F</m:t>
            </m:r>
          </m:e>
          <m:sub>
            <m:r>
              <m:t>A</m:t>
            </m:r>
          </m:sub>
        </m:sSub>
        <m:d>
          <m:dPr>
            <m:begChr m:val="("/>
            <m:endChr m:val=")"/>
            <m:sepChr m:val=""/>
            <m:grow/>
          </m:dPr>
          <m:e>
            <m:r>
              <m:rPr>
                <m:sty m:val="p"/>
              </m:rPr>
              <m:t>{</m:t>
            </m:r>
            <m:r>
              <m:t>1</m:t>
            </m:r>
            <m:r>
              <m:rPr>
                <m:sty m:val="p"/>
              </m:rPr>
              <m:t>,</m:t>
            </m:r>
            <m:r>
              <m:t>2</m:t>
            </m:r>
            <m:r>
              <m:rPr>
                <m:sty m:val="p"/>
              </m:rPr>
              <m:t>,</m:t>
            </m:r>
            <m:r>
              <m:t>3</m:t>
            </m:r>
            <m:r>
              <m:rPr>
                <m:sty m:val="p"/>
              </m:rPr>
              <m:t>}</m:t>
            </m:r>
          </m:e>
        </m:d>
        <m:r>
          <m:rPr>
            <m:sty m:val="p"/>
          </m:rPr>
          <m:t>=</m:t>
        </m:r>
        <m:r>
          <m:t>3</m:t>
        </m:r>
        <m:r>
          <m:rPr>
            <m:sty m:val="p"/>
          </m:rPr>
          <m:t>,</m:t>
        </m:r>
        <m:r>
          <m:t>  </m:t>
        </m:r>
        <m:sSub>
          <m:e>
            <m:r>
              <m:t>F</m:t>
            </m:r>
          </m:e>
          <m:sub>
            <m:r>
              <m:t>B</m:t>
            </m:r>
          </m:sub>
        </m:sSub>
        <m:d>
          <m:dPr>
            <m:begChr m:val="("/>
            <m:endChr m:val=")"/>
            <m:sepChr m:val=""/>
            <m:grow/>
          </m:dPr>
          <m:e>
            <m:r>
              <m:rPr>
                <m:sty m:val="p"/>
              </m:rPr>
              <m:t>{</m:t>
            </m:r>
            <m:r>
              <m:t>1</m:t>
            </m:r>
            <m:r>
              <m:rPr>
                <m:sty m:val="p"/>
              </m:rPr>
              <m:t>,</m:t>
            </m:r>
            <m:r>
              <m:t>2</m:t>
            </m:r>
            <m:r>
              <m:rPr>
                <m:sty m:val="p"/>
              </m:rPr>
              <m:t>,</m:t>
            </m:r>
            <m:r>
              <m:t>3</m:t>
            </m:r>
            <m:r>
              <m:rPr>
                <m:sty m:val="p"/>
              </m:rPr>
              <m:t>}</m:t>
            </m:r>
          </m:e>
        </m:d>
        <m:r>
          <m:rPr>
            <m:sty m:val="p"/>
          </m:rPr>
          <m:t>=</m:t>
        </m:r>
        <m:r>
          <m:t>4</m:t>
        </m:r>
        <m:r>
          <m:rPr>
            <m:sty m:val="p"/>
          </m:rPr>
          <m:t>.</m:t>
        </m:r>
      </m:oMath>
      <w:r>
        <w:tab/>
        <w:t>(34)</w:t>
      </w:r>
    </w:p>
    <w:p>
      <w:pPr>
        <w:pStyle w:val="BodyText"/>
      </w:pPr>
      <w:r>
        <w:t xml:space="preserve">System B is a rooted-tree model; system A is a general coverage system. Individual and pairwise measurements therefore cannot identify all group costs over the broader class. Even a table satisfying Proposition 2.1 does not certify that the physical system has rooted-path structure.</w:t>
      </w:r>
    </w:p>
    <w:bookmarkEnd w:id="46"/>
    <w:bookmarkEnd w:id="47"/>
    <w:bookmarkStart w:id="52" w:name="synthetic-manufacturing-illustration"/>
    <w:p>
      <w:pPr>
        <w:pStyle w:val="Heading1"/>
      </w:pPr>
      <w:r>
        <w:t xml:space="preserve">6. Synthetic manufacturing illustration</w:t>
      </w:r>
    </w:p>
    <w:bookmarkStart w:id="48" w:name="fully-specified-instance"/>
    <w:p>
      <w:pPr>
        <w:pStyle w:val="Heading2"/>
      </w:pPr>
      <w:r>
        <w:t xml:space="preserve">6.1. Fully specified instance</w:t>
      </w:r>
    </w:p>
    <w:p>
      <w:pPr>
        <w:pStyle w:val="FirstParagraph"/>
      </w:pPr>
      <w:r>
        <w:t xml:space="preserve">Consider six evidence sources: telemetry, quality, maintenance, materials, scheduling, and assembly. Their labels describe diagnostic roles. No physical factory data or language-model outputs are used.</w:t>
      </w:r>
    </w:p>
    <w:p>
      <w:pPr>
        <w:pStyle w:val="BodyText"/>
        <w:keepNext/>
      </w:pPr>
      <w:r>
        <w:t xml:space="preserve">The rooted routing tree has the following activation edges.</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7272"/>
        <w:gridCol w:w="2520"/>
      </w:tblGrid>
      <w:tr>
        <w:trPr>
          <w:tblHeader w:val="true"/>
          <w:cantSplit/>
          <w:tblHeader/>
        </w:trPr>
        <w:tc>
          <w:tcPr>
            <w:tcW w:type="dxa" w:w="7272"/>
            <w:vAlign w:val="center"/>
            <w:shd w:fill="E9ECEF"/>
          </w:tcPr>
          <w:p>
            <w:pPr>
              <w:pStyle w:val="TableBody"/>
              <w:keepNext/>
              <w:jc w:val="left"/>
            </w:pPr>
            <w:r>
              <w:rPr>
                <w:b/>
                <w:sz w:val="20"/>
              </w:rPr>
              <w:t xml:space="preserve">Edge</w:t>
            </w:r>
          </w:p>
        </w:tc>
        <w:tc>
          <w:tcPr>
            <w:tcW w:type="dxa" w:w="2520"/>
            <w:vAlign w:val="center"/>
            <w:shd w:fill="E9ECEF"/>
          </w:tcPr>
          <w:p>
            <w:pPr>
              <w:pStyle w:val="TableBody"/>
              <w:keepNext/>
              <w:jc w:val="center"/>
            </w:pPr>
            <w:r>
              <w:rPr>
                <w:b/>
                <w:sz w:val="20"/>
              </w:rPr>
              <w:t xml:space="preserve">Activation cost</w:t>
            </w:r>
          </w:p>
        </w:tc>
      </w:tr>
      <w:tr>
        <w:trPr>
          <w:cantSplit/>
        </w:trPr>
        <w:tc>
          <w:tcPr>
            <w:tcW w:type="dxa" w:w="7272"/>
            <w:vAlign w:val="center"/>
          </w:tcPr>
          <w:p>
            <w:pPr>
              <w:pStyle w:val="TableBody"/>
              <w:keepNext/>
              <w:jc w:val="left"/>
            </w:pPr>
            <w:r>
              <w:rPr>
                <w:b w:val="0"/>
                <w:sz w:val="20"/>
              </w:rPr>
              <w:t xml:space="preserve">Coordinator → Telemetry</w:t>
            </w:r>
          </w:p>
        </w:tc>
        <w:tc>
          <w:tcPr>
            <w:tcW w:type="dxa" w:w="2520"/>
            <w:vAlign w:val="center"/>
          </w:tcPr>
          <w:p>
            <w:pPr>
              <w:pStyle w:val="TableBody"/>
              <w:keepNext/>
              <w:jc w:val="center"/>
            </w:pPr>
            <w:r>
              <w:rPr>
                <w:b w:val="0"/>
                <w:sz w:val="20"/>
              </w:rPr>
              <w:t xml:space="preserve">2.0</w:t>
            </w:r>
          </w:p>
        </w:tc>
      </w:tr>
      <w:tr>
        <w:trPr>
          <w:cantSplit/>
        </w:trPr>
        <w:tc>
          <w:tcPr>
            <w:tcW w:type="dxa" w:w="7272"/>
            <w:vAlign w:val="center"/>
          </w:tcPr>
          <w:p>
            <w:pPr>
              <w:pStyle w:val="TableBody"/>
              <w:keepNext/>
              <w:jc w:val="left"/>
            </w:pPr>
            <w:r>
              <w:rPr>
                <w:b w:val="0"/>
                <w:sz w:val="20"/>
              </w:rPr>
              <w:t xml:space="preserve">Telemetry → Quality</w:t>
            </w:r>
          </w:p>
        </w:tc>
        <w:tc>
          <w:tcPr>
            <w:tcW w:type="dxa" w:w="2520"/>
            <w:vAlign w:val="center"/>
          </w:tcPr>
          <w:p>
            <w:pPr>
              <w:pStyle w:val="TableBody"/>
              <w:keepNext/>
              <w:jc w:val="center"/>
            </w:pPr>
            <w:r>
              <w:rPr>
                <w:b w:val="0"/>
                <w:sz w:val="20"/>
              </w:rPr>
              <w:t xml:space="preserve">1.6</w:t>
            </w:r>
          </w:p>
        </w:tc>
      </w:tr>
      <w:tr>
        <w:trPr>
          <w:cantSplit/>
        </w:trPr>
        <w:tc>
          <w:tcPr>
            <w:tcW w:type="dxa" w:w="7272"/>
            <w:vAlign w:val="center"/>
          </w:tcPr>
          <w:p>
            <w:pPr>
              <w:pStyle w:val="TableBody"/>
              <w:keepNext/>
              <w:jc w:val="left"/>
            </w:pPr>
            <w:r>
              <w:rPr>
                <w:b w:val="0"/>
                <w:sz w:val="20"/>
              </w:rPr>
              <w:t xml:space="preserve">Telemetry → Maintenance</w:t>
            </w:r>
          </w:p>
        </w:tc>
        <w:tc>
          <w:tcPr>
            <w:tcW w:type="dxa" w:w="2520"/>
            <w:vAlign w:val="center"/>
          </w:tcPr>
          <w:p>
            <w:pPr>
              <w:pStyle w:val="TableBody"/>
              <w:keepNext/>
              <w:jc w:val="center"/>
            </w:pPr>
            <w:r>
              <w:rPr>
                <w:b w:val="0"/>
                <w:sz w:val="20"/>
              </w:rPr>
              <w:t xml:space="preserve">1.4</w:t>
            </w:r>
          </w:p>
        </w:tc>
      </w:tr>
      <w:tr>
        <w:trPr>
          <w:cantSplit/>
        </w:trPr>
        <w:tc>
          <w:tcPr>
            <w:tcW w:type="dxa" w:w="7272"/>
            <w:vAlign w:val="center"/>
          </w:tcPr>
          <w:p>
            <w:pPr>
              <w:pStyle w:val="TableBody"/>
              <w:keepNext/>
              <w:jc w:val="left"/>
            </w:pPr>
            <w:r>
              <w:rPr>
                <w:b w:val="0"/>
                <w:sz w:val="20"/>
              </w:rPr>
              <w:t xml:space="preserve">Coordinator → Materials</w:t>
            </w:r>
          </w:p>
        </w:tc>
        <w:tc>
          <w:tcPr>
            <w:tcW w:type="dxa" w:w="2520"/>
            <w:vAlign w:val="center"/>
          </w:tcPr>
          <w:p>
            <w:pPr>
              <w:pStyle w:val="TableBody"/>
              <w:keepNext/>
              <w:jc w:val="center"/>
            </w:pPr>
            <w:r>
              <w:rPr>
                <w:b w:val="0"/>
                <w:sz w:val="20"/>
              </w:rPr>
              <w:t xml:space="preserve">2.6</w:t>
            </w:r>
          </w:p>
        </w:tc>
      </w:tr>
      <w:tr>
        <w:trPr>
          <w:cantSplit/>
        </w:trPr>
        <w:tc>
          <w:tcPr>
            <w:tcW w:type="dxa" w:w="7272"/>
            <w:vAlign w:val="center"/>
          </w:tcPr>
          <w:p>
            <w:pPr>
              <w:pStyle w:val="TableBody"/>
              <w:keepNext/>
              <w:jc w:val="left"/>
            </w:pPr>
            <w:r>
              <w:rPr>
                <w:b w:val="0"/>
                <w:sz w:val="20"/>
              </w:rPr>
              <w:t xml:space="preserve">Coordinator → Scheduling</w:t>
            </w:r>
          </w:p>
        </w:tc>
        <w:tc>
          <w:tcPr>
            <w:tcW w:type="dxa" w:w="2520"/>
            <w:vAlign w:val="center"/>
          </w:tcPr>
          <w:p>
            <w:pPr>
              <w:pStyle w:val="TableBody"/>
              <w:keepNext/>
              <w:jc w:val="center"/>
            </w:pPr>
            <w:r>
              <w:rPr>
                <w:b w:val="0"/>
                <w:sz w:val="20"/>
              </w:rPr>
              <w:t xml:space="preserve">2.0</w:t>
            </w:r>
          </w:p>
        </w:tc>
      </w:tr>
      <w:tr>
        <w:trPr>
          <w:cantSplit/>
        </w:trPr>
        <w:tc>
          <w:tcPr>
            <w:tcW w:type="dxa" w:w="7272"/>
            <w:vAlign w:val="center"/>
          </w:tcPr>
          <w:p>
            <w:pPr>
              <w:pStyle w:val="TableBody"/>
              <w:keepNext w:val="0"/>
              <w:jc w:val="left"/>
            </w:pPr>
            <w:r>
              <w:rPr>
                <w:b w:val="0"/>
                <w:sz w:val="20"/>
              </w:rPr>
              <w:t xml:space="preserve">Scheduling → Assembly</w:t>
            </w:r>
          </w:p>
        </w:tc>
        <w:tc>
          <w:tcPr>
            <w:tcW w:type="dxa" w:w="2520"/>
            <w:vAlign w:val="center"/>
          </w:tcPr>
          <w:p>
            <w:pPr>
              <w:pStyle w:val="TableBody"/>
              <w:keepNext w:val="0"/>
              <w:jc w:val="center"/>
            </w:pPr>
            <w:r>
              <w:rPr>
                <w:b w:val="0"/>
                <w:sz w:val="20"/>
              </w:rPr>
              <w:t xml:space="preserve">1.8</w:t>
            </w:r>
          </w:p>
        </w:tc>
      </w:tr>
    </w:tbl>
    <w:p>
      <w:pPr>
        <w:pStyle w:val="BodyText"/>
        <w:spacing w:before="120"/>
      </w:pPr>
      <w:r>
        <w:t xml:space="preserve">An activation expense is paid once per investigation.</w:t>
      </w:r>
    </w:p>
    <w:p>
      <w:pPr>
        <w:pStyle w:val="BodyText"/>
        <w:keepNext/>
        <w:spacing w:before="140" w:after="100"/>
      </w:pPr>
      <w:r>
        <w:rPr>
          <w:bCs/>
          <w:b/>
        </w:rPr>
        <w:t xml:space="preserve">Table 1. Synthetic source parameters.</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3096"/>
        <w:gridCol w:w="2016"/>
        <w:gridCol w:w="2088"/>
        <w:gridCol w:w="2592"/>
      </w:tblGrid>
      <w:tr>
        <w:trPr>
          <w:tblHeader w:val="true"/>
          <w:cantSplit/>
          <w:tblHeader/>
        </w:trPr>
        <w:tc>
          <w:tcPr>
            <w:tcW w:type="dxa" w:w="3096"/>
            <w:vAlign w:val="center"/>
            <w:shd w:fill="E9ECEF"/>
          </w:tcPr>
          <w:p>
            <w:pPr>
              <w:pStyle w:val="TableBody"/>
              <w:keepNext/>
              <w:jc w:val="left"/>
            </w:pPr>
            <w:r>
              <w:rPr>
                <w:b/>
                <w:sz w:val="20"/>
              </w:rPr>
              <w:t xml:space="preserve">Source</w:t>
            </w:r>
          </w:p>
        </w:tc>
        <w:tc>
          <w:tcPr>
            <w:tcW w:type="dxa" w:w="2016"/>
            <w:vAlign w:val="center"/>
            <w:shd w:fill="E9ECEF"/>
          </w:tcPr>
          <w:p>
            <w:pPr>
              <w:pStyle w:val="TableBody"/>
              <w:keepNext/>
              <w:jc w:val="center"/>
            </w:pPr>
            <w:r>
              <w:rPr>
                <w:b/>
                <w:sz w:val="20"/>
              </w:rPr>
              <w:t xml:space="preserve">Service cost</w:t>
            </w:r>
          </w:p>
        </w:tc>
        <w:tc>
          <w:tcPr>
            <w:tcW w:type="dxa" w:w="2088"/>
            <w:vAlign w:val="center"/>
            <w:shd w:fill="E9ECEF"/>
          </w:tcPr>
          <w:p>
            <w:pPr>
              <w:pStyle w:val="TableBody"/>
              <w:keepNext/>
              <w:jc w:val="center"/>
            </w:pPr>
            <w:r>
              <w:rPr>
                <w:b/>
                <w:sz w:val="20"/>
              </w:rPr>
              <w:t xml:space="preserve">Singleton cost</w:t>
            </w:r>
          </w:p>
        </w:tc>
        <w:tc>
          <w:tcPr>
            <w:tcW w:type="dxa" w:w="2592"/>
            <w:vAlign w:val="center"/>
            <w:shd w:fill="E9ECEF"/>
          </w:tcPr>
          <w:p>
            <w:pPr>
              <w:pStyle w:val="TableBody"/>
              <w:keepNext/>
              <w:jc w:val="center"/>
            </w:pPr>
            <w:r>
              <w:rPr>
                <w:b/>
                <w:sz w:val="20"/>
              </w:rPr>
              <w:t xml:space="preserve">Assumed accuracy</w:t>
            </w:r>
          </w:p>
        </w:tc>
      </w:tr>
      <w:tr>
        <w:trPr>
          <w:cantSplit/>
        </w:trPr>
        <w:tc>
          <w:tcPr>
            <w:tcW w:type="dxa" w:w="3096"/>
            <w:vAlign w:val="center"/>
          </w:tcPr>
          <w:p>
            <w:pPr>
              <w:pStyle w:val="TableBody"/>
              <w:keepNext/>
              <w:jc w:val="left"/>
            </w:pPr>
            <w:r>
              <w:rPr>
                <w:b w:val="0"/>
                <w:sz w:val="20"/>
              </w:rPr>
              <w:t xml:space="preserve">Telemetry</w:t>
            </w:r>
          </w:p>
        </w:tc>
        <w:tc>
          <w:tcPr>
            <w:tcW w:type="dxa" w:w="2016"/>
            <w:vAlign w:val="center"/>
          </w:tcPr>
          <w:p>
            <w:pPr>
              <w:pStyle w:val="TableBody"/>
              <w:keepNext/>
              <w:jc w:val="center"/>
            </w:pPr>
            <w:r>
              <w:rPr>
                <w:b w:val="0"/>
                <w:sz w:val="20"/>
              </w:rPr>
              <w:t xml:space="preserve">1.0</w:t>
            </w:r>
          </w:p>
        </w:tc>
        <w:tc>
          <w:tcPr>
            <w:tcW w:type="dxa" w:w="2088"/>
            <w:vAlign w:val="center"/>
          </w:tcPr>
          <w:p>
            <w:pPr>
              <w:pStyle w:val="TableBody"/>
              <w:keepNext/>
              <w:jc w:val="center"/>
            </w:pPr>
            <w:r>
              <w:rPr>
                <w:b w:val="0"/>
                <w:sz w:val="20"/>
              </w:rPr>
              <w:t xml:space="preserve">3.0</w:t>
            </w:r>
          </w:p>
        </w:tc>
        <w:tc>
          <w:tcPr>
            <w:tcW w:type="dxa" w:w="2592"/>
            <w:vAlign w:val="center"/>
          </w:tcPr>
          <w:p>
            <w:pPr>
              <w:pStyle w:val="TableBody"/>
              <w:keepNext/>
              <w:jc w:val="center"/>
            </w:pPr>
            <w:r>
              <w:rPr>
                <w:b w:val="0"/>
                <w:sz w:val="20"/>
              </w:rPr>
              <w:t xml:space="preserve">0.75</w:t>
            </w:r>
          </w:p>
        </w:tc>
      </w:tr>
      <w:tr>
        <w:trPr>
          <w:cantSplit/>
        </w:trPr>
        <w:tc>
          <w:tcPr>
            <w:tcW w:type="dxa" w:w="3096"/>
            <w:vAlign w:val="center"/>
          </w:tcPr>
          <w:p>
            <w:pPr>
              <w:pStyle w:val="TableBody"/>
              <w:keepNext/>
              <w:jc w:val="left"/>
            </w:pPr>
            <w:r>
              <w:rPr>
                <w:b w:val="0"/>
                <w:sz w:val="20"/>
              </w:rPr>
              <w:t xml:space="preserve">Quality</w:t>
            </w:r>
          </w:p>
        </w:tc>
        <w:tc>
          <w:tcPr>
            <w:tcW w:type="dxa" w:w="2016"/>
            <w:vAlign w:val="center"/>
          </w:tcPr>
          <w:p>
            <w:pPr>
              <w:pStyle w:val="TableBody"/>
              <w:keepNext/>
              <w:jc w:val="center"/>
            </w:pPr>
            <w:r>
              <w:rPr>
                <w:b w:val="0"/>
                <w:sz w:val="20"/>
              </w:rPr>
              <w:t xml:space="preserve">1.1</w:t>
            </w:r>
          </w:p>
        </w:tc>
        <w:tc>
          <w:tcPr>
            <w:tcW w:type="dxa" w:w="2088"/>
            <w:vAlign w:val="center"/>
          </w:tcPr>
          <w:p>
            <w:pPr>
              <w:pStyle w:val="TableBody"/>
              <w:keepNext/>
              <w:jc w:val="center"/>
            </w:pPr>
            <w:r>
              <w:rPr>
                <w:b w:val="0"/>
                <w:sz w:val="20"/>
              </w:rPr>
              <w:t xml:space="preserve">4.7</w:t>
            </w:r>
          </w:p>
        </w:tc>
        <w:tc>
          <w:tcPr>
            <w:tcW w:type="dxa" w:w="2592"/>
            <w:vAlign w:val="center"/>
          </w:tcPr>
          <w:p>
            <w:pPr>
              <w:pStyle w:val="TableBody"/>
              <w:keepNext/>
              <w:jc w:val="center"/>
            </w:pPr>
            <w:r>
              <w:rPr>
                <w:b w:val="0"/>
                <w:sz w:val="20"/>
              </w:rPr>
              <w:t xml:space="preserve">0.80</w:t>
            </w:r>
          </w:p>
        </w:tc>
      </w:tr>
      <w:tr>
        <w:trPr>
          <w:cantSplit/>
        </w:trPr>
        <w:tc>
          <w:tcPr>
            <w:tcW w:type="dxa" w:w="3096"/>
            <w:vAlign w:val="center"/>
          </w:tcPr>
          <w:p>
            <w:pPr>
              <w:pStyle w:val="TableBody"/>
              <w:keepNext/>
              <w:jc w:val="left"/>
            </w:pPr>
            <w:r>
              <w:rPr>
                <w:b w:val="0"/>
                <w:sz w:val="20"/>
              </w:rPr>
              <w:t xml:space="preserve">Maintenance</w:t>
            </w:r>
          </w:p>
        </w:tc>
        <w:tc>
          <w:tcPr>
            <w:tcW w:type="dxa" w:w="2016"/>
            <w:vAlign w:val="center"/>
          </w:tcPr>
          <w:p>
            <w:pPr>
              <w:pStyle w:val="TableBody"/>
              <w:keepNext/>
              <w:jc w:val="center"/>
            </w:pPr>
            <w:r>
              <w:rPr>
                <w:b w:val="0"/>
                <w:sz w:val="20"/>
              </w:rPr>
              <w:t xml:space="preserve">0.9</w:t>
            </w:r>
          </w:p>
        </w:tc>
        <w:tc>
          <w:tcPr>
            <w:tcW w:type="dxa" w:w="2088"/>
            <w:vAlign w:val="center"/>
          </w:tcPr>
          <w:p>
            <w:pPr>
              <w:pStyle w:val="TableBody"/>
              <w:keepNext/>
              <w:jc w:val="center"/>
            </w:pPr>
            <w:r>
              <w:rPr>
                <w:b w:val="0"/>
                <w:sz w:val="20"/>
              </w:rPr>
              <w:t xml:space="preserve">4.3</w:t>
            </w:r>
          </w:p>
        </w:tc>
        <w:tc>
          <w:tcPr>
            <w:tcW w:type="dxa" w:w="2592"/>
            <w:vAlign w:val="center"/>
          </w:tcPr>
          <w:p>
            <w:pPr>
              <w:pStyle w:val="TableBody"/>
              <w:keepNext/>
              <w:jc w:val="center"/>
            </w:pPr>
            <w:r>
              <w:rPr>
                <w:b w:val="0"/>
                <w:sz w:val="20"/>
              </w:rPr>
              <w:t xml:space="preserve">0.78</w:t>
            </w:r>
          </w:p>
        </w:tc>
      </w:tr>
      <w:tr>
        <w:trPr>
          <w:cantSplit/>
        </w:trPr>
        <w:tc>
          <w:tcPr>
            <w:tcW w:type="dxa" w:w="3096"/>
            <w:vAlign w:val="center"/>
          </w:tcPr>
          <w:p>
            <w:pPr>
              <w:pStyle w:val="TableBody"/>
              <w:keepNext/>
              <w:jc w:val="left"/>
            </w:pPr>
            <w:r>
              <w:rPr>
                <w:b w:val="0"/>
                <w:sz w:val="20"/>
              </w:rPr>
              <w:t xml:space="preserve">Materials</w:t>
            </w:r>
          </w:p>
        </w:tc>
        <w:tc>
          <w:tcPr>
            <w:tcW w:type="dxa" w:w="2016"/>
            <w:vAlign w:val="center"/>
          </w:tcPr>
          <w:p>
            <w:pPr>
              <w:pStyle w:val="TableBody"/>
              <w:keepNext/>
              <w:jc w:val="center"/>
            </w:pPr>
            <w:r>
              <w:rPr>
                <w:b w:val="0"/>
                <w:sz w:val="20"/>
              </w:rPr>
              <w:t xml:space="preserve">0.8</w:t>
            </w:r>
          </w:p>
        </w:tc>
        <w:tc>
          <w:tcPr>
            <w:tcW w:type="dxa" w:w="2088"/>
            <w:vAlign w:val="center"/>
          </w:tcPr>
          <w:p>
            <w:pPr>
              <w:pStyle w:val="TableBody"/>
              <w:keepNext/>
              <w:jc w:val="center"/>
            </w:pPr>
            <w:r>
              <w:rPr>
                <w:b w:val="0"/>
                <w:sz w:val="20"/>
              </w:rPr>
              <w:t xml:space="preserve">3.4</w:t>
            </w:r>
          </w:p>
        </w:tc>
        <w:tc>
          <w:tcPr>
            <w:tcW w:type="dxa" w:w="2592"/>
            <w:vAlign w:val="center"/>
          </w:tcPr>
          <w:p>
            <w:pPr>
              <w:pStyle w:val="TableBody"/>
              <w:keepNext/>
              <w:jc w:val="center"/>
            </w:pPr>
            <w:r>
              <w:rPr>
                <w:b w:val="0"/>
                <w:sz w:val="20"/>
              </w:rPr>
              <w:t xml:space="preserve">0.65</w:t>
            </w:r>
          </w:p>
        </w:tc>
      </w:tr>
      <w:tr>
        <w:trPr>
          <w:cantSplit/>
        </w:trPr>
        <w:tc>
          <w:tcPr>
            <w:tcW w:type="dxa" w:w="3096"/>
            <w:vAlign w:val="center"/>
          </w:tcPr>
          <w:p>
            <w:pPr>
              <w:pStyle w:val="TableBody"/>
              <w:keepNext/>
              <w:jc w:val="left"/>
            </w:pPr>
            <w:r>
              <w:rPr>
                <w:b w:val="0"/>
                <w:sz w:val="20"/>
              </w:rPr>
              <w:t xml:space="preserve">Scheduling</w:t>
            </w:r>
          </w:p>
        </w:tc>
        <w:tc>
          <w:tcPr>
            <w:tcW w:type="dxa" w:w="2016"/>
            <w:vAlign w:val="center"/>
          </w:tcPr>
          <w:p>
            <w:pPr>
              <w:pStyle w:val="TableBody"/>
              <w:keepNext/>
              <w:jc w:val="center"/>
            </w:pPr>
            <w:r>
              <w:rPr>
                <w:b w:val="0"/>
                <w:sz w:val="20"/>
              </w:rPr>
              <w:t xml:space="preserve">0.9</w:t>
            </w:r>
          </w:p>
        </w:tc>
        <w:tc>
          <w:tcPr>
            <w:tcW w:type="dxa" w:w="2088"/>
            <w:vAlign w:val="center"/>
          </w:tcPr>
          <w:p>
            <w:pPr>
              <w:pStyle w:val="TableBody"/>
              <w:keepNext/>
              <w:jc w:val="center"/>
            </w:pPr>
            <w:r>
              <w:rPr>
                <w:b w:val="0"/>
                <w:sz w:val="20"/>
              </w:rPr>
              <w:t xml:space="preserve">2.9</w:t>
            </w:r>
          </w:p>
        </w:tc>
        <w:tc>
          <w:tcPr>
            <w:tcW w:type="dxa" w:w="2592"/>
            <w:vAlign w:val="center"/>
          </w:tcPr>
          <w:p>
            <w:pPr>
              <w:pStyle w:val="TableBody"/>
              <w:keepNext/>
              <w:jc w:val="center"/>
            </w:pPr>
            <w:r>
              <w:rPr>
                <w:b w:val="0"/>
                <w:sz w:val="20"/>
              </w:rPr>
              <w:t xml:space="preserve">0.70</w:t>
            </w:r>
          </w:p>
        </w:tc>
      </w:tr>
      <w:tr>
        <w:trPr>
          <w:cantSplit/>
        </w:trPr>
        <w:tc>
          <w:tcPr>
            <w:tcW w:type="dxa" w:w="3096"/>
            <w:vAlign w:val="center"/>
          </w:tcPr>
          <w:p>
            <w:pPr>
              <w:pStyle w:val="TableBody"/>
              <w:keepNext w:val="0"/>
              <w:jc w:val="left"/>
            </w:pPr>
            <w:r>
              <w:rPr>
                <w:b w:val="0"/>
                <w:sz w:val="20"/>
              </w:rPr>
              <w:t xml:space="preserve">Assembly</w:t>
            </w:r>
          </w:p>
        </w:tc>
        <w:tc>
          <w:tcPr>
            <w:tcW w:type="dxa" w:w="2016"/>
            <w:vAlign w:val="center"/>
          </w:tcPr>
          <w:p>
            <w:pPr>
              <w:pStyle w:val="TableBody"/>
              <w:keepNext w:val="0"/>
              <w:jc w:val="center"/>
            </w:pPr>
            <w:r>
              <w:rPr>
                <w:b w:val="0"/>
                <w:sz w:val="20"/>
              </w:rPr>
              <w:t xml:space="preserve">1.3</w:t>
            </w:r>
          </w:p>
        </w:tc>
        <w:tc>
          <w:tcPr>
            <w:tcW w:type="dxa" w:w="2088"/>
            <w:vAlign w:val="center"/>
          </w:tcPr>
          <w:p>
            <w:pPr>
              <w:pStyle w:val="TableBody"/>
              <w:keepNext w:val="0"/>
              <w:jc w:val="center"/>
            </w:pPr>
            <w:r>
              <w:rPr>
                <w:b w:val="0"/>
                <w:sz w:val="20"/>
              </w:rPr>
              <w:t xml:space="preserve">5.1</w:t>
            </w:r>
          </w:p>
        </w:tc>
        <w:tc>
          <w:tcPr>
            <w:tcW w:type="dxa" w:w="2592"/>
            <w:vAlign w:val="center"/>
          </w:tcPr>
          <w:p>
            <w:pPr>
              <w:pStyle w:val="TableBody"/>
              <w:keepNext w:val="0"/>
              <w:jc w:val="center"/>
            </w:pPr>
            <w:r>
              <w:rPr>
                <w:b w:val="0"/>
                <w:sz w:val="20"/>
              </w:rPr>
              <w:t xml:space="preserve">0.88</w:t>
            </w:r>
          </w:p>
        </w:tc>
      </w:tr>
    </w:tbl>
    <w:p>
      <w:pPr>
        <w:pStyle w:val="BodyText"/>
        <w:spacing w:before="120"/>
      </w:pPr>
      <w:r>
        <w:t xml:space="preserve">The three pairs within</w:t>
      </w:r>
      <w:r>
        <w:t xml:space="preserve"> </w:t>
      </w:r>
      <m:oMath>
        <m:r>
          <m:rPr>
            <m:sty m:val="p"/>
          </m:rPr>
          <m:t>{</m:t>
        </m:r>
        <m:r>
          <m:rPr>
            <m:nor/>
            <m:sty m:val="p"/>
          </m:rPr>
          <m:t>telemetry</m:t>
        </m:r>
        <m:r>
          <m:rPr>
            <m:sty m:val="p"/>
          </m:rPr>
          <m:t>,</m:t>
        </m:r>
        <m:r>
          <m:rPr>
            <m:nor/>
            <m:sty m:val="p"/>
          </m:rPr>
          <m:t>quality</m:t>
        </m:r>
        <m:r>
          <m:rPr>
            <m:sty m:val="p"/>
          </m:rPr>
          <m:t>,</m:t>
        </m:r>
        <m:r>
          <m:rPr>
            <m:nor/>
            <m:sty m:val="p"/>
          </m:rPr>
          <m:t>maintenance</m:t>
        </m:r>
        <m:r>
          <m:rPr>
            <m:sty m:val="p"/>
          </m:rPr>
          <m:t>}</m:t>
        </m:r>
      </m:oMath>
      <w:r>
        <w:t xml:space="preserve">, and the scheduling–assembly pair, have overlap 2.0. Every other overlap is zero. These values and Table 1 specify every pair cost through (3).</w:t>
      </w:r>
    </w:p>
    <w:p>
      <w:pPr>
        <w:pStyle w:val="BodyText"/>
        <w:keepNext/>
      </w:pPr>
      <w:r>
        <w:t xml:space="preserve">For example, quality and maintenance together cost</w:t>
      </w:r>
    </w:p>
    <w:p>
      <w:pPr>
        <w:pStyle w:val="Equation"/>
        <w:jc w:val="center"/>
      </w:pPr>
      <m:oMathPara>
        <m:oMathParaPr>
          <m:jc m:val="center"/>
        </m:oMathParaPr>
        <m:oMath>
          <m:r>
            <m:t>4.7</m:t>
          </m:r>
          <m:r>
            <m:rPr>
              <m:sty m:val="p"/>
            </m:rPr>
            <m:t>+</m:t>
          </m:r>
          <m:r>
            <m:t>4.3</m:t>
          </m:r>
          <m:r>
            <m:rPr>
              <m:sty m:val="p"/>
            </m:rPr>
            <m:t>−</m:t>
          </m:r>
          <m:r>
            <m:t>2.0</m:t>
          </m:r>
          <m:r>
            <m:rPr>
              <m:sty m:val="p"/>
            </m:rPr>
            <m:t>=</m:t>
          </m:r>
          <m:r>
            <m:t>7.0</m:t>
          </m:r>
          <m:r>
            <m:rPr>
              <m:sty m:val="p"/>
            </m:rPr>
            <m:t>.</m:t>
          </m:r>
        </m:oMath>
      </m:oMathPara>
    </w:p>
    <w:p>
      <w:pPr>
        <w:pStyle w:val="FirstParagraph"/>
      </w:pPr>
      <w:r>
        <w:t xml:space="preserve">Adding telemetry costs</w:t>
      </w:r>
      <w:r>
        <w:t xml:space="preserve"> </w:t>
      </w:r>
      <m:oMath>
        <m:r>
          <m:t>3.0</m:t>
        </m:r>
        <m:r>
          <m:rPr>
            <m:sty m:val="p"/>
          </m:rPr>
          <m:t>−</m:t>
        </m:r>
        <m:r>
          <m:t>2.0</m:t>
        </m:r>
        <m:r>
          <m:rPr>
            <m:sty m:val="p"/>
          </m:rPr>
          <m:t>=</m:t>
        </m:r>
        <m:r>
          <m:t>1.0</m:t>
        </m:r>
      </m:oMath>
      <w:r>
        <w:t xml:space="preserve">, giving a three-source total of 8.0. Acquiring all six sources costs 17.4; the sum of standalone costs is 23.4. This difference follows from the assumed accounting rule and is not an empirical manufacturing saving.</w:t>
      </w:r>
    </w:p>
    <w:p>
      <w:pPr>
        <w:pStyle w:val="BodyText"/>
      </w:pPr>
      <w:r>
        <w:t xml:space="preserve">Let</w:t>
      </w:r>
      <w:r>
        <w:t xml:space="preserve"> </w:t>
      </w:r>
      <m:oMath>
        <m:r>
          <m:t>X</m:t>
        </m:r>
        <m:r>
          <m:rPr>
            <m:sty m:val="p"/>
          </m:rPr>
          <m:t>∈</m:t>
        </m:r>
        <m:r>
          <m:rPr>
            <m:sty m:val="p"/>
          </m:rPr>
          <m:t>{</m:t>
        </m:r>
        <m:r>
          <m:t>0</m:t>
        </m:r>
        <m:r>
          <m:rPr>
            <m:sty m:val="p"/>
          </m:rPr>
          <m:t>,</m:t>
        </m:r>
        <m:r>
          <m:t>1</m:t>
        </m:r>
        <m:r>
          <m:rPr>
            <m:sty m:val="p"/>
          </m:rPr>
          <m:t>}</m:t>
        </m:r>
      </m:oMath>
      <w:r>
        <w:t xml:space="preserve"> </w:t>
      </w:r>
      <w:r>
        <w:t xml:space="preserve">have prior probability</w:t>
      </w:r>
      <w:r>
        <w:t xml:space="preserve"> </w:t>
      </w:r>
      <m:oMath>
        <m:r>
          <m:t>1</m:t>
        </m:r>
        <m:r>
          <m:rPr>
            <m:sty m:val="p"/>
          </m:rPr>
          <m:t>/</m:t>
        </m:r>
        <m:r>
          <m:t>2</m:t>
        </m:r>
      </m:oMath>
      <w:r>
        <w:t xml:space="preserve">. Each source is a binary symmetric channel with the accuracy in Table 1, independently conditional on</w:t>
      </w:r>
      <w:r>
        <w:t xml:space="preserve"> </w:t>
      </w:r>
      <m:oMath>
        <m:r>
          <m:t>X</m:t>
        </m:r>
      </m:oMath>
      <w:r>
        <w:t xml:space="preserve">. The final loss is diagnostic misclassification, and at most four sources may be queried.</w:t>
      </w:r>
    </w:p>
    <w:p>
      <w:pPr>
        <w:pStyle w:val="BodyText"/>
        <w:keepNext/>
      </w:pPr>
      <w:r>
        <w:t xml:space="preserve">We compare the Bellman-optimal policy with a myopic policy minimizing, at each history,</w:t>
      </w:r>
    </w:p>
    <w:p>
      <w:pPr>
        <w:pStyle w:val="Equation"/>
        <w:tabs>
          <w:tab w:pos="4680" w:val="center"/>
          <w:tab w:pos="9792" w:val="right"/>
        </w:tabs>
        <w:jc w:val="left"/>
      </w:pPr>
      <w:r>
        <w:tab/>
      </w:r>
      <m:oMath>
        <m:eqArr>
          <m:eqArrPr>
            <m:baseJc m:val="center"/>
          </m:eqArrPr>
          <m:e>
            <m:r>
              <m:rPr>
                <m:sty m:val="p"/>
                <m:nor/>
              </m:rPr>
              <m:t>min</m:t>
            </m:r>
            <m:r>
              <m:rPr>
                <m:sty m:val="p"/>
              </m:rPr>
              <m:t>{</m:t>
            </m:r>
            <m:r>
              <m:t>r</m:t>
            </m:r>
            <m:d>
              <m:dPr>
                <m:begChr m:val="("/>
                <m:endChr m:val=")"/>
                <m:sepChr m:val=""/>
                <m:grow/>
              </m:dPr>
              <m:e>
                <m:r>
                  <m:t>p</m:t>
                </m:r>
              </m:e>
            </m:d>
            <m:r>
              <m:rPr>
                <m:sty m:val="p"/>
              </m:rPr>
              <m:t>,</m:t>
            </m:r>
            <m:r>
              <m:t> </m:t>
            </m:r>
            <m:limLow>
              <m:e>
                <m:r>
                  <m:rPr>
                    <m:sty m:val="p"/>
                    <m:nor/>
                  </m:rPr>
                  <m:t>min</m:t>
                </m:r>
              </m:e>
              <m:lim>
                <m:r>
                  <m:t>i</m:t>
                </m:r>
                <m:r>
                  <m:rPr>
                    <m:sty m:val="p"/>
                  </m:rPr>
                  <m:t>∉</m:t>
                </m:r>
                <m:r>
                  <m:t>A</m:t>
                </m:r>
              </m:lim>
            </m:limLow>
            <m:r>
              <m:rPr>
                <m:sty m:val="p"/>
              </m:rPr>
              <m:t>[</m:t>
            </m:r>
            <m:r>
              <m:t>λ</m:t>
            </m:r>
            <m:d>
              <m:dPr>
                <m:begChr m:val="("/>
                <m:endChr m:val=")"/>
                <m:sepChr m:val=""/>
                <m:grow/>
              </m:dPr>
              <m:e>
                <m:r>
                  <m:t>F</m:t>
                </m:r>
                <m:d>
                  <m:dPr>
                    <m:begChr m:val="("/>
                    <m:endChr m:val=")"/>
                    <m:sepChr m:val=""/>
                    <m:grow/>
                  </m:dPr>
                  <m:e>
                    <m:r>
                      <m:t>A</m:t>
                    </m:r>
                    <m:r>
                      <m:rPr>
                        <m:sty m:val="p"/>
                      </m:rPr>
                      <m:t>∪</m:t>
                    </m:r>
                    <m:r>
                      <m:rPr>
                        <m:sty m:val="p"/>
                      </m:rPr>
                      <m:t>{</m:t>
                    </m:r>
                    <m:r>
                      <m:t>i</m:t>
                    </m:r>
                    <m:r>
                      <m:rPr>
                        <m:sty m:val="p"/>
                      </m:rPr>
                      <m:t>}</m:t>
                    </m:r>
                  </m:e>
                </m:d>
                <m:r>
                  <m:rPr>
                    <m:sty m:val="p"/>
                  </m:rPr>
                  <m:t>−</m:t>
                </m:r>
                <m:r>
                  <m:t>F</m:t>
                </m:r>
                <m:d>
                  <m:dPr>
                    <m:begChr m:val="("/>
                    <m:endChr m:val=")"/>
                    <m:sepChr m:val=""/>
                    <m:grow/>
                  </m:dPr>
                  <m:e>
                    <m:r>
                      <m:t>A</m:t>
                    </m:r>
                  </m:e>
                </m:d>
              </m:e>
            </m:d>
          </m:e>
          <m:e>
            <m:r>
              <m:rPr>
                <m:sty m:val="p"/>
              </m:rPr>
              <m:t>+</m:t>
            </m:r>
            <m:nary>
              <m:naryPr>
                <m:chr m:val="∑"/>
                <m:limLoc m:val="undOvr"/>
                <m:subHide m:val="off"/>
                <m:supHide m:val="on"/>
              </m:naryPr>
              <m:sub>
                <m:r>
                  <m:t>y</m:t>
                </m:r>
              </m:sub>
              <m:sup>
                <m:r>
                  <m:t>​</m:t>
                </m:r>
              </m:sup>
              <m:e>
                <m:sSub>
                  <m:e>
                    <m:r>
                      <m:t>q</m:t>
                    </m:r>
                  </m:e>
                  <m:sub>
                    <m:r>
                      <m:t>i</m:t>
                    </m:r>
                  </m:sub>
                </m:sSub>
              </m:e>
            </m:nary>
            <m:d>
              <m:dPr>
                <m:begChr m:val="("/>
                <m:endChr m:val=")"/>
                <m:sepChr m:val=""/>
                <m:grow/>
              </m:dPr>
              <m:e>
                <m:r>
                  <m:t>y</m:t>
                </m:r>
                <m:r>
                  <m:rPr>
                    <m:sty m:val="p"/>
                  </m:rPr>
                  <m:t>∣</m:t>
                </m:r>
                <m:r>
                  <m:t>p</m:t>
                </m:r>
              </m:e>
            </m:d>
            <m:r>
              <m:t>r</m:t>
            </m:r>
            <m:d>
              <m:dPr>
                <m:begChr m:val="("/>
                <m:endChr m:val=")"/>
                <m:sepChr m:val=""/>
                <m:grow/>
              </m:dPr>
              <m:e>
                <m:sSub>
                  <m:e>
                    <m:r>
                      <m:t>T</m:t>
                    </m:r>
                  </m:e>
                  <m:sub>
                    <m:r>
                      <m:t>i</m:t>
                    </m:r>
                  </m:sub>
                </m:sSub>
                <m:d>
                  <m:dPr>
                    <m:begChr m:val="("/>
                    <m:endChr m:val=")"/>
                    <m:sepChr m:val=""/>
                    <m:grow/>
                  </m:dPr>
                  <m:e>
                    <m:r>
                      <m:t>p</m:t>
                    </m:r>
                    <m:r>
                      <m:rPr>
                        <m:sty m:val="p"/>
                      </m:rPr>
                      <m:t>,</m:t>
                    </m:r>
                    <m:r>
                      <m:t>y</m:t>
                    </m:r>
                  </m:e>
                </m:d>
              </m:e>
            </m:d>
            <m:r>
              <m:rPr>
                <m:sty m:val="p"/>
              </m:rPr>
              <m:t>]</m:t>
            </m:r>
            <m:r>
              <m:rPr>
                <m:sty m:val="p"/>
              </m:rPr>
              <m:t>}</m:t>
            </m:r>
            <m:r>
              <m:rPr>
                <m:sty m:val="p"/>
              </m:rPr>
              <m:t>.</m:t>
            </m:r>
          </m:e>
        </m:eqArr>
      </m:oMath>
      <w:r>
        <w:tab/>
        <w:t>(35)</w:t>
      </w:r>
    </w:p>
    <w:p>
      <w:pPr>
        <w:pStyle w:val="BodyText"/>
      </w:pPr>
      <w:r>
        <w:t xml:space="preserve">The myopic policy repeats this rule after each observation. Ties favor stopping, then the earliest source in Table 1.</w:t>
      </w:r>
    </w:p>
    <w:bookmarkEnd w:id="48"/>
    <w:bookmarkStart w:id="49" w:name="exact-results"/>
    <w:p>
      <w:pPr>
        <w:pStyle w:val="Heading2"/>
      </w:pPr>
      <w:r>
        <w:t xml:space="preserve">6.2. Exact results</w:t>
      </w:r>
    </w:p>
    <w:p>
      <w:pPr>
        <w:pStyle w:val="FirstParagraph"/>
        <w:keepNext/>
        <w:spacing w:before="140" w:after="100"/>
      </w:pPr>
      <w:r>
        <w:rPr>
          <w:bCs/>
          <w:b/>
        </w:rPr>
        <w:t xml:space="preserve">Table 2. Exact policy expectations for the synthetic instance.</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864"/>
        <w:gridCol w:w="1224"/>
        <w:gridCol w:w="1872"/>
        <w:gridCol w:w="1872"/>
        <w:gridCol w:w="1872"/>
        <w:gridCol w:w="2088"/>
      </w:tblGrid>
      <w:tr>
        <w:trPr>
          <w:tblHeader w:val="true"/>
          <w:cantSplit/>
          <w:tblHeader/>
        </w:trPr>
        <w:tc>
          <w:tcPr>
            <w:tcW w:type="dxa" w:w="864"/>
            <w:vAlign w:val="center"/>
            <w:shd w:fill="E9ECEF"/>
          </w:tcPr>
          <w:p>
            <w:pPr>
              <w:pStyle w:val="TableBody"/>
              <w:keepNext/>
              <w:jc w:val="center"/>
            </w:pPr>
            <m:oMath>
              <m:r>
                <m:t>λ</m:t>
              </m:r>
            </m:oMath>
          </w:p>
        </w:tc>
        <w:tc>
          <w:tcPr>
            <w:tcW w:type="dxa" w:w="1224"/>
            <w:vAlign w:val="center"/>
            <w:shd w:fill="E9ECEF"/>
          </w:tcPr>
          <w:p>
            <w:pPr>
              <w:pStyle w:val="TableBody"/>
              <w:keepNext/>
              <w:jc w:val="left"/>
            </w:pPr>
            <w:r>
              <w:rPr>
                <w:b/>
                <w:sz w:val="20"/>
              </w:rPr>
              <w:t xml:space="preserve">Policy</w:t>
            </w:r>
          </w:p>
        </w:tc>
        <w:tc>
          <w:tcPr>
            <w:tcW w:type="dxa" w:w="1872"/>
            <w:vAlign w:val="center"/>
            <w:shd w:fill="E9ECEF"/>
          </w:tcPr>
          <w:p>
            <w:pPr>
              <w:pStyle w:val="TableBody"/>
              <w:keepNext/>
              <w:jc w:val="center"/>
            </w:pPr>
            <w:r>
              <w:rPr>
                <w:b/>
                <w:sz w:val="20"/>
              </w:rPr>
              <w:t xml:space="preserve">Error probability</w:t>
            </w:r>
          </w:p>
        </w:tc>
        <w:tc>
          <w:tcPr>
            <w:tcW w:type="dxa" w:w="1872"/>
            <w:vAlign w:val="center"/>
            <w:shd w:fill="E9ECEF"/>
          </w:tcPr>
          <w:p>
            <w:pPr>
              <w:pStyle w:val="TableBody"/>
              <w:keepNext/>
              <w:jc w:val="center"/>
            </w:pPr>
            <w:r>
              <w:rPr>
                <w:b/>
                <w:sz w:val="20"/>
              </w:rPr>
              <w:t xml:space="preserve">Expected cost</w:t>
            </w:r>
          </w:p>
        </w:tc>
        <w:tc>
          <w:tcPr>
            <w:tcW w:type="dxa" w:w="1872"/>
            <w:vAlign w:val="center"/>
            <w:shd w:fill="E9ECEF"/>
          </w:tcPr>
          <w:p>
            <w:pPr>
              <w:pStyle w:val="TableBody"/>
              <w:keepNext/>
              <w:jc w:val="center"/>
            </w:pPr>
            <w:r>
              <w:rPr>
                <w:b/>
                <w:sz w:val="20"/>
              </w:rPr>
              <w:t xml:space="preserve">Expected calls</w:t>
            </w:r>
          </w:p>
        </w:tc>
        <w:tc>
          <w:tcPr>
            <w:tcW w:type="dxa" w:w="2088"/>
            <w:vAlign w:val="center"/>
            <w:shd w:fill="E9ECEF"/>
          </w:tcPr>
          <w:p>
            <w:pPr>
              <w:pStyle w:val="TableBody"/>
              <w:keepNext/>
              <w:jc w:val="center"/>
            </w:pPr>
            <w:r>
              <w:rPr>
                <w:b/>
                <w:sz w:val="20"/>
              </w:rPr>
              <w:t xml:space="preserve">Objective</w:t>
            </w:r>
          </w:p>
        </w:tc>
      </w:tr>
      <w:tr>
        <w:trPr>
          <w:cantSplit/>
        </w:trPr>
        <w:tc>
          <w:tcPr>
            <w:tcW w:type="dxa" w:w="864"/>
            <w:vAlign w:val="center"/>
          </w:tcPr>
          <w:p>
            <w:pPr>
              <w:pStyle w:val="TableBody"/>
              <w:keepNext/>
              <w:jc w:val="center"/>
            </w:pPr>
            <w:r>
              <w:rPr>
                <w:b w:val="0"/>
                <w:sz w:val="20"/>
              </w:rPr>
              <w:t xml:space="preserve">0.005</w:t>
            </w:r>
          </w:p>
        </w:tc>
        <w:tc>
          <w:tcPr>
            <w:tcW w:type="dxa" w:w="1224"/>
            <w:vAlign w:val="center"/>
          </w:tcPr>
          <w:p>
            <w:pPr>
              <w:pStyle w:val="TableBody"/>
              <w:keepNext/>
              <w:jc w:val="left"/>
            </w:pPr>
            <w:r>
              <w:rPr>
                <w:b w:val="0"/>
                <w:sz w:val="20"/>
              </w:rPr>
              <w:t xml:space="preserve">Optimal</w:t>
            </w:r>
          </w:p>
        </w:tc>
        <w:tc>
          <w:tcPr>
            <w:tcW w:type="dxa" w:w="1872"/>
            <w:vAlign w:val="center"/>
          </w:tcPr>
          <w:p>
            <w:pPr>
              <w:pStyle w:val="TableBody"/>
              <w:keepNext/>
              <w:jc w:val="center"/>
            </w:pPr>
            <w:r>
              <w:rPr>
                <w:b w:val="0"/>
                <w:sz w:val="20"/>
              </w:rPr>
              <w:t xml:space="preserve">0.0792</w:t>
            </w:r>
          </w:p>
        </w:tc>
        <w:tc>
          <w:tcPr>
            <w:tcW w:type="dxa" w:w="1872"/>
            <w:vAlign w:val="center"/>
          </w:tcPr>
          <w:p>
            <w:pPr>
              <w:pStyle w:val="TableBody"/>
              <w:keepNext/>
              <w:jc w:val="center"/>
            </w:pPr>
            <w:r>
              <w:rPr>
                <w:b w:val="0"/>
                <w:sz w:val="20"/>
              </w:rPr>
              <w:t xml:space="preserve">7.83012</w:t>
            </w:r>
          </w:p>
        </w:tc>
        <w:tc>
          <w:tcPr>
            <w:tcW w:type="dxa" w:w="1872"/>
            <w:vAlign w:val="center"/>
          </w:tcPr>
          <w:p>
            <w:pPr>
              <w:pStyle w:val="TableBody"/>
              <w:keepNext/>
              <w:jc w:val="center"/>
            </w:pPr>
            <w:r>
              <w:rPr>
                <w:b w:val="0"/>
                <w:sz w:val="20"/>
              </w:rPr>
              <w:t xml:space="preserve">2.4716</w:t>
            </w:r>
          </w:p>
        </w:tc>
        <w:tc>
          <w:tcPr>
            <w:tcW w:type="dxa" w:w="2088"/>
            <w:vAlign w:val="center"/>
          </w:tcPr>
          <w:p>
            <w:pPr>
              <w:pStyle w:val="TableBody"/>
              <w:keepNext/>
              <w:jc w:val="center"/>
            </w:pPr>
            <w:r>
              <w:rPr>
                <w:b w:val="0"/>
                <w:sz w:val="20"/>
              </w:rPr>
              <w:t xml:space="preserve">0.1183506</w:t>
            </w:r>
          </w:p>
        </w:tc>
      </w:tr>
      <w:tr>
        <w:trPr>
          <w:cantSplit/>
        </w:trPr>
        <w:tc>
          <w:tcPr>
            <w:tcW w:type="dxa" w:w="864"/>
            <w:vAlign w:val="center"/>
          </w:tcPr>
          <w:p>
            <w:pPr>
              <w:pStyle w:val="TableBody"/>
              <w:keepNext/>
              <w:jc w:val="center"/>
            </w:pPr>
            <w:r>
              <w:rPr>
                <w:b w:val="0"/>
                <w:sz w:val="20"/>
              </w:rPr>
              <w:t xml:space="preserve">0.005</w:t>
            </w:r>
          </w:p>
        </w:tc>
        <w:tc>
          <w:tcPr>
            <w:tcW w:type="dxa" w:w="1224"/>
            <w:vAlign w:val="center"/>
          </w:tcPr>
          <w:p>
            <w:pPr>
              <w:pStyle w:val="TableBody"/>
              <w:keepNext/>
              <w:jc w:val="left"/>
            </w:pPr>
            <w:r>
              <w:rPr>
                <w:b w:val="0"/>
                <w:sz w:val="20"/>
              </w:rPr>
              <w:t xml:space="preserve">Myopic</w:t>
            </w:r>
          </w:p>
        </w:tc>
        <w:tc>
          <w:tcPr>
            <w:tcW w:type="dxa" w:w="1872"/>
            <w:vAlign w:val="center"/>
          </w:tcPr>
          <w:p>
            <w:pPr>
              <w:pStyle w:val="TableBody"/>
              <w:keepNext/>
              <w:jc w:val="center"/>
            </w:pPr>
            <w:r>
              <w:rPr>
                <w:b w:val="0"/>
                <w:sz w:val="20"/>
              </w:rPr>
              <w:t xml:space="preserve">0.1200</w:t>
            </w:r>
          </w:p>
        </w:tc>
        <w:tc>
          <w:tcPr>
            <w:tcW w:type="dxa" w:w="1872"/>
            <w:vAlign w:val="center"/>
          </w:tcPr>
          <w:p>
            <w:pPr>
              <w:pStyle w:val="TableBody"/>
              <w:keepNext/>
              <w:jc w:val="center"/>
            </w:pPr>
            <w:r>
              <w:rPr>
                <w:b w:val="0"/>
                <w:sz w:val="20"/>
              </w:rPr>
              <w:t xml:space="preserve">5.10000</w:t>
            </w:r>
          </w:p>
        </w:tc>
        <w:tc>
          <w:tcPr>
            <w:tcW w:type="dxa" w:w="1872"/>
            <w:vAlign w:val="center"/>
          </w:tcPr>
          <w:p>
            <w:pPr>
              <w:pStyle w:val="TableBody"/>
              <w:keepNext/>
              <w:jc w:val="center"/>
            </w:pPr>
            <w:r>
              <w:rPr>
                <w:b w:val="0"/>
                <w:sz w:val="20"/>
              </w:rPr>
              <w:t xml:space="preserve">1.0000</w:t>
            </w:r>
          </w:p>
        </w:tc>
        <w:tc>
          <w:tcPr>
            <w:tcW w:type="dxa" w:w="2088"/>
            <w:vAlign w:val="center"/>
          </w:tcPr>
          <w:p>
            <w:pPr>
              <w:pStyle w:val="TableBody"/>
              <w:keepNext/>
              <w:jc w:val="center"/>
            </w:pPr>
            <w:r>
              <w:rPr>
                <w:b w:val="0"/>
                <w:sz w:val="20"/>
              </w:rPr>
              <w:t xml:space="preserve">0.1455000</w:t>
            </w:r>
          </w:p>
        </w:tc>
      </w:tr>
      <w:tr>
        <w:trPr>
          <w:cantSplit/>
        </w:trPr>
        <w:tc>
          <w:tcPr>
            <w:tcW w:type="dxa" w:w="864"/>
            <w:vAlign w:val="center"/>
          </w:tcPr>
          <w:p>
            <w:pPr>
              <w:pStyle w:val="TableBody"/>
              <w:keepNext/>
              <w:jc w:val="center"/>
            </w:pPr>
            <w:r>
              <w:rPr>
                <w:b w:val="0"/>
                <w:sz w:val="20"/>
              </w:rPr>
              <w:t xml:space="preserve">0.010</w:t>
            </w:r>
          </w:p>
        </w:tc>
        <w:tc>
          <w:tcPr>
            <w:tcW w:type="dxa" w:w="1224"/>
            <w:vAlign w:val="center"/>
          </w:tcPr>
          <w:p>
            <w:pPr>
              <w:pStyle w:val="TableBody"/>
              <w:keepNext/>
              <w:jc w:val="left"/>
            </w:pPr>
            <w:r>
              <w:rPr>
                <w:b w:val="0"/>
                <w:sz w:val="20"/>
              </w:rPr>
              <w:t xml:space="preserve">Optimal</w:t>
            </w:r>
          </w:p>
        </w:tc>
        <w:tc>
          <w:tcPr>
            <w:tcW w:type="dxa" w:w="1872"/>
            <w:vAlign w:val="center"/>
          </w:tcPr>
          <w:p>
            <w:pPr>
              <w:pStyle w:val="TableBody"/>
              <w:keepNext/>
              <w:jc w:val="center"/>
            </w:pPr>
            <w:r>
              <w:rPr>
                <w:b w:val="0"/>
                <w:sz w:val="20"/>
              </w:rPr>
              <w:t xml:space="preserve">0.0828</w:t>
            </w:r>
          </w:p>
        </w:tc>
        <w:tc>
          <w:tcPr>
            <w:tcW w:type="dxa" w:w="1872"/>
            <w:vAlign w:val="center"/>
          </w:tcPr>
          <w:p>
            <w:pPr>
              <w:pStyle w:val="TableBody"/>
              <w:keepNext/>
              <w:jc w:val="center"/>
            </w:pPr>
            <w:r>
              <w:rPr>
                <w:b w:val="0"/>
                <w:sz w:val="20"/>
              </w:rPr>
              <w:t xml:space="preserve">7.39230</w:t>
            </w:r>
          </w:p>
        </w:tc>
        <w:tc>
          <w:tcPr>
            <w:tcW w:type="dxa" w:w="1872"/>
            <w:vAlign w:val="center"/>
          </w:tcPr>
          <w:p>
            <w:pPr>
              <w:pStyle w:val="TableBody"/>
              <w:keepNext/>
              <w:jc w:val="center"/>
            </w:pPr>
            <w:r>
              <w:rPr>
                <w:b w:val="0"/>
                <w:sz w:val="20"/>
              </w:rPr>
              <w:t xml:space="preserve">2.4770</w:t>
            </w:r>
          </w:p>
        </w:tc>
        <w:tc>
          <w:tcPr>
            <w:tcW w:type="dxa" w:w="2088"/>
            <w:vAlign w:val="center"/>
          </w:tcPr>
          <w:p>
            <w:pPr>
              <w:pStyle w:val="TableBody"/>
              <w:keepNext/>
              <w:jc w:val="center"/>
            </w:pPr>
            <w:r>
              <w:rPr>
                <w:b w:val="0"/>
                <w:sz w:val="20"/>
              </w:rPr>
              <w:t xml:space="preserve">0.1567230</w:t>
            </w:r>
          </w:p>
        </w:tc>
      </w:tr>
      <w:tr>
        <w:trPr>
          <w:cantSplit/>
        </w:trPr>
        <w:tc>
          <w:tcPr>
            <w:tcW w:type="dxa" w:w="864"/>
            <w:vAlign w:val="center"/>
          </w:tcPr>
          <w:p>
            <w:pPr>
              <w:pStyle w:val="TableBody"/>
              <w:keepNext/>
              <w:jc w:val="center"/>
            </w:pPr>
            <w:r>
              <w:rPr>
                <w:b w:val="0"/>
                <w:sz w:val="20"/>
              </w:rPr>
              <w:t xml:space="preserve">0.010</w:t>
            </w:r>
          </w:p>
        </w:tc>
        <w:tc>
          <w:tcPr>
            <w:tcW w:type="dxa" w:w="1224"/>
            <w:vAlign w:val="center"/>
          </w:tcPr>
          <w:p>
            <w:pPr>
              <w:pStyle w:val="TableBody"/>
              <w:keepNext/>
              <w:jc w:val="left"/>
            </w:pPr>
            <w:r>
              <w:rPr>
                <w:b w:val="0"/>
                <w:sz w:val="20"/>
              </w:rPr>
              <w:t xml:space="preserve">Myopic</w:t>
            </w:r>
          </w:p>
        </w:tc>
        <w:tc>
          <w:tcPr>
            <w:tcW w:type="dxa" w:w="1872"/>
            <w:vAlign w:val="center"/>
          </w:tcPr>
          <w:p>
            <w:pPr>
              <w:pStyle w:val="TableBody"/>
              <w:keepNext/>
              <w:jc w:val="center"/>
            </w:pPr>
            <w:r>
              <w:rPr>
                <w:b w:val="0"/>
                <w:sz w:val="20"/>
              </w:rPr>
              <w:t xml:space="preserve">0.1200</w:t>
            </w:r>
          </w:p>
        </w:tc>
        <w:tc>
          <w:tcPr>
            <w:tcW w:type="dxa" w:w="1872"/>
            <w:vAlign w:val="center"/>
          </w:tcPr>
          <w:p>
            <w:pPr>
              <w:pStyle w:val="TableBody"/>
              <w:keepNext/>
              <w:jc w:val="center"/>
            </w:pPr>
            <w:r>
              <w:rPr>
                <w:b w:val="0"/>
                <w:sz w:val="20"/>
              </w:rPr>
              <w:t xml:space="preserve">5.10000</w:t>
            </w:r>
          </w:p>
        </w:tc>
        <w:tc>
          <w:tcPr>
            <w:tcW w:type="dxa" w:w="1872"/>
            <w:vAlign w:val="center"/>
          </w:tcPr>
          <w:p>
            <w:pPr>
              <w:pStyle w:val="TableBody"/>
              <w:keepNext/>
              <w:jc w:val="center"/>
            </w:pPr>
            <w:r>
              <w:rPr>
                <w:b w:val="0"/>
                <w:sz w:val="20"/>
              </w:rPr>
              <w:t xml:space="preserve">1.0000</w:t>
            </w:r>
          </w:p>
        </w:tc>
        <w:tc>
          <w:tcPr>
            <w:tcW w:type="dxa" w:w="2088"/>
            <w:vAlign w:val="center"/>
          </w:tcPr>
          <w:p>
            <w:pPr>
              <w:pStyle w:val="TableBody"/>
              <w:keepNext/>
              <w:jc w:val="center"/>
            </w:pPr>
            <w:r>
              <w:rPr>
                <w:b w:val="0"/>
                <w:sz w:val="20"/>
              </w:rPr>
              <w:t xml:space="preserve">0.1710000</w:t>
            </w:r>
          </w:p>
        </w:tc>
      </w:tr>
      <w:tr>
        <w:trPr>
          <w:cantSplit/>
        </w:trPr>
        <w:tc>
          <w:tcPr>
            <w:tcW w:type="dxa" w:w="864"/>
            <w:vAlign w:val="center"/>
          </w:tcPr>
          <w:p>
            <w:pPr>
              <w:pStyle w:val="TableBody"/>
              <w:keepNext/>
              <w:jc w:val="center"/>
            </w:pPr>
            <w:r>
              <w:rPr>
                <w:b w:val="0"/>
                <w:sz w:val="20"/>
              </w:rPr>
              <w:t xml:space="preserve">0.020</w:t>
            </w:r>
          </w:p>
        </w:tc>
        <w:tc>
          <w:tcPr>
            <w:tcW w:type="dxa" w:w="1224"/>
            <w:vAlign w:val="center"/>
          </w:tcPr>
          <w:p>
            <w:pPr>
              <w:pStyle w:val="TableBody"/>
              <w:keepNext/>
              <w:jc w:val="left"/>
            </w:pPr>
            <w:r>
              <w:rPr>
                <w:b w:val="0"/>
                <w:sz w:val="20"/>
              </w:rPr>
              <w:t xml:space="preserve">Optimal</w:t>
            </w:r>
          </w:p>
        </w:tc>
        <w:tc>
          <w:tcPr>
            <w:tcW w:type="dxa" w:w="1872"/>
            <w:vAlign w:val="center"/>
          </w:tcPr>
          <w:p>
            <w:pPr>
              <w:pStyle w:val="TableBody"/>
              <w:keepNext/>
              <w:jc w:val="center"/>
            </w:pPr>
            <w:r>
              <w:rPr>
                <w:b w:val="0"/>
                <w:sz w:val="20"/>
              </w:rPr>
              <w:t xml:space="preserve">0.1200</w:t>
            </w:r>
          </w:p>
        </w:tc>
        <w:tc>
          <w:tcPr>
            <w:tcW w:type="dxa" w:w="1872"/>
            <w:vAlign w:val="center"/>
          </w:tcPr>
          <w:p>
            <w:pPr>
              <w:pStyle w:val="TableBody"/>
              <w:keepNext/>
              <w:jc w:val="center"/>
            </w:pPr>
            <w:r>
              <w:rPr>
                <w:b w:val="0"/>
                <w:sz w:val="20"/>
              </w:rPr>
              <w:t xml:space="preserve">5.10000</w:t>
            </w:r>
          </w:p>
        </w:tc>
        <w:tc>
          <w:tcPr>
            <w:tcW w:type="dxa" w:w="1872"/>
            <w:vAlign w:val="center"/>
          </w:tcPr>
          <w:p>
            <w:pPr>
              <w:pStyle w:val="TableBody"/>
              <w:keepNext/>
              <w:jc w:val="center"/>
            </w:pPr>
            <w:r>
              <w:rPr>
                <w:b w:val="0"/>
                <w:sz w:val="20"/>
              </w:rPr>
              <w:t xml:space="preserve">1.0000</w:t>
            </w:r>
          </w:p>
        </w:tc>
        <w:tc>
          <w:tcPr>
            <w:tcW w:type="dxa" w:w="2088"/>
            <w:vAlign w:val="center"/>
          </w:tcPr>
          <w:p>
            <w:pPr>
              <w:pStyle w:val="TableBody"/>
              <w:keepNext/>
              <w:jc w:val="center"/>
            </w:pPr>
            <w:r>
              <w:rPr>
                <w:b w:val="0"/>
                <w:sz w:val="20"/>
              </w:rPr>
              <w:t xml:space="preserve">0.2220000</w:t>
            </w:r>
          </w:p>
        </w:tc>
      </w:tr>
      <w:tr>
        <w:trPr>
          <w:cantSplit/>
        </w:trPr>
        <w:tc>
          <w:tcPr>
            <w:tcW w:type="dxa" w:w="864"/>
            <w:vAlign w:val="center"/>
          </w:tcPr>
          <w:p>
            <w:pPr>
              <w:pStyle w:val="TableBody"/>
              <w:keepNext/>
              <w:jc w:val="center"/>
            </w:pPr>
            <w:r>
              <w:rPr>
                <w:b w:val="0"/>
                <w:sz w:val="20"/>
              </w:rPr>
              <w:t xml:space="preserve">0.020</w:t>
            </w:r>
          </w:p>
        </w:tc>
        <w:tc>
          <w:tcPr>
            <w:tcW w:type="dxa" w:w="1224"/>
            <w:vAlign w:val="center"/>
          </w:tcPr>
          <w:p>
            <w:pPr>
              <w:pStyle w:val="TableBody"/>
              <w:keepNext/>
              <w:jc w:val="left"/>
            </w:pPr>
            <w:r>
              <w:rPr>
                <w:b w:val="0"/>
                <w:sz w:val="20"/>
              </w:rPr>
              <w:t xml:space="preserve">Myopic</w:t>
            </w:r>
          </w:p>
        </w:tc>
        <w:tc>
          <w:tcPr>
            <w:tcW w:type="dxa" w:w="1872"/>
            <w:vAlign w:val="center"/>
          </w:tcPr>
          <w:p>
            <w:pPr>
              <w:pStyle w:val="TableBody"/>
              <w:keepNext/>
              <w:jc w:val="center"/>
            </w:pPr>
            <w:r>
              <w:rPr>
                <w:b w:val="0"/>
                <w:sz w:val="20"/>
              </w:rPr>
              <w:t xml:space="preserve">0.1200</w:t>
            </w:r>
          </w:p>
        </w:tc>
        <w:tc>
          <w:tcPr>
            <w:tcW w:type="dxa" w:w="1872"/>
            <w:vAlign w:val="center"/>
          </w:tcPr>
          <w:p>
            <w:pPr>
              <w:pStyle w:val="TableBody"/>
              <w:keepNext/>
              <w:jc w:val="center"/>
            </w:pPr>
            <w:r>
              <w:rPr>
                <w:b w:val="0"/>
                <w:sz w:val="20"/>
              </w:rPr>
              <w:t xml:space="preserve">5.10000</w:t>
            </w:r>
          </w:p>
        </w:tc>
        <w:tc>
          <w:tcPr>
            <w:tcW w:type="dxa" w:w="1872"/>
            <w:vAlign w:val="center"/>
          </w:tcPr>
          <w:p>
            <w:pPr>
              <w:pStyle w:val="TableBody"/>
              <w:keepNext/>
              <w:jc w:val="center"/>
            </w:pPr>
            <w:r>
              <w:rPr>
                <w:b w:val="0"/>
                <w:sz w:val="20"/>
              </w:rPr>
              <w:t xml:space="preserve">1.0000</w:t>
            </w:r>
          </w:p>
        </w:tc>
        <w:tc>
          <w:tcPr>
            <w:tcW w:type="dxa" w:w="2088"/>
            <w:vAlign w:val="center"/>
          </w:tcPr>
          <w:p>
            <w:pPr>
              <w:pStyle w:val="TableBody"/>
              <w:keepNext/>
              <w:jc w:val="center"/>
            </w:pPr>
            <w:r>
              <w:rPr>
                <w:b w:val="0"/>
                <w:sz w:val="20"/>
              </w:rPr>
              <w:t xml:space="preserve">0.2220000</w:t>
            </w:r>
          </w:p>
        </w:tc>
      </w:tr>
      <w:tr>
        <w:trPr>
          <w:cantSplit/>
        </w:trPr>
        <w:tc>
          <w:tcPr>
            <w:tcW w:type="dxa" w:w="864"/>
            <w:vAlign w:val="center"/>
          </w:tcPr>
          <w:p>
            <w:pPr>
              <w:pStyle w:val="TableBody"/>
              <w:keepNext/>
              <w:jc w:val="center"/>
            </w:pPr>
            <w:r>
              <w:rPr>
                <w:b w:val="0"/>
                <w:sz w:val="20"/>
              </w:rPr>
              <w:t xml:space="preserve">0.040</w:t>
            </w:r>
          </w:p>
        </w:tc>
        <w:tc>
          <w:tcPr>
            <w:tcW w:type="dxa" w:w="1224"/>
            <w:vAlign w:val="center"/>
          </w:tcPr>
          <w:p>
            <w:pPr>
              <w:pStyle w:val="TableBody"/>
              <w:keepNext/>
              <w:jc w:val="left"/>
            </w:pPr>
            <w:r>
              <w:rPr>
                <w:b w:val="0"/>
                <w:sz w:val="20"/>
              </w:rPr>
              <w:t xml:space="preserve">Optimal</w:t>
            </w:r>
          </w:p>
        </w:tc>
        <w:tc>
          <w:tcPr>
            <w:tcW w:type="dxa" w:w="1872"/>
            <w:vAlign w:val="center"/>
          </w:tcPr>
          <w:p>
            <w:pPr>
              <w:pStyle w:val="TableBody"/>
              <w:keepNext/>
              <w:jc w:val="center"/>
            </w:pPr>
            <w:r>
              <w:rPr>
                <w:b w:val="0"/>
                <w:sz w:val="20"/>
              </w:rPr>
              <w:t xml:space="preserve">0.1200</w:t>
            </w:r>
          </w:p>
        </w:tc>
        <w:tc>
          <w:tcPr>
            <w:tcW w:type="dxa" w:w="1872"/>
            <w:vAlign w:val="center"/>
          </w:tcPr>
          <w:p>
            <w:pPr>
              <w:pStyle w:val="TableBody"/>
              <w:keepNext/>
              <w:jc w:val="center"/>
            </w:pPr>
            <w:r>
              <w:rPr>
                <w:b w:val="0"/>
                <w:sz w:val="20"/>
              </w:rPr>
              <w:t xml:space="preserve">5.10000</w:t>
            </w:r>
          </w:p>
        </w:tc>
        <w:tc>
          <w:tcPr>
            <w:tcW w:type="dxa" w:w="1872"/>
            <w:vAlign w:val="center"/>
          </w:tcPr>
          <w:p>
            <w:pPr>
              <w:pStyle w:val="TableBody"/>
              <w:keepNext/>
              <w:jc w:val="center"/>
            </w:pPr>
            <w:r>
              <w:rPr>
                <w:b w:val="0"/>
                <w:sz w:val="20"/>
              </w:rPr>
              <w:t xml:space="preserve">1.0000</w:t>
            </w:r>
          </w:p>
        </w:tc>
        <w:tc>
          <w:tcPr>
            <w:tcW w:type="dxa" w:w="2088"/>
            <w:vAlign w:val="center"/>
          </w:tcPr>
          <w:p>
            <w:pPr>
              <w:pStyle w:val="TableBody"/>
              <w:keepNext/>
              <w:jc w:val="center"/>
            </w:pPr>
            <w:r>
              <w:rPr>
                <w:b w:val="0"/>
                <w:sz w:val="20"/>
              </w:rPr>
              <w:t xml:space="preserve">0.3240000</w:t>
            </w:r>
          </w:p>
        </w:tc>
      </w:tr>
      <w:tr>
        <w:trPr>
          <w:cantSplit/>
        </w:trPr>
        <w:tc>
          <w:tcPr>
            <w:tcW w:type="dxa" w:w="864"/>
            <w:vAlign w:val="center"/>
          </w:tcPr>
          <w:p>
            <w:pPr>
              <w:pStyle w:val="TableBody"/>
              <w:keepNext w:val="0"/>
              <w:jc w:val="center"/>
            </w:pPr>
            <w:r>
              <w:rPr>
                <w:b w:val="0"/>
                <w:sz w:val="20"/>
              </w:rPr>
              <w:t xml:space="preserve">0.040</w:t>
            </w:r>
          </w:p>
        </w:tc>
        <w:tc>
          <w:tcPr>
            <w:tcW w:type="dxa" w:w="1224"/>
            <w:vAlign w:val="center"/>
          </w:tcPr>
          <w:p>
            <w:pPr>
              <w:pStyle w:val="TableBody"/>
              <w:keepNext w:val="0"/>
              <w:jc w:val="left"/>
            </w:pPr>
            <w:r>
              <w:rPr>
                <w:b w:val="0"/>
                <w:sz w:val="20"/>
              </w:rPr>
              <w:t xml:space="preserve">Myopic</w:t>
            </w:r>
          </w:p>
        </w:tc>
        <w:tc>
          <w:tcPr>
            <w:tcW w:type="dxa" w:w="1872"/>
            <w:vAlign w:val="center"/>
          </w:tcPr>
          <w:p>
            <w:pPr>
              <w:pStyle w:val="TableBody"/>
              <w:keepNext w:val="0"/>
              <w:jc w:val="center"/>
            </w:pPr>
            <w:r>
              <w:rPr>
                <w:b w:val="0"/>
                <w:sz w:val="20"/>
              </w:rPr>
              <w:t xml:space="preserve">0.1200</w:t>
            </w:r>
          </w:p>
        </w:tc>
        <w:tc>
          <w:tcPr>
            <w:tcW w:type="dxa" w:w="1872"/>
            <w:vAlign w:val="center"/>
          </w:tcPr>
          <w:p>
            <w:pPr>
              <w:pStyle w:val="TableBody"/>
              <w:keepNext w:val="0"/>
              <w:jc w:val="center"/>
            </w:pPr>
            <w:r>
              <w:rPr>
                <w:b w:val="0"/>
                <w:sz w:val="20"/>
              </w:rPr>
              <w:t xml:space="preserve">5.10000</w:t>
            </w:r>
          </w:p>
        </w:tc>
        <w:tc>
          <w:tcPr>
            <w:tcW w:type="dxa" w:w="1872"/>
            <w:vAlign w:val="center"/>
          </w:tcPr>
          <w:p>
            <w:pPr>
              <w:pStyle w:val="TableBody"/>
              <w:keepNext w:val="0"/>
              <w:jc w:val="center"/>
            </w:pPr>
            <w:r>
              <w:rPr>
                <w:b w:val="0"/>
                <w:sz w:val="20"/>
              </w:rPr>
              <w:t xml:space="preserve">1.0000</w:t>
            </w:r>
          </w:p>
        </w:tc>
        <w:tc>
          <w:tcPr>
            <w:tcW w:type="dxa" w:w="2088"/>
            <w:vAlign w:val="center"/>
          </w:tcPr>
          <w:p>
            <w:pPr>
              <w:pStyle w:val="TableBody"/>
              <w:keepNext w:val="0"/>
              <w:jc w:val="center"/>
            </w:pPr>
            <w:r>
              <w:rPr>
                <w:b w:val="0"/>
                <w:sz w:val="20"/>
              </w:rPr>
              <w:t xml:space="preserve">0.3240000</w:t>
            </w:r>
          </w:p>
        </w:tc>
      </w:tr>
    </w:tbl>
    <w:p>
      <w:pPr>
        <w:pStyle w:val="BodyText"/>
        <w:spacing w:before="120"/>
      </w:pPr>
      <w:r>
        <w:t xml:space="preserve">At the two smaller penalty weights, the optimal policy first queries scheduling, whereas the myopic policy queries assembly and stops. Although assembly has greater assumed standalone accuracy, planning ahead accounts for shared activation and subsequent evidence. At the larger penalty weights, both policies query assembly and stop. These results establish behavior only for the specified finite instance.</w:t>
      </w:r>
    </w:p>
    <w:p>
      <w:pPr>
        <w:pStyle w:val="BodyText"/>
      </w:pPr>
      <w:r>
        <w:t xml:space="preserve">For calibration tolerance</w:t>
      </w:r>
      <w:r>
        <w:t xml:space="preserve"> </w:t>
      </w:r>
      <m:oMath>
        <m:r>
          <m:t>ε</m:t>
        </m:r>
        <m:r>
          <m:rPr>
            <m:sty m:val="p"/>
          </m:rPr>
          <m:t>=</m:t>
        </m:r>
        <m:r>
          <m:t>0.05</m:t>
        </m:r>
      </m:oMath>
      <w:r>
        <w:t xml:space="preserve">, the four-call limit gives</w:t>
      </w:r>
      <w:r>
        <w:t xml:space="preserve"> </w:t>
      </w:r>
      <m:oMath>
        <m:sSub>
          <m:e>
            <m:r>
              <m:t>β</m:t>
            </m:r>
          </m:e>
          <m:sub>
            <m:r>
              <m:t>4</m:t>
            </m:r>
          </m:sub>
        </m:sSub>
        <m:r>
          <m:rPr>
            <m:sty m:val="p"/>
          </m:rPr>
          <m:t>=</m:t>
        </m:r>
        <m:r>
          <m:t>5</m:t>
        </m:r>
      </m:oMath>
      <w:r>
        <w:t xml:space="preserve">. At</w:t>
      </w:r>
      <w:r>
        <w:t xml:space="preserve"> </w:t>
      </w:r>
      <m:oMath>
        <m:r>
          <m:t>λ</m:t>
        </m:r>
        <m:r>
          <m:rPr>
            <m:sty m:val="p"/>
          </m:rPr>
          <m:t>=</m:t>
        </m:r>
        <m:r>
          <m:t>0.01</m:t>
        </m:r>
      </m:oMath>
      <w:r>
        <w:t xml:space="preserve">, Theorem 4.2 bounds the optimal-value error by 0.0025 and the excess objective of the measured-cost policy by 0.005. These are worst-case guarantees under the calibration assumption, rather than observed average errors.</w:t>
      </w:r>
    </w:p>
    <w:p>
      <w:pPr>
        <w:pStyle w:val="BodyText"/>
      </w:pPr>
      <w:r>
        <w:t xml:space="preserve">The accompanying Python implementation uses integers and fractions.Fraction, with no numerical dependencies. It reproduces the eight table rows using a fresh exact-arithmetic implementation of the dynamic program and a separate full-outcome replay routine. The Bellman calculation considered 473 partial observation assignments, equal to</w:t>
      </w:r>
    </w:p>
    <w:p>
      <w:pPr>
        <w:pStyle w:val="Equation"/>
        <w:jc w:val="center"/>
      </w:pPr>
      <m:oMathPara>
        <m:oMathParaPr>
          <m:jc m:val="center"/>
        </m:oMathParaPr>
        <m:oMath>
          <m:nary>
            <m:naryPr>
              <m:chr m:val="∑"/>
              <m:limLoc m:val="undOvr"/>
              <m:subHide m:val="off"/>
              <m:supHide m:val="off"/>
            </m:naryPr>
            <m:sub>
              <m:r>
                <m:t>m</m:t>
              </m:r>
              <m:r>
                <m:rPr>
                  <m:sty m:val="p"/>
                </m:rPr>
                <m:t>=</m:t>
              </m:r>
              <m:r>
                <m:t>0</m:t>
              </m:r>
            </m:sub>
            <m:sup>
              <m:r>
                <m:t>4</m:t>
              </m:r>
            </m:sup>
            <m:e>
              <m:d>
                <m:dPr>
                  <m:begChr m:val="("/>
                  <m:endChr m:val=")"/>
                  <m:sepChr m:val=""/>
                  <m:grow/>
                </m:dPr>
                <m:e>
                  <m:f>
                    <m:fPr>
                      <m:type m:val="noBar"/>
                    </m:fPr>
                    <m:num>
                      <m:r>
                        <m:t>6</m:t>
                      </m:r>
                    </m:num>
                    <m:den>
                      <m:r>
                        <m:t>m</m:t>
                      </m:r>
                    </m:den>
                  </m:f>
                </m:e>
              </m:d>
            </m:e>
          </m:nary>
          <m:sSup>
            <m:e>
              <m:r>
                <m:t>2</m:t>
              </m:r>
            </m:e>
            <m:sup>
              <m:r>
                <m:t>m</m:t>
              </m:r>
            </m:sup>
          </m:sSup>
          <m:r>
            <m:rPr>
              <m:sty m:val="p"/>
            </m:rPr>
            <m:t>.</m:t>
          </m:r>
        </m:oMath>
      </m:oMathPara>
    </w:p>
    <w:p>
      <w:pPr>
        <w:pStyle w:val="FirstParagraph"/>
        <w:keepNext/>
      </w:pPr>
      <w:r>
        <w:t xml:space="preserve">For each policy and penalty, its terminal decision, cost, and query count were independently evaluated by replaying all</w:t>
      </w:r>
    </w:p>
    <w:p>
      <w:pPr>
        <w:pStyle w:val="Equation"/>
        <w:jc w:val="center"/>
      </w:pPr>
      <m:oMathPara>
        <m:oMathParaPr>
          <m:jc m:val="center"/>
        </m:oMathParaPr>
        <m:oMath>
          <m:r>
            <m:t>2</m:t>
          </m:r>
          <m:r>
            <m:rPr>
              <m:sty m:val="p"/>
            </m:rPr>
            <m:t>×</m:t>
          </m:r>
          <m:sSup>
            <m:e>
              <m:r>
                <m:t>2</m:t>
              </m:r>
            </m:e>
            <m:sup>
              <m:r>
                <m:t>6</m:t>
              </m:r>
            </m:sup>
          </m:sSup>
          <m:r>
            <m:rPr>
              <m:sty m:val="p"/>
            </m:rPr>
            <m:t>=</m:t>
          </m:r>
          <m:r>
            <m:t>128</m:t>
          </m:r>
        </m:oMath>
      </m:oMathPara>
    </w:p>
    <w:p>
      <w:pPr>
        <w:pStyle w:val="FirstParagraph"/>
      </w:pPr>
      <w:r>
        <w:t xml:space="preserve">latent-state/full-observation combinations with their exact probabilities. Across the eight policy cases, all 1,024 replay outcomes reproduced the dynamic-programming expectations exactly. Table 2 reports exact finite-model expectations, rather than Monte Carlo estimates.</w:t>
      </w:r>
    </w:p>
    <w:bookmarkEnd w:id="49"/>
    <w:bookmarkStart w:id="50" w:name="algebraic-implementation-checks"/>
    <w:p>
      <w:pPr>
        <w:pStyle w:val="Heading2"/>
      </w:pPr>
      <w:r>
        <w:t xml:space="preserve">6.3. Algebraic implementation checks</w:t>
      </w:r>
    </w:p>
    <w:p>
      <w:pPr>
        <w:pStyle w:val="FirstParagraph"/>
      </w:pPr>
      <w:r>
        <w:t xml:space="preserve">A separate verification generated 100 rooted trees with six labeled source vertices. Costs in these checks were represented as integer multiples of 1/20; the following ranges give the corresponding cost units. Vertex</w:t>
      </w:r>
      <w:r>
        <w:t xml:space="preserve"> </w:t>
      </w:r>
      <m:oMath>
        <m:r>
          <m:t>i</m:t>
        </m:r>
      </m:oMath>
      <w:r>
        <w:t xml:space="preserve"> </w:t>
      </w:r>
      <w:r>
        <w:t xml:space="preserve">selected its parent among</w:t>
      </w:r>
      <w:r>
        <w:t xml:space="preserve"> </w:t>
      </w:r>
      <m:oMath>
        <m:r>
          <m:t>0</m:t>
        </m:r>
        <m:r>
          <m:rPr>
            <m:sty m:val="p"/>
          </m:rPr>
          <m:t>,</m:t>
        </m:r>
        <m:r>
          <m:rPr>
            <m:sty m:val="p"/>
          </m:rPr>
          <m:t>…</m:t>
        </m:r>
        <m:r>
          <m:rPr>
            <m:sty m:val="p"/>
          </m:rPr>
          <m:t>,</m:t>
        </m:r>
        <m:r>
          <m:t>i</m:t>
        </m:r>
        <m:r>
          <m:rPr>
            <m:sty m:val="p"/>
          </m:rPr>
          <m:t>−</m:t>
        </m:r>
        <m:r>
          <m:t>1</m:t>
        </m:r>
      </m:oMath>
      <w:r>
        <w:t xml:space="preserve">, with vertex 0 the root. Edge weights were selected from</w:t>
      </w:r>
      <w:r>
        <w:t xml:space="preserve"> </w:t>
      </w:r>
      <m:oMath>
        <m:r>
          <m:rPr>
            <m:sty m:val="p"/>
          </m:rPr>
          <m:t>{</m:t>
        </m:r>
        <m:r>
          <m:t>0.1</m:t>
        </m:r>
        <m:r>
          <m:rPr>
            <m:sty m:val="p"/>
          </m:rPr>
          <m:t>,</m:t>
        </m:r>
        <m:r>
          <m:t>0.2</m:t>
        </m:r>
        <m:r>
          <m:rPr>
            <m:sty m:val="p"/>
          </m:rPr>
          <m:t>,</m:t>
        </m:r>
        <m:r>
          <m:rPr>
            <m:sty m:val="p"/>
          </m:rPr>
          <m:t>…</m:t>
        </m:r>
        <m:r>
          <m:rPr>
            <m:sty m:val="p"/>
          </m:rPr>
          <m:t>,</m:t>
        </m:r>
        <m:r>
          <m:t>3.0</m:t>
        </m:r>
        <m:r>
          <m:rPr>
            <m:sty m:val="p"/>
          </m:rPr>
          <m:t>}</m:t>
        </m:r>
      </m:oMath>
      <w:r>
        <w:t xml:space="preserve">, and service costs from</w:t>
      </w:r>
      <w:r>
        <w:t xml:space="preserve"> </w:t>
      </w:r>
      <m:oMath>
        <m:r>
          <m:rPr>
            <m:sty m:val="p"/>
          </m:rPr>
          <m:t>{</m:t>
        </m:r>
        <m:r>
          <m:t>0.1</m:t>
        </m:r>
        <m:r>
          <m:rPr>
            <m:sty m:val="p"/>
          </m:rPr>
          <m:t>,</m:t>
        </m:r>
        <m:r>
          <m:t>0.2</m:t>
        </m:r>
        <m:r>
          <m:rPr>
            <m:sty m:val="p"/>
          </m:rPr>
          <m:t>,</m:t>
        </m:r>
        <m:r>
          <m:rPr>
            <m:sty m:val="p"/>
          </m:rPr>
          <m:t>…</m:t>
        </m:r>
        <m:r>
          <m:rPr>
            <m:sty m:val="p"/>
          </m:rPr>
          <m:t>,</m:t>
        </m:r>
        <m:r>
          <m:t>1.0</m:t>
        </m:r>
        <m:r>
          <m:rPr>
            <m:sty m:val="p"/>
          </m:rPr>
          <m:t>}</m:t>
        </m:r>
      </m:oMath>
      <w:r>
        <w:t xml:space="preserve">. A 32-bit linear congruential generator used seed 20260911, multiplier 1664525, and increment 1013904223.</w:t>
      </w:r>
    </w:p>
    <w:p>
      <w:pPr>
        <w:pStyle w:val="BodyText"/>
      </w:pPr>
      <w:r>
        <w:t xml:space="preserve">For each tree, all 64 subsets were checked. Direct unions of root paths agreed exactly with Proposition 2.2 in all 6,400 cases. All 19,200 available source-addition marginals agreed with (5).</w:t>
      </w:r>
    </w:p>
    <w:p>
      <w:pPr>
        <w:pStyle w:val="BodyText"/>
      </w:pPr>
      <w:r>
        <w:t xml:space="preserve">Singleton and pair measurements were perturbed by values in</w:t>
      </w:r>
      <w:r>
        <w:t xml:space="preserve"> </w:t>
      </w:r>
      <m:oMath>
        <m:r>
          <m:rPr>
            <m:sty m:val="p"/>
          </m:rPr>
          <m:t>{</m:t>
        </m:r>
        <m:r>
          <m:rPr>
            <m:sty m:val="p"/>
          </m:rPr>
          <m:t>−</m:t>
        </m:r>
        <m:r>
          <m:t>1</m:t>
        </m:r>
        <m:r>
          <m:rPr>
            <m:sty m:val="p"/>
          </m:rPr>
          <m:t>/</m:t>
        </m:r>
        <m:r>
          <m:t>20</m:t>
        </m:r>
        <m:r>
          <m:rPr>
            <m:sty m:val="p"/>
          </m:rPr>
          <m:t>,</m:t>
        </m:r>
        <m:r>
          <m:t>0</m:t>
        </m:r>
        <m:r>
          <m:rPr>
            <m:sty m:val="p"/>
          </m:rPr>
          <m:t>,</m:t>
        </m:r>
        <m:r>
          <m:t>1</m:t>
        </m:r>
        <m:r>
          <m:rPr>
            <m:sty m:val="p"/>
          </m:rPr>
          <m:t>/</m:t>
        </m:r>
        <m:r>
          <m:t>20</m:t>
        </m:r>
        <m:r>
          <m:rPr>
            <m:sty m:val="p"/>
          </m:rPr>
          <m:t>}</m:t>
        </m:r>
      </m:oMath>
      <w:r>
        <w:t xml:space="preserve">. All 6,400 direct-estimate bounds and all 6,400 repaired-estimate bounds held, and every repaired overlap table satisfied (4). The sharpness construction was additionally checked for</w:t>
      </w:r>
      <w:r>
        <w:t xml:space="preserve"> </w:t>
      </w:r>
      <m:oMath>
        <m:r>
          <m:t>m</m:t>
        </m:r>
        <m:r>
          <m:rPr>
            <m:sty m:val="p"/>
          </m:rPr>
          <m:t>=</m:t>
        </m:r>
        <m:r>
          <m:t>2</m:t>
        </m:r>
        <m:r>
          <m:rPr>
            <m:sty m:val="p"/>
          </m:rPr>
          <m:t>,</m:t>
        </m:r>
        <m:r>
          <m:rPr>
            <m:sty m:val="p"/>
          </m:rPr>
          <m:t>…</m:t>
        </m:r>
        <m:r>
          <m:rPr>
            <m:sty m:val="p"/>
          </m:rPr>
          <m:t>,</m:t>
        </m:r>
        <m:r>
          <m:t>8</m:t>
        </m:r>
      </m:oMath>
      <w:r>
        <w:t xml:space="preserve">.</w:t>
      </w:r>
    </w:p>
    <w:p>
      <w:pPr>
        <w:pStyle w:val="BodyText"/>
        <w:keepNext/>
      </w:pPr>
      <w:r>
        <w:t xml:space="preserve">For the continuation results, each of the same 100 trees was checked for all disjoint nonempty pairs</w:t>
      </w:r>
      <w:r>
        <w:t xml:space="preserve"> </w:t>
      </w:r>
      <m:oMath>
        <m:r>
          <m:t>A</m:t>
        </m:r>
        <m:r>
          <m:rPr>
            <m:sty m:val="p"/>
          </m:rPr>
          <m:t>,</m:t>
        </m:r>
        <m:r>
          <m:t>S</m:t>
        </m:r>
      </m:oMath>
      <w:r>
        <w:t xml:space="preserve">. The number of such pairs per tree is</w:t>
      </w:r>
    </w:p>
    <w:p>
      <w:pPr>
        <w:pStyle w:val="Equation"/>
        <w:jc w:val="center"/>
      </w:pPr>
      <m:oMathPara>
        <m:oMathParaPr>
          <m:jc m:val="center"/>
        </m:oMathParaPr>
        <m:oMath>
          <m:sSup>
            <m:e>
              <m:r>
                <m:t>3</m:t>
              </m:r>
            </m:e>
            <m:sup>
              <m:r>
                <m:t>6</m:t>
              </m:r>
            </m:sup>
          </m:sSup>
          <m:r>
            <m:rPr>
              <m:sty m:val="p"/>
            </m:rPr>
            <m:t>−</m:t>
          </m:r>
          <m:r>
            <m:t>2</m:t>
          </m:r>
          <m:r>
            <m:rPr>
              <m:sty m:val="p"/>
            </m:rPr>
            <m:t>⋅</m:t>
          </m:r>
          <m:sSup>
            <m:e>
              <m:r>
                <m:t>2</m:t>
              </m:r>
            </m:e>
            <m:sup>
              <m:r>
                <m:t>6</m:t>
              </m:r>
            </m:sup>
          </m:sSup>
          <m:r>
            <m:rPr>
              <m:sty m:val="p"/>
            </m:rPr>
            <m:t>+</m:t>
          </m:r>
          <m:r>
            <m:t>1</m:t>
          </m:r>
          <m:r>
            <m:rPr>
              <m:sty m:val="p"/>
            </m:rPr>
            <m:t>=</m:t>
          </m:r>
          <m:r>
            <m:t>602</m:t>
          </m:r>
          <m:r>
            <m:rPr>
              <m:sty m:val="p"/>
            </m:rPr>
            <m:t>.</m:t>
          </m:r>
        </m:oMath>
      </m:oMathPara>
    </w:p>
    <w:p>
      <w:pPr>
        <w:pStyle w:val="FirstParagraph"/>
      </w:pPr>
      <w:r>
        <w:t xml:space="preserve">Across all 60,200 cases, the forest reconstruction agreed with the direct additional path cost, the common-tolerance bound held, the lifted forest expression agreed with the contracted-graph estimator, and the heterogeneous interval contained the true continuation cost. Heterogeneous singleton bounds were selected from</w:t>
      </w:r>
      <w:r>
        <w:t xml:space="preserve"> </w:t>
      </w:r>
      <m:oMath>
        <m:r>
          <m:rPr>
            <m:sty m:val="p"/>
          </m:rPr>
          <m:t>{</m:t>
        </m:r>
        <m:r>
          <m:t>0</m:t>
        </m:r>
        <m:r>
          <m:rPr>
            <m:sty m:val="p"/>
          </m:rPr>
          <m:t>,</m:t>
        </m:r>
        <m:r>
          <m:t>1</m:t>
        </m:r>
        <m:r>
          <m:rPr>
            <m:sty m:val="p"/>
          </m:rPr>
          <m:t>/</m:t>
        </m:r>
        <m:r>
          <m:t>20</m:t>
        </m:r>
        <m:r>
          <m:rPr>
            <m:sty m:val="p"/>
          </m:rPr>
          <m:t>,</m:t>
        </m:r>
        <m:r>
          <m:t>2</m:t>
        </m:r>
        <m:r>
          <m:rPr>
            <m:sty m:val="p"/>
          </m:rPr>
          <m:t>/</m:t>
        </m:r>
        <m:r>
          <m:t>20</m:t>
        </m:r>
        <m:r>
          <m:rPr>
            <m:sty m:val="p"/>
          </m:rPr>
          <m:t>}</m:t>
        </m:r>
      </m:oMath>
      <w:r>
        <w:t xml:space="preserve"> </w:t>
      </w:r>
      <w:r>
        <w:t xml:space="preserve">and pair bounds from</w:t>
      </w:r>
      <w:r>
        <w:t xml:space="preserve"> </w:t>
      </w:r>
      <m:oMath>
        <m:r>
          <m:rPr>
            <m:sty m:val="p"/>
          </m:rPr>
          <m:t>{</m:t>
        </m:r>
        <m:r>
          <m:t>1</m:t>
        </m:r>
        <m:r>
          <m:rPr>
            <m:sty m:val="p"/>
          </m:rPr>
          <m:t>/</m:t>
        </m:r>
        <m:r>
          <m:t>20</m:t>
        </m:r>
        <m:r>
          <m:rPr>
            <m:sty m:val="p"/>
          </m:rPr>
          <m:t>,</m:t>
        </m:r>
        <m:r>
          <m:t>2</m:t>
        </m:r>
        <m:r>
          <m:rPr>
            <m:sty m:val="p"/>
          </m:rPr>
          <m:t>/</m:t>
        </m:r>
        <m:r>
          <m:t>20</m:t>
        </m:r>
        <m:r>
          <m:rPr>
            <m:sty m:val="p"/>
          </m:rPr>
          <m:t>,</m:t>
        </m:r>
        <m:r>
          <m:t>3</m:t>
        </m:r>
        <m:r>
          <m:rPr>
            <m:sty m:val="p"/>
          </m:rPr>
          <m:t>/</m:t>
        </m:r>
        <m:r>
          <m:t>20</m:t>
        </m:r>
        <m:r>
          <m:rPr>
            <m:sty m:val="p"/>
          </m:rPr>
          <m:t>}</m:t>
        </m:r>
      </m:oMath>
      <w:r>
        <w:t xml:space="preserve">; perturbations were drawn from the integer grid within each bound. The continuation lower bound was verified for anchor counts 1, 5, and 20 and new-source counts 1, 2, and 4, with a further 21 unequal-tolerance cases including exact singleton or exact pair measurements.</w:t>
      </w:r>
    </w:p>
    <w:p>
      <w:pPr>
        <w:pStyle w:val="BodyText"/>
      </w:pPr>
      <w:r>
        <w:t xml:space="preserve">These finite checks support implementation consistency. The universal claims and minimax lower bounds follow from the proofs.</w:t>
      </w:r>
    </w:p>
    <w:bookmarkEnd w:id="50"/>
    <w:bookmarkStart w:id="51" w:name="X4c7f44d83468c3e9f2d7044aafd47f6aef5fc19"/>
    <w:p>
      <w:pPr>
        <w:pStyle w:val="Heading2"/>
      </w:pPr>
      <w:r>
        <w:t xml:space="preserve">6.4. Continuation instability and policy sharpness</w:t>
      </w:r>
    </w:p>
    <w:p>
      <w:pPr>
        <w:pStyle w:val="FirstParagraph"/>
        <w:keepNext/>
        <w:spacing w:before="140" w:after="100"/>
      </w:pPr>
      <w:r>
        <w:rPr>
          <w:bCs/>
          <w:b/>
        </w:rPr>
        <w:t xml:space="preserve">Table 3. One new query in the construction of Proposition 3.4.</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368"/>
        <w:gridCol w:w="1800"/>
        <w:gridCol w:w="2304"/>
        <w:gridCol w:w="2304"/>
        <w:gridCol w:w="2016"/>
      </w:tblGrid>
      <w:tr>
        <w:trPr>
          <w:tblHeader w:val="true"/>
          <w:cantSplit/>
          <w:tblHeader/>
        </w:trPr>
        <w:tc>
          <w:tcPr>
            <w:tcW w:type="dxa" w:w="1368"/>
            <w:vAlign w:val="center"/>
            <w:shd w:fill="E9ECEF"/>
          </w:tcPr>
          <w:p>
            <w:pPr>
              <w:pStyle w:val="TableBody"/>
              <w:keepNext/>
              <w:jc w:val="left"/>
            </w:pPr>
            <w:r>
              <w:rPr>
                <w:b/>
                <w:sz w:val="20"/>
              </w:rPr>
              <w:t xml:space="preserve">Earlier sources</w:t>
            </w:r>
          </w:p>
        </w:tc>
        <w:tc>
          <w:tcPr>
            <w:tcW w:type="dxa" w:w="1800"/>
            <w:vAlign w:val="center"/>
            <w:shd w:fill="E9ECEF"/>
          </w:tcPr>
          <w:p>
            <w:pPr>
              <w:pStyle w:val="TableBody"/>
              <w:keepNext/>
              <w:jc w:val="center"/>
            </w:pPr>
            <w:r>
              <w:rPr>
                <w:b/>
                <w:sz w:val="20"/>
              </w:rPr>
              <w:t xml:space="preserve">True additional cost</w:t>
            </w:r>
          </w:p>
        </w:tc>
        <w:tc>
          <w:tcPr>
            <w:tcW w:type="dxa" w:w="2304"/>
            <w:vAlign w:val="center"/>
            <w:shd w:fill="E9ECEF"/>
          </w:tcPr>
          <w:p>
            <w:pPr>
              <w:pStyle w:val="TableBody"/>
              <w:keepNext/>
              <w:jc w:val="center"/>
            </w:pPr>
            <w:r>
              <w:rPr>
                <w:b/>
                <w:sz w:val="20"/>
              </w:rPr>
              <w:t xml:space="preserve">Subtracted total estimates</w:t>
            </w:r>
          </w:p>
        </w:tc>
        <w:tc>
          <w:tcPr>
            <w:tcW w:type="dxa" w:w="2304"/>
            <w:vAlign w:val="center"/>
            <w:shd w:fill="E9ECEF"/>
          </w:tcPr>
          <w:p>
            <w:pPr>
              <w:pStyle w:val="TableBody"/>
              <w:keepNext/>
              <w:jc w:val="center"/>
            </w:pPr>
            <w:r>
              <w:rPr>
                <w:b/>
                <w:sz w:val="20"/>
              </w:rPr>
              <w:t xml:space="preserve">Direct continuation estimate</w:t>
            </w:r>
          </w:p>
        </w:tc>
        <w:tc>
          <w:tcPr>
            <w:tcW w:type="dxa" w:w="2016"/>
            <w:vAlign w:val="center"/>
            <w:shd w:fill="E9ECEF"/>
          </w:tcPr>
          <w:p>
            <w:pPr>
              <w:pStyle w:val="TableBody"/>
              <w:keepNext/>
              <w:jc w:val="center"/>
            </w:pPr>
            <w:r>
              <w:rPr>
                <w:b/>
                <w:sz w:val="20"/>
              </w:rPr>
              <w:t xml:space="preserve">Subtraction error</w:t>
            </w:r>
          </w:p>
        </w:tc>
      </w:tr>
      <w:tr>
        <w:trPr>
          <w:cantSplit/>
        </w:trPr>
        <w:tc>
          <w:tcPr>
            <w:tcW w:type="dxa" w:w="1368"/>
            <w:vAlign w:val="center"/>
          </w:tcPr>
          <w:p>
            <w:pPr>
              <w:pStyle w:val="TableBody"/>
              <w:keepNext/>
              <w:jc w:val="left"/>
            </w:pPr>
            <w:r>
              <w:rPr>
                <w:b w:val="0"/>
                <w:sz w:val="20"/>
              </w:rPr>
              <w:t xml:space="preserve">1</w:t>
            </w:r>
          </w:p>
        </w:tc>
        <w:tc>
          <w:tcPr>
            <w:tcW w:type="dxa" w:w="1800"/>
            <w:vAlign w:val="center"/>
          </w:tcPr>
          <w:p>
            <w:pPr>
              <w:pStyle w:val="TableBody"/>
              <w:keepNext/>
              <w:jc w:val="center"/>
            </w:pPr>
            <w:r>
              <w:rPr>
                <w:b w:val="0"/>
                <w:sz w:val="20"/>
              </w:rPr>
              <w:t xml:space="preserve">1.0</w:t>
            </w:r>
          </w:p>
        </w:tc>
        <w:tc>
          <w:tcPr>
            <w:tcW w:type="dxa" w:w="2304"/>
            <w:vAlign w:val="center"/>
          </w:tcPr>
          <w:p>
            <w:pPr>
              <w:pStyle w:val="TableBody"/>
              <w:keepNext/>
              <w:jc w:val="center"/>
            </w:pPr>
            <w:r>
              <w:rPr>
                <w:b w:val="0"/>
                <w:sz w:val="20"/>
              </w:rPr>
              <w:t xml:space="preserve">1.0</w:t>
            </w:r>
          </w:p>
        </w:tc>
        <w:tc>
          <w:tcPr>
            <w:tcW w:type="dxa" w:w="2304"/>
            <w:vAlign w:val="center"/>
          </w:tcPr>
          <w:p>
            <w:pPr>
              <w:pStyle w:val="TableBody"/>
              <w:keepNext/>
              <w:jc w:val="center"/>
            </w:pPr>
            <w:r>
              <w:rPr>
                <w:b w:val="0"/>
                <w:sz w:val="20"/>
              </w:rPr>
              <w:t xml:space="preserve">1.0</w:t>
            </w:r>
          </w:p>
        </w:tc>
        <w:tc>
          <w:tcPr>
            <w:tcW w:type="dxa" w:w="2016"/>
            <w:vAlign w:val="center"/>
          </w:tcPr>
          <w:p>
            <w:pPr>
              <w:pStyle w:val="TableBody"/>
              <w:keepNext/>
              <w:jc w:val="center"/>
            </w:pPr>
            <w:r>
              <w:rPr>
                <w:b w:val="0"/>
                <w:sz w:val="20"/>
              </w:rPr>
              <w:t xml:space="preserve">0.0</w:t>
            </w:r>
          </w:p>
        </w:tc>
      </w:tr>
      <w:tr>
        <w:trPr>
          <w:cantSplit/>
        </w:trPr>
        <w:tc>
          <w:tcPr>
            <w:tcW w:type="dxa" w:w="1368"/>
            <w:vAlign w:val="center"/>
          </w:tcPr>
          <w:p>
            <w:pPr>
              <w:pStyle w:val="TableBody"/>
              <w:keepNext/>
              <w:jc w:val="left"/>
            </w:pPr>
            <w:r>
              <w:rPr>
                <w:b w:val="0"/>
                <w:sz w:val="20"/>
              </w:rPr>
              <w:t xml:space="preserve">2</w:t>
            </w:r>
          </w:p>
        </w:tc>
        <w:tc>
          <w:tcPr>
            <w:tcW w:type="dxa" w:w="1800"/>
            <w:vAlign w:val="center"/>
          </w:tcPr>
          <w:p>
            <w:pPr>
              <w:pStyle w:val="TableBody"/>
              <w:keepNext/>
              <w:jc w:val="center"/>
            </w:pPr>
            <w:r>
              <w:rPr>
                <w:b w:val="0"/>
                <w:sz w:val="20"/>
              </w:rPr>
              <w:t xml:space="preserve">1.0</w:t>
            </w:r>
          </w:p>
        </w:tc>
        <w:tc>
          <w:tcPr>
            <w:tcW w:type="dxa" w:w="2304"/>
            <w:vAlign w:val="center"/>
          </w:tcPr>
          <w:p>
            <w:pPr>
              <w:pStyle w:val="TableBody"/>
              <w:keepNext/>
              <w:jc w:val="center"/>
            </w:pPr>
            <w:r>
              <w:rPr>
                <w:b w:val="0"/>
                <w:sz w:val="20"/>
              </w:rPr>
              <w:t xml:space="preserve">0.8</w:t>
            </w:r>
          </w:p>
        </w:tc>
        <w:tc>
          <w:tcPr>
            <w:tcW w:type="dxa" w:w="2304"/>
            <w:vAlign w:val="center"/>
          </w:tcPr>
          <w:p>
            <w:pPr>
              <w:pStyle w:val="TableBody"/>
              <w:keepNext/>
              <w:jc w:val="center"/>
            </w:pPr>
            <w:r>
              <w:rPr>
                <w:b w:val="0"/>
                <w:sz w:val="20"/>
              </w:rPr>
              <w:t xml:space="preserve">1.0</w:t>
            </w:r>
          </w:p>
        </w:tc>
        <w:tc>
          <w:tcPr>
            <w:tcW w:type="dxa" w:w="2016"/>
            <w:vAlign w:val="center"/>
          </w:tcPr>
          <w:p>
            <w:pPr>
              <w:pStyle w:val="TableBody"/>
              <w:keepNext/>
              <w:jc w:val="center"/>
            </w:pPr>
            <w:r>
              <w:rPr>
                <w:b w:val="0"/>
                <w:sz w:val="20"/>
              </w:rPr>
              <w:t xml:space="preserve">0.2</w:t>
            </w:r>
          </w:p>
        </w:tc>
      </w:tr>
      <w:tr>
        <w:trPr>
          <w:cantSplit/>
        </w:trPr>
        <w:tc>
          <w:tcPr>
            <w:tcW w:type="dxa" w:w="1368"/>
            <w:vAlign w:val="center"/>
          </w:tcPr>
          <w:p>
            <w:pPr>
              <w:pStyle w:val="TableBody"/>
              <w:keepNext/>
              <w:jc w:val="left"/>
            </w:pPr>
            <w:r>
              <w:rPr>
                <w:b w:val="0"/>
                <w:sz w:val="20"/>
              </w:rPr>
              <w:t xml:space="preserve">5</w:t>
            </w:r>
          </w:p>
        </w:tc>
        <w:tc>
          <w:tcPr>
            <w:tcW w:type="dxa" w:w="1800"/>
            <w:vAlign w:val="center"/>
          </w:tcPr>
          <w:p>
            <w:pPr>
              <w:pStyle w:val="TableBody"/>
              <w:keepNext/>
              <w:jc w:val="center"/>
            </w:pPr>
            <w:r>
              <w:rPr>
                <w:b w:val="0"/>
                <w:sz w:val="20"/>
              </w:rPr>
              <w:t xml:space="preserve">1.0</w:t>
            </w:r>
          </w:p>
        </w:tc>
        <w:tc>
          <w:tcPr>
            <w:tcW w:type="dxa" w:w="2304"/>
            <w:vAlign w:val="center"/>
          </w:tcPr>
          <w:p>
            <w:pPr>
              <w:pStyle w:val="TableBody"/>
              <w:keepNext/>
              <w:jc w:val="center"/>
            </w:pPr>
            <w:r>
              <w:rPr>
                <w:b w:val="0"/>
                <w:sz w:val="20"/>
              </w:rPr>
              <w:t xml:space="preserve">0.2</w:t>
            </w:r>
          </w:p>
        </w:tc>
        <w:tc>
          <w:tcPr>
            <w:tcW w:type="dxa" w:w="2304"/>
            <w:vAlign w:val="center"/>
          </w:tcPr>
          <w:p>
            <w:pPr>
              <w:pStyle w:val="TableBody"/>
              <w:keepNext/>
              <w:jc w:val="center"/>
            </w:pPr>
            <w:r>
              <w:rPr>
                <w:b w:val="0"/>
                <w:sz w:val="20"/>
              </w:rPr>
              <w:t xml:space="preserve">1.0</w:t>
            </w:r>
          </w:p>
        </w:tc>
        <w:tc>
          <w:tcPr>
            <w:tcW w:type="dxa" w:w="2016"/>
            <w:vAlign w:val="center"/>
          </w:tcPr>
          <w:p>
            <w:pPr>
              <w:pStyle w:val="TableBody"/>
              <w:keepNext/>
              <w:jc w:val="center"/>
            </w:pPr>
            <w:r>
              <w:rPr>
                <w:b w:val="0"/>
                <w:sz w:val="20"/>
              </w:rPr>
              <w:t xml:space="preserve">0.8</w:t>
            </w:r>
          </w:p>
        </w:tc>
      </w:tr>
      <w:tr>
        <w:trPr>
          <w:cantSplit/>
        </w:trPr>
        <w:tc>
          <w:tcPr>
            <w:tcW w:type="dxa" w:w="1368"/>
            <w:vAlign w:val="center"/>
          </w:tcPr>
          <w:p>
            <w:pPr>
              <w:pStyle w:val="TableBody"/>
              <w:keepNext/>
              <w:jc w:val="left"/>
            </w:pPr>
            <w:r>
              <w:rPr>
                <w:b w:val="0"/>
                <w:sz w:val="20"/>
              </w:rPr>
              <w:t xml:space="preserve">10</w:t>
            </w:r>
          </w:p>
        </w:tc>
        <w:tc>
          <w:tcPr>
            <w:tcW w:type="dxa" w:w="1800"/>
            <w:vAlign w:val="center"/>
          </w:tcPr>
          <w:p>
            <w:pPr>
              <w:pStyle w:val="TableBody"/>
              <w:keepNext/>
              <w:jc w:val="center"/>
            </w:pPr>
            <w:r>
              <w:rPr>
                <w:b w:val="0"/>
                <w:sz w:val="20"/>
              </w:rPr>
              <w:t xml:space="preserve">1.0</w:t>
            </w:r>
          </w:p>
        </w:tc>
        <w:tc>
          <w:tcPr>
            <w:tcW w:type="dxa" w:w="2304"/>
            <w:vAlign w:val="center"/>
          </w:tcPr>
          <w:p>
            <w:pPr>
              <w:pStyle w:val="TableBody"/>
              <w:keepNext/>
              <w:jc w:val="center"/>
            </w:pPr>
            <w:r>
              <w:rPr>
                <w:b w:val="0"/>
                <w:sz w:val="20"/>
              </w:rPr>
              <w:t xml:space="preserve">-0.8</w:t>
            </w:r>
          </w:p>
        </w:tc>
        <w:tc>
          <w:tcPr>
            <w:tcW w:type="dxa" w:w="2304"/>
            <w:vAlign w:val="center"/>
          </w:tcPr>
          <w:p>
            <w:pPr>
              <w:pStyle w:val="TableBody"/>
              <w:keepNext/>
              <w:jc w:val="center"/>
            </w:pPr>
            <w:r>
              <w:rPr>
                <w:b w:val="0"/>
                <w:sz w:val="20"/>
              </w:rPr>
              <w:t xml:space="preserve">1.0</w:t>
            </w:r>
          </w:p>
        </w:tc>
        <w:tc>
          <w:tcPr>
            <w:tcW w:type="dxa" w:w="2016"/>
            <w:vAlign w:val="center"/>
          </w:tcPr>
          <w:p>
            <w:pPr>
              <w:pStyle w:val="TableBody"/>
              <w:keepNext/>
              <w:jc w:val="center"/>
            </w:pPr>
            <w:r>
              <w:rPr>
                <w:b w:val="0"/>
                <w:sz w:val="20"/>
              </w:rPr>
              <w:t xml:space="preserve">1.8</w:t>
            </w:r>
          </w:p>
        </w:tc>
      </w:tr>
      <w:tr>
        <w:trPr>
          <w:cantSplit/>
        </w:trPr>
        <w:tc>
          <w:tcPr>
            <w:tcW w:type="dxa" w:w="1368"/>
            <w:vAlign w:val="center"/>
          </w:tcPr>
          <w:p>
            <w:pPr>
              <w:pStyle w:val="TableBody"/>
              <w:keepNext w:val="0"/>
              <w:jc w:val="left"/>
            </w:pPr>
            <w:r>
              <w:rPr>
                <w:b w:val="0"/>
                <w:sz w:val="20"/>
              </w:rPr>
              <w:t xml:space="preserve">20</w:t>
            </w:r>
          </w:p>
        </w:tc>
        <w:tc>
          <w:tcPr>
            <w:tcW w:type="dxa" w:w="1800"/>
            <w:vAlign w:val="center"/>
          </w:tcPr>
          <w:p>
            <w:pPr>
              <w:pStyle w:val="TableBody"/>
              <w:keepNext w:val="0"/>
              <w:jc w:val="center"/>
            </w:pPr>
            <w:r>
              <w:rPr>
                <w:b w:val="0"/>
                <w:sz w:val="20"/>
              </w:rPr>
              <w:t xml:space="preserve">1.0</w:t>
            </w:r>
          </w:p>
        </w:tc>
        <w:tc>
          <w:tcPr>
            <w:tcW w:type="dxa" w:w="2304"/>
            <w:vAlign w:val="center"/>
          </w:tcPr>
          <w:p>
            <w:pPr>
              <w:pStyle w:val="TableBody"/>
              <w:keepNext w:val="0"/>
              <w:jc w:val="center"/>
            </w:pPr>
            <w:r>
              <w:rPr>
                <w:b w:val="0"/>
                <w:sz w:val="20"/>
              </w:rPr>
              <w:t xml:space="preserve">-2.8</w:t>
            </w:r>
          </w:p>
        </w:tc>
        <w:tc>
          <w:tcPr>
            <w:tcW w:type="dxa" w:w="2304"/>
            <w:vAlign w:val="center"/>
          </w:tcPr>
          <w:p>
            <w:pPr>
              <w:pStyle w:val="TableBody"/>
              <w:keepNext w:val="0"/>
              <w:jc w:val="center"/>
            </w:pPr>
            <w:r>
              <w:rPr>
                <w:b w:val="0"/>
                <w:sz w:val="20"/>
              </w:rPr>
              <w:t xml:space="preserve">1.0</w:t>
            </w:r>
          </w:p>
        </w:tc>
        <w:tc>
          <w:tcPr>
            <w:tcW w:type="dxa" w:w="2016"/>
            <w:vAlign w:val="center"/>
          </w:tcPr>
          <w:p>
            <w:pPr>
              <w:pStyle w:val="TableBody"/>
              <w:keepNext w:val="0"/>
              <w:jc w:val="center"/>
            </w:pPr>
            <w:r>
              <w:rPr>
                <w:b w:val="0"/>
                <w:sz w:val="20"/>
              </w:rPr>
              <w:t xml:space="preserve">3.8</w:t>
            </w:r>
          </w:p>
        </w:tc>
      </w:tr>
    </w:tbl>
    <w:p>
      <w:pPr>
        <w:pStyle w:val="BodyText"/>
        <w:spacing w:before="120"/>
      </w:pPr>
      <w:r>
        <w:t xml:space="preserve">Here</w:t>
      </w:r>
      <w:r>
        <w:t xml:space="preserve"> </w:t>
      </w:r>
      <m:oMath>
        <m:r>
          <m:t>a</m:t>
        </m:r>
        <m:r>
          <m:rPr>
            <m:sty m:val="p"/>
          </m:rPr>
          <m:t>=</m:t>
        </m:r>
        <m:r>
          <m:t>2</m:t>
        </m:r>
      </m:oMath>
      <w:r>
        <w:t xml:space="preserve">,</w:t>
      </w:r>
      <w:r>
        <w:t xml:space="preserve"> </w:t>
      </w:r>
      <m:oMath>
        <m:r>
          <m:t>b</m:t>
        </m:r>
        <m:r>
          <m:rPr>
            <m:sty m:val="p"/>
          </m:rPr>
          <m:t>=</m:t>
        </m:r>
        <m:r>
          <m:t>1</m:t>
        </m:r>
      </m:oMath>
      <w:r>
        <w:t xml:space="preserve">, and</w:t>
      </w:r>
      <w:r>
        <w:t xml:space="preserve"> </w:t>
      </w:r>
      <m:oMath>
        <m:r>
          <m:t>ε</m:t>
        </m:r>
        <m:r>
          <m:rPr>
            <m:sty m:val="p"/>
          </m:rPr>
          <m:t>=</m:t>
        </m:r>
        <m:r>
          <m:t>0.05</m:t>
        </m:r>
      </m:oMath>
      <w:r>
        <w:t xml:space="preserve">. The direct estimator has worst-case radius 0.1 for every row. The first row is the singleton-anchor boundary case; the history-size claim in Proposition 3.4 applies from two anchors onward. This table is an analytic stress test with controlled perturbations, separate from the manufacturing illustration.</w:t>
      </w:r>
    </w:p>
    <w:p>
      <w:pPr>
        <w:pStyle w:val="BodyText"/>
        <w:keepNext/>
        <w:spacing w:before="140" w:after="100"/>
      </w:pPr>
      <w:r>
        <w:rPr>
          <w:bCs/>
          <w:b/>
        </w:rPr>
        <w:t xml:space="preserve">Table 4. Approaching the sharp policy-loss factor.</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2880"/>
        <w:gridCol w:w="2232"/>
        <w:gridCol w:w="1224"/>
        <w:gridCol w:w="3456"/>
      </w:tblGrid>
      <w:tr>
        <w:trPr>
          <w:tblHeader w:val="true"/>
          <w:cantSplit/>
          <w:tblHeader/>
        </w:trPr>
        <w:tc>
          <w:tcPr>
            <w:tcW w:type="dxa" w:w="2880"/>
            <w:vAlign w:val="center"/>
            <w:shd w:fill="E9ECEF"/>
          </w:tcPr>
          <w:p>
            <w:pPr>
              <w:pStyle w:val="TableBody"/>
              <w:keepNext/>
              <w:jc w:val="left"/>
            </w:pPr>
            <w:r>
              <w:rPr>
                <w:b/>
                <w:sz w:val="20"/>
              </w:rPr>
              <w:t xml:space="preserve">Setting</w:t>
            </w:r>
          </w:p>
        </w:tc>
        <w:tc>
          <w:tcPr>
            <w:tcW w:type="dxa" w:w="2232"/>
            <w:vAlign w:val="center"/>
            <w:shd w:fill="E9ECEF"/>
          </w:tcPr>
          <w:p>
            <w:pPr>
              <w:pStyle w:val="TableBody"/>
              <w:keepNext/>
              <w:jc w:val="center"/>
            </w:pPr>
            <w:r>
              <w:rPr>
                <w:b/>
                <w:sz w:val="20"/>
              </w:rPr>
              <w:t xml:space="preserve">Call budgets checked</w:t>
            </w:r>
          </w:p>
        </w:tc>
        <w:tc>
          <w:tcPr>
            <w:tcW w:type="dxa" w:w="1224"/>
            <w:vAlign w:val="center"/>
            <w:shd w:fill="E9ECEF"/>
          </w:tcPr>
          <w:p>
            <w:pPr>
              <w:pStyle w:val="TableBody"/>
              <w:keepNext/>
              <w:jc w:val="center"/>
            </w:pPr>
            <m:oMath>
              <m:r>
                <m:t>η</m:t>
              </m:r>
              <m:r>
                <m:rPr>
                  <m:sty m:val="p"/>
                </m:rPr>
                <m:t>/</m:t>
              </m:r>
              <m:r>
                <m:t>R</m:t>
              </m:r>
            </m:oMath>
          </w:p>
        </w:tc>
        <w:tc>
          <w:tcPr>
            <w:tcW w:type="dxa" w:w="3456"/>
            <w:vAlign w:val="center"/>
            <w:shd w:fill="E9ECEF"/>
          </w:tcPr>
          <w:p>
            <w:pPr>
              <w:pStyle w:val="TableBody"/>
              <w:keepNext/>
              <w:jc w:val="center"/>
            </w:pPr>
            <w:r>
              <w:rPr>
                <w:b/>
                <w:sz w:val="20"/>
              </w:rPr>
              <w:t xml:space="preserve">Excess objective divided by</w:t>
            </w:r>
            <w:r>
              <w:rPr>
                <w:b/>
                <w:sz w:val="20"/>
              </w:rPr>
              <w:t xml:space="preserve"> </w:t>
            </w:r>
            <m:oMath>
              <m:r>
                <m:t>λ</m:t>
              </m:r>
              <m:r>
                <m:t>R</m:t>
              </m:r>
            </m:oMath>
          </w:p>
        </w:tc>
      </w:tr>
      <w:tr>
        <w:trPr>
          <w:cantSplit/>
        </w:trPr>
        <w:tc>
          <w:tcPr>
            <w:tcW w:type="dxa" w:w="2880"/>
            <w:vAlign w:val="center"/>
          </w:tcPr>
          <w:p>
            <w:pPr>
              <w:pStyle w:val="TableBody"/>
              <w:keepNext/>
              <w:jc w:val="left"/>
            </w:pPr>
            <w:r>
              <w:rPr>
                <w:b w:val="0"/>
                <w:sz w:val="20"/>
              </w:rPr>
              <w:t xml:space="preserve">Initial and continuation</w:t>
            </w:r>
          </w:p>
        </w:tc>
        <w:tc>
          <w:tcPr>
            <w:tcW w:type="dxa" w:w="2232"/>
            <w:vAlign w:val="center"/>
          </w:tcPr>
          <w:p>
            <w:pPr>
              <w:pStyle w:val="TableBody"/>
              <w:keepNext/>
              <w:jc w:val="center"/>
            </w:pPr>
            <w:r>
              <w:rPr>
                <w:b w:val="0"/>
                <w:sz w:val="20"/>
              </w:rPr>
              <w:t xml:space="preserve">2, 3, 4</w:t>
            </w:r>
          </w:p>
        </w:tc>
        <w:tc>
          <w:tcPr>
            <w:tcW w:type="dxa" w:w="1224"/>
            <w:vAlign w:val="center"/>
          </w:tcPr>
          <w:p>
            <w:pPr>
              <w:pStyle w:val="TableBody"/>
              <w:keepNext/>
              <w:jc w:val="center"/>
            </w:pPr>
            <w:r>
              <w:rPr>
                <w:b w:val="0"/>
                <w:sz w:val="20"/>
              </w:rPr>
              <w:t xml:space="preserve">0.50</w:t>
            </w:r>
          </w:p>
        </w:tc>
        <w:tc>
          <w:tcPr>
            <w:tcW w:type="dxa" w:w="3456"/>
            <w:vAlign w:val="center"/>
          </w:tcPr>
          <w:p>
            <w:pPr>
              <w:pStyle w:val="TableBody"/>
              <w:keepNext/>
              <w:jc w:val="center"/>
            </w:pPr>
            <w:r>
              <w:rPr>
                <w:b w:val="0"/>
                <w:sz w:val="20"/>
              </w:rPr>
              <w:t xml:space="preserve">1.50</w:t>
            </w:r>
          </w:p>
        </w:tc>
      </w:tr>
      <w:tr>
        <w:trPr>
          <w:cantSplit/>
        </w:trPr>
        <w:tc>
          <w:tcPr>
            <w:tcW w:type="dxa" w:w="2880"/>
            <w:vAlign w:val="center"/>
          </w:tcPr>
          <w:p>
            <w:pPr>
              <w:pStyle w:val="TableBody"/>
              <w:keepNext/>
              <w:jc w:val="left"/>
            </w:pPr>
            <w:r>
              <w:rPr>
                <w:b w:val="0"/>
                <w:sz w:val="20"/>
              </w:rPr>
              <w:t xml:space="preserve">Initial and continuation</w:t>
            </w:r>
          </w:p>
        </w:tc>
        <w:tc>
          <w:tcPr>
            <w:tcW w:type="dxa" w:w="2232"/>
            <w:vAlign w:val="center"/>
          </w:tcPr>
          <w:p>
            <w:pPr>
              <w:pStyle w:val="TableBody"/>
              <w:keepNext/>
              <w:jc w:val="center"/>
            </w:pPr>
            <w:r>
              <w:rPr>
                <w:b w:val="0"/>
                <w:sz w:val="20"/>
              </w:rPr>
              <w:t xml:space="preserve">2, 3, 4</w:t>
            </w:r>
          </w:p>
        </w:tc>
        <w:tc>
          <w:tcPr>
            <w:tcW w:type="dxa" w:w="1224"/>
            <w:vAlign w:val="center"/>
          </w:tcPr>
          <w:p>
            <w:pPr>
              <w:pStyle w:val="TableBody"/>
              <w:keepNext/>
              <w:jc w:val="center"/>
            </w:pPr>
            <w:r>
              <w:rPr>
                <w:b w:val="0"/>
                <w:sz w:val="20"/>
              </w:rPr>
              <w:t xml:space="preserve">0.10</w:t>
            </w:r>
          </w:p>
        </w:tc>
        <w:tc>
          <w:tcPr>
            <w:tcW w:type="dxa" w:w="3456"/>
            <w:vAlign w:val="center"/>
          </w:tcPr>
          <w:p>
            <w:pPr>
              <w:pStyle w:val="TableBody"/>
              <w:keepNext/>
              <w:jc w:val="center"/>
            </w:pPr>
            <w:r>
              <w:rPr>
                <w:b w:val="0"/>
                <w:sz w:val="20"/>
              </w:rPr>
              <w:t xml:space="preserve">1.90</w:t>
            </w:r>
          </w:p>
        </w:tc>
      </w:tr>
      <w:tr>
        <w:trPr>
          <w:cantSplit/>
        </w:trPr>
        <w:tc>
          <w:tcPr>
            <w:tcW w:type="dxa" w:w="2880"/>
            <w:vAlign w:val="center"/>
          </w:tcPr>
          <w:p>
            <w:pPr>
              <w:pStyle w:val="TableBody"/>
              <w:keepNext w:val="0"/>
              <w:jc w:val="left"/>
            </w:pPr>
            <w:r>
              <w:rPr>
                <w:b w:val="0"/>
                <w:sz w:val="20"/>
              </w:rPr>
              <w:t xml:space="preserve">Initial and continuation</w:t>
            </w:r>
          </w:p>
        </w:tc>
        <w:tc>
          <w:tcPr>
            <w:tcW w:type="dxa" w:w="2232"/>
            <w:vAlign w:val="center"/>
          </w:tcPr>
          <w:p>
            <w:pPr>
              <w:pStyle w:val="TableBody"/>
              <w:keepNext w:val="0"/>
              <w:jc w:val="center"/>
            </w:pPr>
            <w:r>
              <w:rPr>
                <w:b w:val="0"/>
                <w:sz w:val="20"/>
              </w:rPr>
              <w:t xml:space="preserve">2, 3, 4</w:t>
            </w:r>
          </w:p>
        </w:tc>
        <w:tc>
          <w:tcPr>
            <w:tcW w:type="dxa" w:w="1224"/>
            <w:vAlign w:val="center"/>
          </w:tcPr>
          <w:p>
            <w:pPr>
              <w:pStyle w:val="TableBody"/>
              <w:keepNext w:val="0"/>
              <w:jc w:val="center"/>
            </w:pPr>
            <w:r>
              <w:rPr>
                <w:b w:val="0"/>
                <w:sz w:val="20"/>
              </w:rPr>
              <w:t xml:space="preserve">0.01</w:t>
            </w:r>
          </w:p>
        </w:tc>
        <w:tc>
          <w:tcPr>
            <w:tcW w:type="dxa" w:w="3456"/>
            <w:vAlign w:val="center"/>
          </w:tcPr>
          <w:p>
            <w:pPr>
              <w:pStyle w:val="TableBody"/>
              <w:keepNext w:val="0"/>
              <w:jc w:val="center"/>
            </w:pPr>
            <w:r>
              <w:rPr>
                <w:b w:val="0"/>
                <w:sz w:val="20"/>
              </w:rPr>
              <w:t xml:space="preserve">1.99</w:t>
            </w:r>
          </w:p>
        </w:tc>
      </w:tr>
    </w:tbl>
    <w:p>
      <w:pPr>
        <w:pStyle w:val="BodyText"/>
        <w:spacing w:before="120"/>
      </w:pPr>
      <w:r>
        <w:t xml:space="preserve">For the initial setting,</w:t>
      </w:r>
      <w:r>
        <w:t xml:space="preserve"> </w:t>
      </w:r>
      <m:oMath>
        <m:r>
          <m:t>R</m:t>
        </m:r>
        <m:r>
          <m:rPr>
            <m:sty m:val="p"/>
          </m:rPr>
          <m:t>=</m:t>
        </m:r>
        <m:d>
          <m:dPr>
            <m:begChr m:val="("/>
            <m:endChr m:val=")"/>
            <m:sepChr m:val=""/>
            <m:grow/>
          </m:dPr>
          <m:e>
            <m:r>
              <m:t>2</m:t>
            </m:r>
            <m:r>
              <m:t>B</m:t>
            </m:r>
            <m:r>
              <m:rPr>
                <m:sty m:val="p"/>
              </m:rPr>
              <m:t>−</m:t>
            </m:r>
            <m:r>
              <m:t>3</m:t>
            </m:r>
          </m:e>
        </m:d>
        <m:r>
          <m:t>ε</m:t>
        </m:r>
      </m:oMath>
      <w:r>
        <w:t xml:space="preserve">; for continuation,</w:t>
      </w:r>
      <w:r>
        <w:t xml:space="preserve"> </w:t>
      </w:r>
      <m:oMath>
        <m:r>
          <m:t>R</m:t>
        </m:r>
        <m:r>
          <m:rPr>
            <m:sty m:val="p"/>
          </m:rPr>
          <m:t>=</m:t>
        </m:r>
        <m:r>
          <m:t>2</m:t>
        </m:r>
        <m:r>
          <m:t>b</m:t>
        </m:r>
        <m:r>
          <m:t>ε</m:t>
        </m:r>
      </m:oMath>
      <w:r>
        <w:t xml:space="preserve">. Each table row summarizes six exact calculations, giving 18 policy cases in total. They use</w:t>
      </w:r>
      <w:r>
        <w:t xml:space="preserve"> </w:t>
      </w:r>
      <m:oMath>
        <m:r>
          <m:t>ε</m:t>
        </m:r>
        <m:r>
          <m:rPr>
            <m:sty m:val="p"/>
          </m:rPr>
          <m:t>=</m:t>
        </m:r>
        <m:r>
          <m:t>0.05</m:t>
        </m:r>
      </m:oMath>
      <w:r>
        <w:t xml:space="preserve">,</w:t>
      </w:r>
      <w:r>
        <w:t xml:space="preserve"> </w:t>
      </w:r>
      <m:oMath>
        <m:r>
          <m:t>λ</m:t>
        </m:r>
        <m:r>
          <m:rPr>
            <m:sty m:val="p"/>
          </m:rPr>
          <m:t>=</m:t>
        </m:r>
        <m:r>
          <m:t>0.01</m:t>
        </m:r>
      </m:oMath>
      <w:r>
        <w:t xml:space="preserve">, the two-branch constructions in Theorems 4.3 and 4.4, and deterministic parity observations. The measured-optimal policies were evaluated under the true tree by full-outcome replay, and the true optimal values were computed separately. In every case the exact excess objective equaled</w:t>
      </w:r>
      <w:r>
        <w:t xml:space="preserve"> </w:t>
      </w:r>
      <m:oMath>
        <m:r>
          <m:t>λ</m:t>
        </m:r>
        <m:d>
          <m:dPr>
            <m:begChr m:val="("/>
            <m:endChr m:val=")"/>
            <m:sepChr m:val=""/>
            <m:grow/>
          </m:dPr>
          <m:e>
            <m:r>
              <m:t>2</m:t>
            </m:r>
            <m:r>
              <m:t>R</m:t>
            </m:r>
            <m:r>
              <m:rPr>
                <m:sty m:val="p"/>
              </m:rPr>
              <m:t>−</m:t>
            </m:r>
            <m:r>
              <m:t>η</m:t>
            </m:r>
          </m:e>
        </m:d>
      </m:oMath>
      <w:r>
        <w:t xml:space="preserve">.</w:t>
      </w:r>
    </w:p>
    <w:p>
      <w:pPr>
        <w:pStyle w:val="BodyText"/>
      </w:pPr>
      <w:r>
        <w:t xml:space="preserve">The numerical package provides the tree and decision routines, verification driver, exact rational results, and CSV tables. These examples demonstrate the necessity of the constants under the theorem assumptions; they do not estimate typical calibration error or establish industrial performance.</w:t>
      </w:r>
    </w:p>
    <w:bookmarkEnd w:id="51"/>
    <w:bookmarkEnd w:id="52"/>
    <w:bookmarkStart w:id="53" w:name="discussion-and-concluding-remarks"/>
    <w:p>
      <w:pPr>
        <w:pStyle w:val="Heading1"/>
      </w:pPr>
      <w:r>
        <w:t xml:space="preserve">7. Discussion and concluding remarks</w:t>
      </w:r>
    </w:p>
    <w:p>
      <w:pPr>
        <w:pStyle w:val="FirstParagraph"/>
      </w:pPr>
      <w:r>
        <w:t xml:space="preserve">The mathematical problem separates into identification, estimation, and decision making. Under the rooted-tree assumption, pairwise overlap data determine every acquisition cost. Under bounded measurement error, the cost of an</w:t>
      </w:r>
      <w:r>
        <w:t xml:space="preserve"> </w:t>
      </w:r>
      <m:oMath>
        <m:r>
          <m:t>m</m:t>
        </m:r>
      </m:oMath>
      <w:r>
        <w:t xml:space="preserve">-source group has minimax recovery radius</w:t>
      </w:r>
      <w:r>
        <w:t xml:space="preserve"> </w:t>
      </w:r>
      <m:oMath>
        <m:d>
          <m:dPr>
            <m:begChr m:val="("/>
            <m:endChr m:val=")"/>
            <m:sepChr m:val=""/>
            <m:grow/>
          </m:dPr>
          <m:e>
            <m:r>
              <m:t>2</m:t>
            </m:r>
            <m:r>
              <m:t>m</m:t>
            </m:r>
            <m:r>
              <m:rPr>
                <m:sty m:val="p"/>
              </m:rPr>
              <m:t>−</m:t>
            </m:r>
            <m:r>
              <m:t>3</m:t>
            </m:r>
          </m:e>
        </m:d>
        <m:r>
          <m:t>ε</m:t>
        </m:r>
      </m:oMath>
      <w:r>
        <w:t xml:space="preserve">. This radius quantifies unavoidable amplification of measurement uncertainty, including cases in which the measured table itself is compatible with a tree.</w:t>
      </w:r>
    </w:p>
    <w:p>
      <w:pPr>
        <w:pStyle w:val="BodyText"/>
      </w:pPr>
      <w:r>
        <w:t xml:space="preserve">Continuation recovery is the main extension beyond total-cost recovery. A forest rooted at the earlier acquisitions gives the exact radius</w:t>
      </w:r>
      <w:r>
        <w:t xml:space="preserve"> </w:t>
      </w:r>
      <m:oMath>
        <m:r>
          <m:t>k</m:t>
        </m:r>
        <m:d>
          <m:dPr>
            <m:begChr m:val="("/>
            <m:endChr m:val=")"/>
            <m:sepChr m:val=""/>
            <m:grow/>
          </m:dPr>
          <m:e>
            <m:sSub>
              <m:e>
                <m:r>
                  <m:t>ε</m:t>
                </m:r>
              </m:e>
              <m:sub>
                <m:r>
                  <m:t>1</m:t>
                </m:r>
              </m:sub>
            </m:sSub>
            <m:r>
              <m:rPr>
                <m:sty m:val="p"/>
              </m:rPr>
              <m:t>+</m:t>
            </m:r>
            <m:sSub>
              <m:e>
                <m:r>
                  <m:t>ε</m:t>
                </m:r>
              </m:e>
              <m:sub>
                <m:r>
                  <m:t>2</m:t>
                </m:r>
              </m:sub>
            </m:sSub>
          </m:e>
        </m:d>
      </m:oMath>
      <w:r>
        <w:t xml:space="preserve"> </w:t>
      </w:r>
      <w:r>
        <w:t xml:space="preserve">for</w:t>
      </w:r>
      <w:r>
        <w:t xml:space="preserve"> </w:t>
      </w:r>
      <m:oMath>
        <m:r>
          <m:t>k</m:t>
        </m:r>
      </m:oMath>
      <w:r>
        <w:t xml:space="preserve"> </w:t>
      </w:r>
      <w:r>
        <w:t xml:space="preserve">new queries, independent of the size of the earlier set. The instability construction shows that this independence is an algorithmic improvement: direct subtraction of globally estimated costs can actually have error proportional to the history length. The result is useful when a coordinator revisits acquisition decisions after many routes have already been activated.</w:t>
      </w:r>
    </w:p>
    <w:p>
      <w:pPr>
        <w:pStyle w:val="BodyText"/>
      </w:pPr>
      <w:r>
        <w:t xml:space="preserve">For sequential decisions, uniform cost recovery transfers directly to optimal-value and policy excess-loss guarantees. The matching policy constructions show that the factor two cannot be improved for surrogate-optimal policies within this class. They do not establish that a surrogate-optimal policy is the best possible uncertainty-aware decision procedure. The transfer does not depend on a particular diagnostic classifier, but it requires an unchanged observation model and a common call-constrained policy class. Likelihood misspecification, time-varying costs, repeated queries, resource deactivation, and hard monetary budgets require separate analysis.</w:t>
      </w:r>
    </w:p>
    <w:p>
      <w:pPr>
        <w:pStyle w:val="BodyText"/>
      </w:pPr>
      <w:r>
        <w:t xml:space="preserve">The application illustrates how a coordinator can use the theory to choose sources and determine when to stop. It does not establish industrial validity or the performance of an implemented large-language-model system. Exact adaptive optimization remains exponential in the number of sources; scalable approximations need additional structure.</w:t>
      </w:r>
    </w:p>
    <w:p>
      <w:pPr>
        <w:pStyle w:val="BodyText"/>
      </w:pPr>
      <w:r>
        <w:t xml:space="preserve">The counterexample in Section 5 identifies a substantive boundary: pair measurements suffice within the rooted-path class but do not suffice for general shared resources. Extensions to partially observed routing structures, higher-order calibration measurements, and joint uncertainty in costs and likelihoods provide concrete directions for further research.</w:t>
      </w:r>
    </w:p>
    <w:bookmarkEnd w:id="53"/>
    <w:bookmarkStart w:id="54" w:name="declarations"/>
    <w:p>
      <w:pPr>
        <w:pStyle w:val="Heading1"/>
      </w:pPr>
      <w:r>
        <w:t xml:space="preserve">Declarations</w:t>
      </w:r>
    </w:p>
    <w:p>
      <w:pPr>
        <w:pStyle w:val="FirstParagraph"/>
      </w:pPr>
      <w:r>
        <w:rPr>
          <w:bCs/>
          <w:b/>
        </w:rPr>
        <w:t xml:space="preserve">Funding:</w:t>
      </w:r>
      <w:r>
        <w:t xml:space="preserve"> </w:t>
      </w:r>
      <w:r>
        <w:t xml:space="preserve">[To be completed by the human authors.]</w:t>
      </w:r>
    </w:p>
    <w:p>
      <w:pPr>
        <w:pStyle w:val="BodyText"/>
      </w:pPr>
      <w:r>
        <w:rPr>
          <w:bCs/>
          <w:b/>
        </w:rPr>
        <w:t xml:space="preserve">Competing interests:</w:t>
      </w:r>
      <w:r>
        <w:t xml:space="preserve"> </w:t>
      </w:r>
      <w:r>
        <w:t xml:space="preserve">[To be completed by the human authors.]</w:t>
      </w:r>
    </w:p>
    <w:p>
      <w:pPr>
        <w:pStyle w:val="BodyText"/>
      </w:pPr>
      <w:r>
        <w:rPr>
          <w:bCs/>
          <w:b/>
        </w:rPr>
        <w:t xml:space="preserve">Author contributions:</w:t>
      </w:r>
      <w:r>
        <w:t xml:space="preserve"> </w:t>
      </w:r>
      <w:r>
        <w:t xml:space="preserve">[To be completed by the human authors.]</w:t>
      </w:r>
    </w:p>
    <w:p>
      <w:pPr>
        <w:pStyle w:val="BodyText"/>
      </w:pPr>
      <w:r>
        <w:rPr>
          <w:bCs/>
          <w:b/>
        </w:rPr>
        <w:t xml:space="preserve">Data and code availability:</w:t>
      </w:r>
      <w:r>
        <w:t xml:space="preserve"> </w:t>
      </w:r>
      <w:r>
        <w:t xml:space="preserve">No empirical dataset was collected. All parameters defining the synthetic decision instance are provided in Section 6. The accompanying Theorem_Strengthening_Supplement contains tree_recovery.py, verify_results.py, exact results, CSV tables, and a run log. Running the verification driver with Python 3.10 or later reproduces the computations without third-party packages. A permanent repository identifier should be added when the human authors archive the final submission package; no public repository is asserted in this draft.</w:t>
      </w:r>
    </w:p>
    <w:p>
      <w:pPr>
        <w:pStyle w:val="BodyText"/>
      </w:pPr>
      <w:r>
        <w:rPr>
          <w:bCs/>
          <w:b/>
        </w:rPr>
        <w:t xml:space="preserve">AI assistance:</w:t>
      </w:r>
      <w:r>
        <w:t xml:space="preserve"> </w:t>
      </w:r>
      <w:r>
        <w:t xml:space="preserve">ChatGPT was used to develop the mathematical formulation, proposed proofs, verification code, and manuscript text. Independent human verification of the mathematical claims, literature positioning, and final manuscript is required before submission.</w:t>
      </w:r>
    </w:p>
    <w:bookmarkEnd w:id="54"/>
    <w:bookmarkStart w:id="76" w:name="references"/>
    <w:p>
      <w:pPr>
        <w:pStyle w:val="Heading1"/>
        <w:pageBreakBefore/>
      </w:pPr>
      <w:r>
        <w:t xml:space="preserve">References</w:t>
      </w:r>
    </w:p>
    <w:p>
      <w:pPr>
        <w:pStyle w:val="Bibliography"/>
      </w:pPr>
      <w:r>
        <w:t xml:space="preserve">[1] A. V. Aho, Y. Sagiv, T. G. Szymanski, and J. D. Ullman,</w:t>
      </w:r>
      <w:r>
        <w:t xml:space="preserve"> </w:t>
      </w:r>
      <w:hyperlink r:id="rId55">
        <w:r>
          <w:rPr>
            <w:rStyle w:val="Hyperlink"/>
          </w:rPr>
          <w:t xml:space="preserve">Inferring a tree from lowest common ancestors with an application to the optimization of relational expressions</w:t>
        </w:r>
      </w:hyperlink>
      <w:r>
        <w:t xml:space="preserve">,</w:t>
      </w:r>
      <w:r>
        <w:t xml:space="preserve"> </w:t>
      </w:r>
      <w:r>
        <w:rPr>
          <w:iCs/>
          <w:i/>
        </w:rPr>
        <w:t xml:space="preserve">SIAM Journal on Computing</w:t>
      </w:r>
      <w:r>
        <w:t xml:space="preserve"> </w:t>
      </w:r>
      <w:r>
        <w:rPr>
          <w:bCs/>
          <w:b/>
        </w:rPr>
        <w:t xml:space="preserve">10</w:t>
      </w:r>
      <w:r>
        <w:t xml:space="preserve"> </w:t>
      </w:r>
      <w:r>
        <w:t xml:space="preserve">(1981), no. 3, 405–421.</w:t>
      </w:r>
    </w:p>
    <w:p>
      <w:pPr>
        <w:pStyle w:val="Bibliography"/>
      </w:pPr>
      <w:r>
        <w:t xml:space="preserve">[2] D. Blackwell,</w:t>
      </w:r>
      <w:r>
        <w:t xml:space="preserve"> </w:t>
      </w:r>
      <w:hyperlink r:id="rId56">
        <w:r>
          <w:rPr>
            <w:rStyle w:val="Hyperlink"/>
          </w:rPr>
          <w:t xml:space="preserve">Equivalent comparisons of experiments</w:t>
        </w:r>
      </w:hyperlink>
      <w:r>
        <w:t xml:space="preserve">,</w:t>
      </w:r>
      <w:r>
        <w:t xml:space="preserve"> </w:t>
      </w:r>
      <w:r>
        <w:rPr>
          <w:iCs/>
          <w:i/>
        </w:rPr>
        <w:t xml:space="preserve">The Annals of Mathematical Statistics</w:t>
      </w:r>
      <w:r>
        <w:t xml:space="preserve"> </w:t>
      </w:r>
      <w:r>
        <w:rPr>
          <w:bCs/>
          <w:b/>
        </w:rPr>
        <w:t xml:space="preserve">24</w:t>
      </w:r>
      <w:r>
        <w:t xml:space="preserve"> </w:t>
      </w:r>
      <w:r>
        <w:t xml:space="preserve">(1953), no. 2, 265–272.</w:t>
      </w:r>
    </w:p>
    <w:p>
      <w:pPr>
        <w:pStyle w:val="Bibliography"/>
      </w:pPr>
      <w:r>
        <w:t xml:space="preserve">[3] D. Bryant and P. F. Tupper,</w:t>
      </w:r>
      <w:r>
        <w:t xml:space="preserve"> </w:t>
      </w:r>
      <w:hyperlink r:id="rId57">
        <w:r>
          <w:rPr>
            <w:rStyle w:val="Hyperlink"/>
          </w:rPr>
          <w:t xml:space="preserve">Hyperconvexity and tight-span theory for diversities</w:t>
        </w:r>
      </w:hyperlink>
      <w:r>
        <w:t xml:space="preserve">,</w:t>
      </w:r>
      <w:r>
        <w:t xml:space="preserve"> </w:t>
      </w:r>
      <w:r>
        <w:rPr>
          <w:iCs/>
          <w:i/>
        </w:rPr>
        <w:t xml:space="preserve">Advances in Mathematics</w:t>
      </w:r>
      <w:r>
        <w:t xml:space="preserve"> </w:t>
      </w:r>
      <w:r>
        <w:rPr>
          <w:bCs/>
          <w:b/>
        </w:rPr>
        <w:t xml:space="preserve">231</w:t>
      </w:r>
      <w:r>
        <w:t xml:space="preserve"> </w:t>
      </w:r>
      <w:r>
        <w:t xml:space="preserve">(2012), no. 6, 3172–3198.</w:t>
      </w:r>
      <w:r>
        <w:t xml:space="preserve"> </w:t>
      </w:r>
      <w:hyperlink r:id="rId58">
        <w:r>
          <w:rPr>
            <w:rStyle w:val="Hyperlink"/>
          </w:rPr>
          <w:t xml:space="preserve">Author preprint</w:t>
        </w:r>
      </w:hyperlink>
      <w:r>
        <w:t xml:space="preserve">.</w:t>
      </w:r>
    </w:p>
    <w:p>
      <w:pPr>
        <w:pStyle w:val="Bibliography"/>
      </w:pPr>
      <w:r>
        <w:t xml:space="preserve">[4] P. Buneman,</w:t>
      </w:r>
      <w:r>
        <w:t xml:space="preserve"> </w:t>
      </w:r>
      <w:hyperlink r:id="rId59">
        <w:r>
          <w:rPr>
            <w:rStyle w:val="Hyperlink"/>
          </w:rPr>
          <w:t xml:space="preserve">A note on the metric properties of trees</w:t>
        </w:r>
      </w:hyperlink>
      <w:r>
        <w:t xml:space="preserve">,</w:t>
      </w:r>
      <w:r>
        <w:t xml:space="preserve"> </w:t>
      </w:r>
      <w:r>
        <w:rPr>
          <w:iCs/>
          <w:i/>
        </w:rPr>
        <w:t xml:space="preserve">Journal of Combinatorial Theory, Series B</w:t>
      </w:r>
      <w:r>
        <w:t xml:space="preserve"> </w:t>
      </w:r>
      <w:r>
        <w:rPr>
          <w:bCs/>
          <w:b/>
        </w:rPr>
        <w:t xml:space="preserve">17</w:t>
      </w:r>
      <w:r>
        <w:t xml:space="preserve"> </w:t>
      </w:r>
      <w:r>
        <w:t xml:space="preserve">(1974), no. 1, 48–50.</w:t>
      </w:r>
    </w:p>
    <w:p>
      <w:pPr>
        <w:pStyle w:val="Bibliography"/>
      </w:pPr>
      <w:r>
        <w:t xml:space="preserve">[5] G. Carlsson and F. Mémoli,</w:t>
      </w:r>
      <w:r>
        <w:t xml:space="preserve"> </w:t>
      </w:r>
      <w:hyperlink r:id="rId24">
        <w:r>
          <w:rPr>
            <w:rStyle w:val="Hyperlink"/>
          </w:rPr>
          <w:t xml:space="preserve">Characterization, stability and convergence of hierarchical clustering methods</w:t>
        </w:r>
      </w:hyperlink>
      <w:r>
        <w:t xml:space="preserve">,</w:t>
      </w:r>
      <w:r>
        <w:t xml:space="preserve"> </w:t>
      </w:r>
      <w:r>
        <w:rPr>
          <w:iCs/>
          <w:i/>
        </w:rPr>
        <w:t xml:space="preserve">Journal of Machine Learning Research</w:t>
      </w:r>
      <w:r>
        <w:t xml:space="preserve"> </w:t>
      </w:r>
      <w:r>
        <w:rPr>
          <w:bCs/>
          <w:b/>
        </w:rPr>
        <w:t xml:space="preserve">11</w:t>
      </w:r>
      <w:r>
        <w:t xml:space="preserve"> </w:t>
      </w:r>
      <w:r>
        <w:t xml:space="preserve">(2010), 1425–1470.</w:t>
      </w:r>
    </w:p>
    <w:p>
      <w:pPr>
        <w:pStyle w:val="Bibliography"/>
      </w:pPr>
      <w:r>
        <w:t xml:space="preserve">[6] H. Chernoff,</w:t>
      </w:r>
      <w:r>
        <w:t xml:space="preserve"> </w:t>
      </w:r>
      <w:hyperlink r:id="rId60">
        <w:r>
          <w:rPr>
            <w:rStyle w:val="Hyperlink"/>
          </w:rPr>
          <w:t xml:space="preserve">Sequential design of experiments</w:t>
        </w:r>
      </w:hyperlink>
      <w:r>
        <w:t xml:space="preserve">,</w:t>
      </w:r>
      <w:r>
        <w:t xml:space="preserve"> </w:t>
      </w:r>
      <w:r>
        <w:rPr>
          <w:iCs/>
          <w:i/>
        </w:rPr>
        <w:t xml:space="preserve">The Annals of Mathematical Statistics</w:t>
      </w:r>
      <w:r>
        <w:t xml:space="preserve"> </w:t>
      </w:r>
      <w:r>
        <w:rPr>
          <w:bCs/>
          <w:b/>
        </w:rPr>
        <w:t xml:space="preserve">30</w:t>
      </w:r>
      <w:r>
        <w:t xml:space="preserve"> </w:t>
      </w:r>
      <w:r>
        <w:t xml:space="preserve">(1959), no. 3, 755–770.</w:t>
      </w:r>
    </w:p>
    <w:p>
      <w:pPr>
        <w:pStyle w:val="Bibliography"/>
      </w:pPr>
      <w:r>
        <w:t xml:space="preserve">[7] D. L. Donoho,</w:t>
      </w:r>
      <w:r>
        <w:t xml:space="preserve"> </w:t>
      </w:r>
      <w:hyperlink r:id="rId61">
        <w:r>
          <w:rPr>
            <w:rStyle w:val="Hyperlink"/>
          </w:rPr>
          <w:t xml:space="preserve">Statistical estimation and optimal recovery</w:t>
        </w:r>
      </w:hyperlink>
      <w:r>
        <w:t xml:space="preserve">,</w:t>
      </w:r>
      <w:r>
        <w:t xml:space="preserve"> </w:t>
      </w:r>
      <w:r>
        <w:rPr>
          <w:iCs/>
          <w:i/>
        </w:rPr>
        <w:t xml:space="preserve">The Annals of Statistics</w:t>
      </w:r>
      <w:r>
        <w:t xml:space="preserve"> </w:t>
      </w:r>
      <w:r>
        <w:rPr>
          <w:bCs/>
          <w:b/>
        </w:rPr>
        <w:t xml:space="preserve">22</w:t>
      </w:r>
      <w:r>
        <w:t xml:space="preserve"> </w:t>
      </w:r>
      <w:r>
        <w:t xml:space="preserve">(1994), no. 1, 238–270.</w:t>
      </w:r>
    </w:p>
    <w:p>
      <w:pPr>
        <w:pStyle w:val="Bibliography"/>
      </w:pPr>
      <w:r>
        <w:t xml:space="preserve">[8] D. P. Faith,</w:t>
      </w:r>
      <w:r>
        <w:t xml:space="preserve"> </w:t>
      </w:r>
      <w:hyperlink r:id="rId62">
        <w:r>
          <w:rPr>
            <w:rStyle w:val="Hyperlink"/>
          </w:rPr>
          <w:t xml:space="preserve">Conservation evaluation and phylogenetic diversity</w:t>
        </w:r>
      </w:hyperlink>
      <w:r>
        <w:t xml:space="preserve">,</w:t>
      </w:r>
      <w:r>
        <w:t xml:space="preserve"> </w:t>
      </w:r>
      <w:r>
        <w:rPr>
          <w:iCs/>
          <w:i/>
        </w:rPr>
        <w:t xml:space="preserve">Biological Conservation</w:t>
      </w:r>
      <w:r>
        <w:t xml:space="preserve"> </w:t>
      </w:r>
      <w:r>
        <w:rPr>
          <w:bCs/>
          <w:b/>
        </w:rPr>
        <w:t xml:space="preserve">61</w:t>
      </w:r>
      <w:r>
        <w:t xml:space="preserve"> </w:t>
      </w:r>
      <w:r>
        <w:t xml:space="preserve">(1992), no. 1, 1–10.</w:t>
      </w:r>
    </w:p>
    <w:p>
      <w:pPr>
        <w:pStyle w:val="Bibliography"/>
      </w:pPr>
      <w:r>
        <w:t xml:space="preserve">[9] M. Farach, S. Kannan, and T. Warnow,</w:t>
      </w:r>
      <w:r>
        <w:t xml:space="preserve"> </w:t>
      </w:r>
      <w:hyperlink r:id="rId63">
        <w:r>
          <w:rPr>
            <w:rStyle w:val="Hyperlink"/>
          </w:rPr>
          <w:t xml:space="preserve">A robust model for finding optimal evolutionary trees</w:t>
        </w:r>
      </w:hyperlink>
      <w:r>
        <w:t xml:space="preserve">,</w:t>
      </w:r>
      <w:r>
        <w:t xml:space="preserve"> </w:t>
      </w:r>
      <w:r>
        <w:rPr>
          <w:iCs/>
          <w:i/>
        </w:rPr>
        <w:t xml:space="preserve">Algorithmica</w:t>
      </w:r>
      <w:r>
        <w:t xml:space="preserve"> </w:t>
      </w:r>
      <w:r>
        <w:rPr>
          <w:bCs/>
          <w:b/>
        </w:rPr>
        <w:t xml:space="preserve">13</w:t>
      </w:r>
      <w:r>
        <w:t xml:space="preserve"> </w:t>
      </w:r>
      <w:r>
        <w:t xml:space="preserve">(1995), 155–179.</w:t>
      </w:r>
    </w:p>
    <w:p>
      <w:pPr>
        <w:pStyle w:val="Bibliography"/>
      </w:pPr>
      <w:r>
        <w:t xml:space="preserve">[10] D. Golovin and A. Krause,</w:t>
      </w:r>
      <w:r>
        <w:t xml:space="preserve"> </w:t>
      </w:r>
      <w:hyperlink r:id="rId26">
        <w:r>
          <w:rPr>
            <w:rStyle w:val="Hyperlink"/>
          </w:rPr>
          <w:t xml:space="preserve">Adaptive submodularity: Theory and applications in active learning and stochastic optimization</w:t>
        </w:r>
      </w:hyperlink>
      <w:r>
        <w:t xml:space="preserve">,</w:t>
      </w:r>
      <w:r>
        <w:t xml:space="preserve"> </w:t>
      </w:r>
      <w:r>
        <w:rPr>
          <w:iCs/>
          <w:i/>
        </w:rPr>
        <w:t xml:space="preserve">Journal of Artificial Intelligence Research</w:t>
      </w:r>
      <w:r>
        <w:t xml:space="preserve"> </w:t>
      </w:r>
      <w:r>
        <w:rPr>
          <w:bCs/>
          <w:b/>
        </w:rPr>
        <w:t xml:space="preserve">42</w:t>
      </w:r>
      <w:r>
        <w:t xml:space="preserve"> </w:t>
      </w:r>
      <w:r>
        <w:t xml:space="preserve">(2011), 427–486.</w:t>
      </w:r>
    </w:p>
    <w:p>
      <w:pPr>
        <w:pStyle w:val="Bibliography"/>
      </w:pPr>
      <w:r>
        <w:t xml:space="preserve">[11] J. C. Gower and G. J. S. Ross,</w:t>
      </w:r>
      <w:r>
        <w:t xml:space="preserve"> </w:t>
      </w:r>
      <w:hyperlink r:id="rId64">
        <w:r>
          <w:rPr>
            <w:rStyle w:val="Hyperlink"/>
          </w:rPr>
          <w:t xml:space="preserve">Minimum spanning trees and single linkage cluster analysis</w:t>
        </w:r>
      </w:hyperlink>
      <w:r>
        <w:t xml:space="preserve">,</w:t>
      </w:r>
      <w:r>
        <w:t xml:space="preserve"> </w:t>
      </w:r>
      <w:r>
        <w:rPr>
          <w:iCs/>
          <w:i/>
        </w:rPr>
        <w:t xml:space="preserve">Journal of the Royal Statistical Society, Series C: Applied Statistics</w:t>
      </w:r>
      <w:r>
        <w:t xml:space="preserve"> </w:t>
      </w:r>
      <w:r>
        <w:rPr>
          <w:bCs/>
          <w:b/>
        </w:rPr>
        <w:t xml:space="preserve">18</w:t>
      </w:r>
      <w:r>
        <w:t xml:space="preserve"> </w:t>
      </w:r>
      <w:r>
        <w:t xml:space="preserve">(1969), no. 1, 54–64.</w:t>
      </w:r>
    </w:p>
    <w:p>
      <w:pPr>
        <w:pStyle w:val="Bibliography"/>
      </w:pPr>
      <w:r>
        <w:t xml:space="preserve">[12] D. Hunter,</w:t>
      </w:r>
      <w:r>
        <w:t xml:space="preserve"> </w:t>
      </w:r>
      <w:hyperlink r:id="rId23">
        <w:r>
          <w:rPr>
            <w:rStyle w:val="Hyperlink"/>
          </w:rPr>
          <w:t xml:space="preserve">An upper bound for the probability of a union</w:t>
        </w:r>
      </w:hyperlink>
      <w:r>
        <w:t xml:space="preserve">,</w:t>
      </w:r>
      <w:r>
        <w:t xml:space="preserve"> </w:t>
      </w:r>
      <w:r>
        <w:rPr>
          <w:iCs/>
          <w:i/>
        </w:rPr>
        <w:t xml:space="preserve">Journal of Applied Probability</w:t>
      </w:r>
      <w:r>
        <w:t xml:space="preserve"> </w:t>
      </w:r>
      <w:r>
        <w:rPr>
          <w:bCs/>
          <w:b/>
        </w:rPr>
        <w:t xml:space="preserve">13</w:t>
      </w:r>
      <w:r>
        <w:t xml:space="preserve"> </w:t>
      </w:r>
      <w:r>
        <w:t xml:space="preserve">(1976), no. 3, 597–603.</w:t>
      </w:r>
    </w:p>
    <w:p>
      <w:pPr>
        <w:pStyle w:val="Bibliography"/>
      </w:pPr>
      <w:r>
        <w:t xml:space="preserve">[13] G. N. Iyengar,</w:t>
      </w:r>
      <w:r>
        <w:t xml:space="preserve"> </w:t>
      </w:r>
      <w:hyperlink r:id="rId65">
        <w:r>
          <w:rPr>
            <w:rStyle w:val="Hyperlink"/>
          </w:rPr>
          <w:t xml:space="preserve">Robust dynamic programming</w:t>
        </w:r>
      </w:hyperlink>
      <w:r>
        <w:t xml:space="preserve">,</w:t>
      </w:r>
      <w:r>
        <w:t xml:space="preserve"> </w:t>
      </w:r>
      <w:r>
        <w:rPr>
          <w:iCs/>
          <w:i/>
        </w:rPr>
        <w:t xml:space="preserve">Mathematics of Operations Research</w:t>
      </w:r>
      <w:r>
        <w:t xml:space="preserve"> </w:t>
      </w:r>
      <w:r>
        <w:rPr>
          <w:bCs/>
          <w:b/>
        </w:rPr>
        <w:t xml:space="preserve">30</w:t>
      </w:r>
      <w:r>
        <w:t xml:space="preserve"> </w:t>
      </w:r>
      <w:r>
        <w:t xml:space="preserve">(2005), no. 2, 257–280.</w:t>
      </w:r>
    </w:p>
    <w:p>
      <w:pPr>
        <w:pStyle w:val="Bibliography"/>
      </w:pPr>
      <w:r>
        <w:t xml:space="preserve">[14] L. P. Kaelbling, M. L. Littman, and A. R. Cassandra,</w:t>
      </w:r>
      <w:r>
        <w:t xml:space="preserve"> </w:t>
      </w:r>
      <w:hyperlink r:id="rId66">
        <w:r>
          <w:rPr>
            <w:rStyle w:val="Hyperlink"/>
          </w:rPr>
          <w:t xml:space="preserve">Planning and acting in partially observable stochastic domains</w:t>
        </w:r>
      </w:hyperlink>
      <w:r>
        <w:t xml:space="preserve">,</w:t>
      </w:r>
      <w:r>
        <w:t xml:space="preserve"> </w:t>
      </w:r>
      <w:r>
        <w:rPr>
          <w:iCs/>
          <w:i/>
        </w:rPr>
        <w:t xml:space="preserve">Artificial Intelligence</w:t>
      </w:r>
      <w:r>
        <w:t xml:space="preserve"> </w:t>
      </w:r>
      <w:r>
        <w:rPr>
          <w:bCs/>
          <w:b/>
        </w:rPr>
        <w:t xml:space="preserve">101</w:t>
      </w:r>
      <w:r>
        <w:t xml:space="preserve"> </w:t>
      </w:r>
      <w:r>
        <w:t xml:space="preserve">(1998), nos. 1–2, 99–134.</w:t>
      </w:r>
    </w:p>
    <w:p>
      <w:pPr>
        <w:pStyle w:val="Bibliography"/>
      </w:pPr>
      <w:r>
        <w:t xml:space="preserve">[15] A. Krause, H. B. McMahan, C. Guestrin, and A. Gupta,</w:t>
      </w:r>
      <w:r>
        <w:t xml:space="preserve"> </w:t>
      </w:r>
      <w:hyperlink r:id="rId27">
        <w:r>
          <w:rPr>
            <w:rStyle w:val="Hyperlink"/>
          </w:rPr>
          <w:t xml:space="preserve">Robust submodular observation selection</w:t>
        </w:r>
      </w:hyperlink>
      <w:r>
        <w:t xml:space="preserve">,</w:t>
      </w:r>
      <w:r>
        <w:t xml:space="preserve"> </w:t>
      </w:r>
      <w:r>
        <w:rPr>
          <w:iCs/>
          <w:i/>
        </w:rPr>
        <w:t xml:space="preserve">Journal of Machine Learning Research</w:t>
      </w:r>
      <w:r>
        <w:t xml:space="preserve"> </w:t>
      </w:r>
      <w:r>
        <w:rPr>
          <w:bCs/>
          <w:b/>
        </w:rPr>
        <w:t xml:space="preserve">9</w:t>
      </w:r>
      <w:r>
        <w:t xml:space="preserve"> </w:t>
      </w:r>
      <w:r>
        <w:t xml:space="preserve">(2008), 2761–2801.</w:t>
      </w:r>
    </w:p>
    <w:p>
      <w:pPr>
        <w:pStyle w:val="Bibliography"/>
      </w:pPr>
      <w:r>
        <w:t xml:space="preserve">[16] Y. Li and J. Oliva,</w:t>
      </w:r>
      <w:r>
        <w:t xml:space="preserve"> </w:t>
      </w:r>
      <w:hyperlink r:id="rId67">
        <w:r>
          <w:rPr>
            <w:rStyle w:val="Hyperlink"/>
          </w:rPr>
          <w:t xml:space="preserve">Active feature acquisition with generative surrogate models</w:t>
        </w:r>
      </w:hyperlink>
      <w:r>
        <w:t xml:space="preserve">, in</w:t>
      </w:r>
      <w:r>
        <w:t xml:space="preserve"> </w:t>
      </w:r>
      <w:r>
        <w:rPr>
          <w:iCs/>
          <w:i/>
        </w:rPr>
        <w:t xml:space="preserve">Proceedings of the 38th International Conference on Machine Learning</w:t>
      </w:r>
      <w:r>
        <w:t xml:space="preserve">, Proceedings of Machine Learning Research</w:t>
      </w:r>
      <w:r>
        <w:t xml:space="preserve"> </w:t>
      </w:r>
      <w:r>
        <w:rPr>
          <w:bCs/>
          <w:b/>
        </w:rPr>
        <w:t xml:space="preserve">139</w:t>
      </w:r>
      <w:r>
        <w:t xml:space="preserve"> </w:t>
      </w:r>
      <w:r>
        <w:t xml:space="preserve">(2021), 6450–6459.</w:t>
      </w:r>
    </w:p>
    <w:p>
      <w:pPr>
        <w:pStyle w:val="Bibliography"/>
      </w:pPr>
      <w:r>
        <w:t xml:space="preserve">[17] C. Ma, S. Tschiatschek, K. Palla, J. M. Hernandez-Lobato, S. Nowozin, and C. Zhang,</w:t>
      </w:r>
      <w:r>
        <w:t xml:space="preserve"> </w:t>
      </w:r>
      <w:hyperlink r:id="rId68">
        <w:r>
          <w:rPr>
            <w:rStyle w:val="Hyperlink"/>
          </w:rPr>
          <w:t xml:space="preserve">EDDI: Efficient dynamic discovery of high-value information with partial VAE</w:t>
        </w:r>
      </w:hyperlink>
      <w:r>
        <w:t xml:space="preserve">, in</w:t>
      </w:r>
      <w:r>
        <w:t xml:space="preserve"> </w:t>
      </w:r>
      <w:r>
        <w:rPr>
          <w:iCs/>
          <w:i/>
        </w:rPr>
        <w:t xml:space="preserve">Proceedings of the 36th International Conference on Machine Learning</w:t>
      </w:r>
      <w:r>
        <w:t xml:space="preserve">, Proceedings of Machine Learning Research</w:t>
      </w:r>
      <w:r>
        <w:t xml:space="preserve"> </w:t>
      </w:r>
      <w:r>
        <w:rPr>
          <w:bCs/>
          <w:b/>
        </w:rPr>
        <w:t xml:space="preserve">97</w:t>
      </w:r>
      <w:r>
        <w:t xml:space="preserve"> </w:t>
      </w:r>
      <w:r>
        <w:t xml:space="preserve">(2019), 4234–4243.</w:t>
      </w:r>
    </w:p>
    <w:p>
      <w:pPr>
        <w:pStyle w:val="Bibliography"/>
      </w:pPr>
      <w:r>
        <w:t xml:space="preserve">[18] J. Márkus, M. Pintér, and A. Radványi,</w:t>
      </w:r>
      <w:r>
        <w:t xml:space="preserve"> </w:t>
      </w:r>
      <w:hyperlink r:id="rId69">
        <w:r>
          <w:rPr>
            <w:rStyle w:val="Hyperlink"/>
          </w:rPr>
          <w:t xml:space="preserve">The Shapley value for airport and irrigation games</w:t>
        </w:r>
      </w:hyperlink>
      <w:r>
        <w:t xml:space="preserve">,</w:t>
      </w:r>
      <w:r>
        <w:t xml:space="preserve"> </w:t>
      </w:r>
      <w:r>
        <w:rPr>
          <w:iCs/>
          <w:i/>
        </w:rPr>
        <w:t xml:space="preserve">Central European Journal of Operations Research</w:t>
      </w:r>
      <w:r>
        <w:t xml:space="preserve"> </w:t>
      </w:r>
      <w:r>
        <w:t xml:space="preserve">(2026), published online 22 August 2026.</w:t>
      </w:r>
    </w:p>
    <w:p>
      <w:pPr>
        <w:pStyle w:val="Bibliography"/>
      </w:pPr>
      <w:r>
        <w:t xml:space="preserve">[19] M. Naghshvar and T. Javidi,</w:t>
      </w:r>
      <w:r>
        <w:t xml:space="preserve"> </w:t>
      </w:r>
      <w:hyperlink r:id="rId70">
        <w:r>
          <w:rPr>
            <w:rStyle w:val="Hyperlink"/>
          </w:rPr>
          <w:t xml:space="preserve">Active sequential hypothesis testing</w:t>
        </w:r>
      </w:hyperlink>
      <w:r>
        <w:t xml:space="preserve">,</w:t>
      </w:r>
      <w:r>
        <w:t xml:space="preserve"> </w:t>
      </w:r>
      <w:r>
        <w:rPr>
          <w:iCs/>
          <w:i/>
        </w:rPr>
        <w:t xml:space="preserve">The Annals of Statistics</w:t>
      </w:r>
      <w:r>
        <w:t xml:space="preserve"> </w:t>
      </w:r>
      <w:r>
        <w:rPr>
          <w:bCs/>
          <w:b/>
        </w:rPr>
        <w:t xml:space="preserve">41</w:t>
      </w:r>
      <w:r>
        <w:t xml:space="preserve"> </w:t>
      </w:r>
      <w:r>
        <w:t xml:space="preserve">(2013), no. 6, 2703–2738.</w:t>
      </w:r>
    </w:p>
    <w:p>
      <w:pPr>
        <w:pStyle w:val="Bibliography"/>
      </w:pPr>
      <w:r>
        <w:t xml:space="preserve">[20] G. L. Nemhauser, L. A. Wolsey, and M. L. Fisher,</w:t>
      </w:r>
      <w:r>
        <w:t xml:space="preserve"> </w:t>
      </w:r>
      <w:hyperlink r:id="rId71">
        <w:r>
          <w:rPr>
            <w:rStyle w:val="Hyperlink"/>
          </w:rPr>
          <w:t xml:space="preserve">An analysis of approximations for maximizing submodular set functions—I</w:t>
        </w:r>
      </w:hyperlink>
      <w:r>
        <w:t xml:space="preserve">,</w:t>
      </w:r>
      <w:r>
        <w:t xml:space="preserve"> </w:t>
      </w:r>
      <w:r>
        <w:rPr>
          <w:iCs/>
          <w:i/>
        </w:rPr>
        <w:t xml:space="preserve">Mathematical Programming</w:t>
      </w:r>
      <w:r>
        <w:t xml:space="preserve"> </w:t>
      </w:r>
      <w:r>
        <w:rPr>
          <w:bCs/>
          <w:b/>
        </w:rPr>
        <w:t xml:space="preserve">14</w:t>
      </w:r>
      <w:r>
        <w:t xml:space="preserve"> </w:t>
      </w:r>
      <w:r>
        <w:t xml:space="preserve">(1978), 265–294.</w:t>
      </w:r>
    </w:p>
    <w:p>
      <w:pPr>
        <w:pStyle w:val="Bibliography"/>
      </w:pPr>
      <w:r>
        <w:t xml:space="preserve">[21] A. Nilim and L. El Ghaoui,</w:t>
      </w:r>
      <w:r>
        <w:t xml:space="preserve"> </w:t>
      </w:r>
      <w:hyperlink r:id="rId72">
        <w:r>
          <w:rPr>
            <w:rStyle w:val="Hyperlink"/>
          </w:rPr>
          <w:t xml:space="preserve">Robust control of Markov decision processes with uncertain transition matrices</w:t>
        </w:r>
      </w:hyperlink>
      <w:r>
        <w:t xml:space="preserve">,</w:t>
      </w:r>
      <w:r>
        <w:t xml:space="preserve"> </w:t>
      </w:r>
      <w:r>
        <w:rPr>
          <w:iCs/>
          <w:i/>
        </w:rPr>
        <w:t xml:space="preserve">Operations Research</w:t>
      </w:r>
      <w:r>
        <w:t xml:space="preserve"> </w:t>
      </w:r>
      <w:r>
        <w:rPr>
          <w:bCs/>
          <w:b/>
        </w:rPr>
        <w:t xml:space="preserve">53</w:t>
      </w:r>
      <w:r>
        <w:t xml:space="preserve"> </w:t>
      </w:r>
      <w:r>
        <w:t xml:space="preserve">(2005), no. 5, 780–798.</w:t>
      </w:r>
    </w:p>
    <w:p>
      <w:pPr>
        <w:pStyle w:val="Bibliography"/>
      </w:pPr>
      <w:r>
        <w:t xml:space="preserve">[22] L. Pachter and D. Speyer,</w:t>
      </w:r>
      <w:r>
        <w:t xml:space="preserve"> </w:t>
      </w:r>
      <w:hyperlink r:id="rId22">
        <w:r>
          <w:rPr>
            <w:rStyle w:val="Hyperlink"/>
          </w:rPr>
          <w:t xml:space="preserve">Reconstructing trees from subtree weights</w:t>
        </w:r>
      </w:hyperlink>
      <w:r>
        <w:t xml:space="preserve">,</w:t>
      </w:r>
      <w:r>
        <w:t xml:space="preserve"> </w:t>
      </w:r>
      <w:r>
        <w:rPr>
          <w:iCs/>
          <w:i/>
        </w:rPr>
        <w:t xml:space="preserve">Applied Mathematics Letters</w:t>
      </w:r>
      <w:r>
        <w:t xml:space="preserve"> </w:t>
      </w:r>
      <w:r>
        <w:rPr>
          <w:bCs/>
          <w:b/>
        </w:rPr>
        <w:t xml:space="preserve">17</w:t>
      </w:r>
      <w:r>
        <w:t xml:space="preserve"> </w:t>
      </w:r>
      <w:r>
        <w:t xml:space="preserve">(2004), no. 6, 615–621. Link provides the authors’ preprint.</w:t>
      </w:r>
    </w:p>
    <w:p>
      <w:pPr>
        <w:pStyle w:val="Bibliography"/>
      </w:pPr>
      <w:r>
        <w:t xml:space="preserve">[23] Z. Qin and Y. Lu,</w:t>
      </w:r>
      <w:r>
        <w:t xml:space="preserve"> </w:t>
      </w:r>
      <w:hyperlink r:id="rId21">
        <w:r>
          <w:rPr>
            <w:rStyle w:val="Hyperlink"/>
          </w:rPr>
          <w:t xml:space="preserve">Knowledge graph-enhanced multi-agent reinforcement learning for adaptive scheduling in smart manufacturing</w:t>
        </w:r>
      </w:hyperlink>
      <w:r>
        <w:t xml:space="preserve">,</w:t>
      </w:r>
      <w:r>
        <w:t xml:space="preserve"> </w:t>
      </w:r>
      <w:r>
        <w:rPr>
          <w:iCs/>
          <w:i/>
        </w:rPr>
        <w:t xml:space="preserve">Journal of Intelligent Manufacturing</w:t>
      </w:r>
      <w:r>
        <w:t xml:space="preserve"> </w:t>
      </w:r>
      <w:r>
        <w:rPr>
          <w:bCs/>
          <w:b/>
        </w:rPr>
        <w:t xml:space="preserve">36</w:t>
      </w:r>
      <w:r>
        <w:t xml:space="preserve"> </w:t>
      </w:r>
      <w:r>
        <w:t xml:space="preserve">(2025), 5943–5966.</w:t>
      </w:r>
    </w:p>
    <w:p>
      <w:pPr>
        <w:pStyle w:val="Bibliography"/>
      </w:pPr>
      <w:r>
        <w:t xml:space="preserve">[24] R. D. Smallwood and E. J. Sondik,</w:t>
      </w:r>
      <w:r>
        <w:t xml:space="preserve"> </w:t>
      </w:r>
      <w:hyperlink r:id="rId25">
        <w:r>
          <w:rPr>
            <w:rStyle w:val="Hyperlink"/>
          </w:rPr>
          <w:t xml:space="preserve">The optimal control of partially observable Markov processes over a finite horizon</w:t>
        </w:r>
      </w:hyperlink>
      <w:r>
        <w:t xml:space="preserve">,</w:t>
      </w:r>
      <w:r>
        <w:t xml:space="preserve"> </w:t>
      </w:r>
      <w:r>
        <w:rPr>
          <w:iCs/>
          <w:i/>
        </w:rPr>
        <w:t xml:space="preserve">Operations Research</w:t>
      </w:r>
      <w:r>
        <w:t xml:space="preserve"> </w:t>
      </w:r>
      <w:r>
        <w:rPr>
          <w:bCs/>
          <w:b/>
        </w:rPr>
        <w:t xml:space="preserve">21</w:t>
      </w:r>
      <w:r>
        <w:t xml:space="preserve"> </w:t>
      </w:r>
      <w:r>
        <w:t xml:space="preserve">(1973), no. 5, 1071–1088.</w:t>
      </w:r>
    </w:p>
    <w:p>
      <w:pPr>
        <w:pStyle w:val="Bibliography"/>
      </w:pPr>
      <w:r>
        <w:t xml:space="preserve">[25] M. Steel, A. Mimoto, and A. Ø. Mooers,</w:t>
      </w:r>
      <w:r>
        <w:t xml:space="preserve"> </w:t>
      </w:r>
      <w:hyperlink r:id="rId73">
        <w:r>
          <w:rPr>
            <w:rStyle w:val="Hyperlink"/>
          </w:rPr>
          <w:t xml:space="preserve">Hedging our bets: The expected contribution of species to future phylogenetic diversity</w:t>
        </w:r>
      </w:hyperlink>
      <w:r>
        <w:t xml:space="preserve">,</w:t>
      </w:r>
      <w:r>
        <w:t xml:space="preserve"> </w:t>
      </w:r>
      <w:r>
        <w:rPr>
          <w:iCs/>
          <w:i/>
        </w:rPr>
        <w:t xml:space="preserve">Evolutionary Bioinformatics</w:t>
      </w:r>
      <w:r>
        <w:t xml:space="preserve"> </w:t>
      </w:r>
      <w:r>
        <w:rPr>
          <w:bCs/>
          <w:b/>
        </w:rPr>
        <w:t xml:space="preserve">3</w:t>
      </w:r>
      <w:r>
        <w:t xml:space="preserve"> </w:t>
      </w:r>
      <w:r>
        <w:t xml:space="preserve">(2007), 237–244.</w:t>
      </w:r>
      <w:r>
        <w:t xml:space="preserve"> </w:t>
      </w:r>
      <w:hyperlink r:id="rId74">
        <w:r>
          <w:rPr>
            <w:rStyle w:val="Hyperlink"/>
          </w:rPr>
          <w:t xml:space="preserve">Open full text</w:t>
        </w:r>
      </w:hyperlink>
      <w:r>
        <w:t xml:space="preserve">.</w:t>
      </w:r>
    </w:p>
    <w:p>
      <w:pPr>
        <w:pStyle w:val="Bibliography"/>
      </w:pPr>
      <w:r>
        <w:t xml:space="preserve">[26] A. Wald,</w:t>
      </w:r>
      <w:r>
        <w:t xml:space="preserve"> </w:t>
      </w:r>
      <w:hyperlink r:id="rId75">
        <w:r>
          <w:rPr>
            <w:rStyle w:val="Hyperlink"/>
          </w:rPr>
          <w:t xml:space="preserve">Sequential tests of statistical hypotheses</w:t>
        </w:r>
      </w:hyperlink>
      <w:r>
        <w:t xml:space="preserve">,</w:t>
      </w:r>
      <w:r>
        <w:t xml:space="preserve"> </w:t>
      </w:r>
      <w:r>
        <w:rPr>
          <w:iCs/>
          <w:i/>
        </w:rPr>
        <w:t xml:space="preserve">The Annals of Mathematical Statistics</w:t>
      </w:r>
      <w:r>
        <w:t xml:space="preserve"> </w:t>
      </w:r>
      <w:r>
        <w:rPr>
          <w:bCs/>
          <w:b/>
        </w:rPr>
        <w:t xml:space="preserve">16</w:t>
      </w:r>
      <w:r>
        <w:t xml:space="preserve"> </w:t>
      </w:r>
      <w:r>
        <w:t xml:space="preserve">(1945), no. 2, 117–186.</w:t>
      </w:r>
    </w:p>
    <w:bookmarkEnd w:id="76"/>
    <w:sectPr w:rsidR="00FC693F" w:rsidRPr="0006063C" w:rsidSect="00034616">
      <w:footerReference w:type="default" r:id="rId9"/>
      <w:pgSz w:h="15840" w:w="12240"/>
      <w:pgMar w:bottom="1152" w:footer="504" w:gutter="0" w:header="432" w:left="1224" w:right="1224"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00" w:line="259" w:lineRule="auto"/>
    </w:pPr>
    <w:rPr>
      <w:rFonts w:ascii="Times New Roman" w:hAnsi="Times New Roman"/>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Times New Roman" w:hAnsi="Times New Roman"/>
      <w:color w:val="000000"/>
    </w:rPr>
  </w:style>
  <w:style w:customStyle="1" w:styleId="HeaderChar" w:type="character">
    <w:name w:val="Header Char"/>
    <w:basedOn w:val="DefaultParagraphFont"/>
    <w:link w:val="Header"/>
    <w:uiPriority w:val="99"/>
    <w:rsid w:val="00E618BF"/>
    <w:rPr>
      <w:rFonts w:ascii="Times New Roman" w:hAnsi="Times New Roman"/>
      <w:color w:val="000000"/>
    </w:rPr>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Times New Roman" w:hAnsi="Times New Roman"/>
      <w:color w:val="000000"/>
    </w:rPr>
  </w:style>
  <w:style w:customStyle="1" w:styleId="FooterChar" w:type="character">
    <w:name w:val="Footer Char"/>
    <w:basedOn w:val="DefaultParagraphFont"/>
    <w:link w:val="Footer"/>
    <w:uiPriority w:val="99"/>
    <w:rsid w:val="00E618BF"/>
    <w:rPr>
      <w:rFonts w:ascii="Times New Roman" w:hAnsi="Times New Roman"/>
      <w:color w:val="000000"/>
    </w:rPr>
  </w:style>
  <w:style w:styleId="Heading1" w:type="paragraph">
    <w:name w:val="heading 1"/>
    <w:basedOn w:val="Normal"/>
    <w:next w:val="Normal"/>
    <w:link w:val="Heading1Char"/>
    <w:uiPriority w:val="9"/>
    <w:qFormat/>
    <w:rsid w:val="00FC693F"/>
    <w:pPr>
      <w:keepNext/>
      <w:keepLines/>
      <w:spacing w:after="140" w:before="260" w:line="252" w:lineRule="auto"/>
      <w:outlineLvl w:val="0"/>
    </w:pPr>
    <w:rPr>
      <w:rFonts w:ascii="Times New Roman" w:hAnsi="Times New Roman"/>
      <w:b/>
      <w:bCs/>
      <w:color w:val="000000"/>
      <w:sz w:val="26"/>
      <w:szCs w:val="28"/>
    </w:rPr>
  </w:style>
  <w:style w:styleId="Heading2" w:type="paragraph">
    <w:name w:val="heading 2"/>
    <w:basedOn w:val="Normal"/>
    <w:next w:val="Normal"/>
    <w:link w:val="Heading2Char"/>
    <w:uiPriority w:val="9"/>
    <w:unhideWhenUsed/>
    <w:qFormat/>
    <w:rsid w:val="00FC693F"/>
    <w:pPr>
      <w:keepNext/>
      <w:keepLines/>
      <w:spacing w:after="100" w:before="200" w:line="252" w:lineRule="auto"/>
      <w:outlineLvl w:val="1"/>
    </w:pPr>
    <w:rPr>
      <w:rFonts w:ascii="Times New Roman" w:hAnsi="Times New Roman"/>
      <w:b/>
      <w:bCs/>
      <w:color w:val="000000"/>
      <w:sz w:val="23"/>
      <w:szCs w:val="26"/>
    </w:rPr>
  </w:style>
  <w:style w:styleId="Heading3" w:type="paragraph">
    <w:name w:val="heading 3"/>
    <w:basedOn w:val="Normal"/>
    <w:next w:val="Normal"/>
    <w:link w:val="Heading3Char"/>
    <w:uiPriority w:val="9"/>
    <w:unhideWhenUsed/>
    <w:qFormat/>
    <w:rsid w:val="00FC693F"/>
    <w:pPr>
      <w:keepNext/>
      <w:keepLines/>
      <w:spacing w:after="80" w:before="160" w:line="252" w:lineRule="auto"/>
      <w:outlineLvl w:val="2"/>
    </w:pPr>
    <w:rPr>
      <w:rFonts w:ascii="Times New Roman" w:hAnsi="Times New Roman"/>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hAnsi="Times New Roman"/>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imes New Roman" w:hAnsi="Times New Roman"/>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imes New Roman" w:hAnsi="Times New Roman"/>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imes New Roman" w:hAnsi="Times New Roman"/>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imes New Roman" w:hAnsi="Times New Roman"/>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imes New Roman" w:hAnsi="Times New Roman"/>
      <w:i/>
      <w:iCs/>
      <w:color w:val="000000"/>
      <w:sz w:val="20"/>
      <w:szCs w:val="20"/>
    </w:rPr>
  </w:style>
  <w:style w:default="1" w:styleId="DefaultParagraphFont" w:type="character">
    <w:name w:val="Default Paragraph Font"/>
    <w:uiPriority w:val="1"/>
    <w:semiHidden/>
    <w:unhideWhenUsed/>
    <w:rPr>
      <w:rFonts w:ascii="Times New Roman" w:hAnsi="Times New Roman"/>
      <w:color w:val="000000"/>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rPr>
      <w:rFonts w:ascii="Times New Roman" w:hAnsi="Times New Roman"/>
      <w:color w:val="000000"/>
    </w:rPr>
  </w:style>
  <w:style w:customStyle="1" w:styleId="Heading1Char" w:type="character">
    <w:name w:val="Heading 1 Char"/>
    <w:basedOn w:val="DefaultParagraphFont"/>
    <w:link w:val="Heading1"/>
    <w:uiPriority w:val="9"/>
    <w:rsid w:val="00FC693F"/>
    <w:rPr>
      <w:rFonts w:ascii="Times New Roman" w:hAnsi="Times New Roman"/>
      <w:b/>
      <w:bCs/>
      <w:color w:val="000000"/>
      <w:sz w:val="28"/>
      <w:szCs w:val="28"/>
    </w:rPr>
  </w:style>
  <w:style w:customStyle="1" w:styleId="Heading2Char" w:type="character">
    <w:name w:val="Heading 2 Char"/>
    <w:basedOn w:val="DefaultParagraphFont"/>
    <w:link w:val="Heading2"/>
    <w:uiPriority w:val="9"/>
    <w:rsid w:val="00FC693F"/>
    <w:rPr>
      <w:rFonts w:ascii="Times New Roman" w:hAnsi="Times New Roman"/>
      <w:b/>
      <w:bCs/>
      <w:color w:val="000000"/>
      <w:sz w:val="26"/>
      <w:szCs w:val="26"/>
    </w:rPr>
  </w:style>
  <w:style w:customStyle="1" w:styleId="Heading3Char" w:type="character">
    <w:name w:val="Heading 3 Char"/>
    <w:basedOn w:val="DefaultParagraphFont"/>
    <w:link w:val="Heading3"/>
    <w:uiPriority w:val="9"/>
    <w:rsid w:val="00FC693F"/>
    <w:rPr>
      <w:rFonts w:ascii="Times New Roman" w:hAnsi="Times New Roman"/>
      <w:b/>
      <w:bCs/>
      <w:color w:val="000000"/>
    </w:rPr>
  </w:style>
  <w:style w:styleId="Title" w:type="paragraph">
    <w:name w:val="Title"/>
    <w:basedOn w:val="Normal"/>
    <w:next w:val="Normal"/>
    <w:link w:val="TitleChar"/>
    <w:uiPriority w:val="10"/>
    <w:qFormat/>
    <w:rsid w:val="00FC693F"/>
    <w:pPr>
      <w:keepNext/>
      <w:spacing w:after="240" w:before="0" w:line="252" w:lineRule="auto"/>
      <w:contextualSpacing/>
      <w:jc w:val="center"/>
    </w:pPr>
    <w:rPr>
      <w:rFonts w:ascii="Times New Roman" w:hAnsi="Times New Roman"/>
      <w:b/>
      <w:color w:val="000000"/>
      <w:spacing w:val="5"/>
      <w:kern w:val="28"/>
      <w:sz w:val="36"/>
      <w:szCs w:val="52"/>
    </w:rPr>
  </w:style>
  <w:style w:customStyle="1" w:styleId="TitleChar" w:type="character">
    <w:name w:val="Title Char"/>
    <w:basedOn w:val="DefaultParagraphFont"/>
    <w:link w:val="Title"/>
    <w:uiPriority w:val="10"/>
    <w:rsid w:val="00FC693F"/>
    <w:rPr>
      <w:rFonts w:ascii="Times New Roman" w:hAnsi="Times New Roman"/>
      <w:color w:val="000000"/>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imes New Roman" w:hAnsi="Times New Roman"/>
      <w:i/>
      <w:iCs/>
      <w:color w:val="000000"/>
      <w:spacing w:val="15"/>
      <w:sz w:val="24"/>
      <w:szCs w:val="24"/>
    </w:rPr>
  </w:style>
  <w:style w:customStyle="1" w:styleId="SubtitleChar" w:type="character">
    <w:name w:val="Subtitle Char"/>
    <w:basedOn w:val="DefaultParagraphFont"/>
    <w:link w:val="Subtitle"/>
    <w:uiPriority w:val="11"/>
    <w:rsid w:val="00FC693F"/>
    <w:rPr>
      <w:rFonts w:ascii="Times New Roman" w:hAnsi="Times New Roman"/>
      <w:i/>
      <w:iCs/>
      <w:color w:val="000000"/>
      <w:spacing w:val="15"/>
      <w:sz w:val="24"/>
      <w:szCs w:val="24"/>
    </w:rPr>
  </w:style>
  <w:style w:styleId="ListParagraph" w:type="paragraph">
    <w:name w:val="List Paragraph"/>
    <w:basedOn w:val="Normal"/>
    <w:uiPriority w:val="34"/>
    <w:qFormat/>
    <w:rsid w:val="00FC693F"/>
    <w:pPr>
      <w:ind w:left="720"/>
      <w:contextualSpacing/>
    </w:pPr>
    <w:rPr>
      <w:rFonts w:ascii="Times New Roman" w:hAnsi="Times New Roman"/>
      <w:color w:val="000000"/>
    </w:rPr>
  </w:style>
  <w:style w:styleId="BodyText" w:type="paragraph">
    <w:name w:val="Body Text"/>
    <w:basedOn w:val="Normal"/>
    <w:link w:val="BodyTextChar"/>
    <w:uiPriority w:val="99"/>
    <w:unhideWhenUsed/>
    <w:rsid w:val="00AA1D8D"/>
    <w:pPr>
      <w:spacing w:after="100" w:line="259" w:lineRule="auto"/>
    </w:pPr>
    <w:rPr>
      <w:rFonts w:ascii="Times New Roman" w:hAnsi="Times New Roman"/>
      <w:color w:val="000000"/>
    </w:rPr>
  </w:style>
  <w:style w:customStyle="1" w:styleId="BodyTextChar" w:type="character">
    <w:name w:val="Body Text Char"/>
    <w:basedOn w:val="DefaultParagraphFont"/>
    <w:link w:val="BodyText"/>
    <w:uiPriority w:val="99"/>
    <w:rsid w:val="00AA1D8D"/>
    <w:rPr>
      <w:rFonts w:ascii="Times New Roman" w:hAnsi="Times New Roman"/>
      <w:color w:val="000000"/>
    </w:rPr>
  </w:style>
  <w:style w:styleId="BodyText2" w:type="paragraph">
    <w:name w:val="Body Text 2"/>
    <w:basedOn w:val="Normal"/>
    <w:link w:val="BodyText2Char"/>
    <w:uiPriority w:val="99"/>
    <w:unhideWhenUsed/>
    <w:rsid w:val="00AA1D8D"/>
    <w:pPr>
      <w:spacing w:after="120" w:line="480" w:lineRule="auto"/>
    </w:pPr>
    <w:rPr>
      <w:rFonts w:ascii="Times New Roman" w:hAnsi="Times New Roman"/>
      <w:color w:val="000000"/>
    </w:rPr>
  </w:style>
  <w:style w:customStyle="1" w:styleId="BodyText2Char" w:type="character">
    <w:name w:val="Body Text 2 Char"/>
    <w:basedOn w:val="DefaultParagraphFont"/>
    <w:link w:val="BodyText2"/>
    <w:uiPriority w:val="99"/>
    <w:rsid w:val="00AA1D8D"/>
    <w:rPr>
      <w:rFonts w:ascii="Times New Roman" w:hAnsi="Times New Roman"/>
      <w:color w:val="000000"/>
    </w:rPr>
  </w:style>
  <w:style w:styleId="BodyText3" w:type="paragraph">
    <w:name w:val="Body Text 3"/>
    <w:basedOn w:val="Normal"/>
    <w:link w:val="BodyText3Char"/>
    <w:uiPriority w:val="99"/>
    <w:unhideWhenUsed/>
    <w:rsid w:val="00AA1D8D"/>
    <w:pPr>
      <w:spacing w:after="120"/>
    </w:pPr>
    <w:rPr>
      <w:rFonts w:ascii="Times New Roman" w:hAnsi="Times New Roman"/>
      <w:color w:val="000000"/>
      <w:sz w:val="16"/>
      <w:szCs w:val="16"/>
    </w:rPr>
  </w:style>
  <w:style w:customStyle="1" w:styleId="BodyText3Char" w:type="character">
    <w:name w:val="Body Text 3 Char"/>
    <w:basedOn w:val="DefaultParagraphFont"/>
    <w:link w:val="BodyText3"/>
    <w:uiPriority w:val="99"/>
    <w:rsid w:val="00AA1D8D"/>
    <w:rPr>
      <w:rFonts w:ascii="Times New Roman" w:hAnsi="Times New Roman"/>
      <w:color w:val="000000"/>
      <w:sz w:val="16"/>
      <w:szCs w:val="16"/>
    </w:rPr>
  </w:style>
  <w:style w:styleId="List" w:type="paragraph">
    <w:name w:val="List"/>
    <w:basedOn w:val="Normal"/>
    <w:uiPriority w:val="99"/>
    <w:unhideWhenUsed/>
    <w:rsid w:val="00AA1D8D"/>
    <w:pPr>
      <w:ind w:hanging="360" w:left="360"/>
      <w:contextualSpacing/>
    </w:pPr>
    <w:rPr>
      <w:rFonts w:ascii="Times New Roman" w:hAnsi="Times New Roman"/>
      <w:color w:val="000000"/>
    </w:rPr>
  </w:style>
  <w:style w:styleId="List2" w:type="paragraph">
    <w:name w:val="List 2"/>
    <w:basedOn w:val="Normal"/>
    <w:uiPriority w:val="99"/>
    <w:unhideWhenUsed/>
    <w:rsid w:val="00326F90"/>
    <w:pPr>
      <w:ind w:hanging="360" w:left="720"/>
      <w:contextualSpacing/>
    </w:pPr>
    <w:rPr>
      <w:rFonts w:ascii="Times New Roman" w:hAnsi="Times New Roman"/>
      <w:color w:val="000000"/>
    </w:rPr>
  </w:style>
  <w:style w:styleId="List3" w:type="paragraph">
    <w:name w:val="List 3"/>
    <w:basedOn w:val="Normal"/>
    <w:uiPriority w:val="99"/>
    <w:unhideWhenUsed/>
    <w:rsid w:val="00326F90"/>
    <w:pPr>
      <w:ind w:hanging="360" w:left="1080"/>
      <w:contextualSpacing/>
    </w:pPr>
    <w:rPr>
      <w:rFonts w:ascii="Times New Roman" w:hAnsi="Times New Roman"/>
      <w:color w:val="000000"/>
    </w:rPr>
  </w:style>
  <w:style w:styleId="ListBullet" w:type="paragraph">
    <w:name w:val="List Bullet"/>
    <w:basedOn w:val="Normal"/>
    <w:uiPriority w:val="99"/>
    <w:unhideWhenUsed/>
    <w:rsid w:val="00326F90"/>
    <w:pPr>
      <w:numPr>
        <w:numId w:val="1"/>
      </w:numPr>
      <w:contextualSpacing/>
    </w:pPr>
    <w:rPr>
      <w:rFonts w:ascii="Times New Roman" w:hAnsi="Times New Roman"/>
      <w:color w:val="000000"/>
    </w:rPr>
  </w:style>
  <w:style w:styleId="ListBullet2" w:type="paragraph">
    <w:name w:val="List Bullet 2"/>
    <w:basedOn w:val="Normal"/>
    <w:uiPriority w:val="99"/>
    <w:unhideWhenUsed/>
    <w:rsid w:val="00326F90"/>
    <w:pPr>
      <w:numPr>
        <w:numId w:val="2"/>
      </w:numPr>
      <w:contextualSpacing/>
    </w:pPr>
    <w:rPr>
      <w:rFonts w:ascii="Times New Roman" w:hAnsi="Times New Roman"/>
      <w:color w:val="000000"/>
    </w:rPr>
  </w:style>
  <w:style w:styleId="ListBullet3" w:type="paragraph">
    <w:name w:val="List Bullet 3"/>
    <w:basedOn w:val="Normal"/>
    <w:uiPriority w:val="99"/>
    <w:unhideWhenUsed/>
    <w:rsid w:val="00326F90"/>
    <w:pPr>
      <w:numPr>
        <w:numId w:val="3"/>
      </w:numPr>
      <w:contextualSpacing/>
    </w:pPr>
    <w:rPr>
      <w:rFonts w:ascii="Times New Roman" w:hAnsi="Times New Roman"/>
      <w:color w:val="000000"/>
    </w:rPr>
  </w:style>
  <w:style w:styleId="ListNumber" w:type="paragraph">
    <w:name w:val="List Number"/>
    <w:basedOn w:val="Normal"/>
    <w:uiPriority w:val="99"/>
    <w:unhideWhenUsed/>
    <w:rsid w:val="00326F90"/>
    <w:pPr>
      <w:numPr>
        <w:numId w:val="5"/>
      </w:numPr>
      <w:contextualSpacing/>
    </w:pPr>
    <w:rPr>
      <w:rFonts w:ascii="Times New Roman" w:hAnsi="Times New Roman"/>
      <w:color w:val="000000"/>
    </w:rPr>
  </w:style>
  <w:style w:styleId="ListNumber2" w:type="paragraph">
    <w:name w:val="List Number 2"/>
    <w:basedOn w:val="Normal"/>
    <w:uiPriority w:val="99"/>
    <w:unhideWhenUsed/>
    <w:rsid w:val="0029639D"/>
    <w:pPr>
      <w:numPr>
        <w:numId w:val="6"/>
      </w:numPr>
      <w:contextualSpacing/>
    </w:pPr>
    <w:rPr>
      <w:rFonts w:ascii="Times New Roman" w:hAnsi="Times New Roman"/>
      <w:color w:val="000000"/>
    </w:rPr>
  </w:style>
  <w:style w:styleId="ListNumber3" w:type="paragraph">
    <w:name w:val="List Number 3"/>
    <w:basedOn w:val="Normal"/>
    <w:uiPriority w:val="99"/>
    <w:unhideWhenUsed/>
    <w:rsid w:val="0029639D"/>
    <w:pPr>
      <w:numPr>
        <w:numId w:val="7"/>
      </w:numPr>
      <w:contextualSpacing/>
    </w:pPr>
    <w:rPr>
      <w:rFonts w:ascii="Times New Roman" w:hAnsi="Times New Roman"/>
      <w:color w:val="000000"/>
    </w:rPr>
  </w:style>
  <w:style w:styleId="ListContinue" w:type="paragraph">
    <w:name w:val="List Continue"/>
    <w:basedOn w:val="Normal"/>
    <w:uiPriority w:val="99"/>
    <w:unhideWhenUsed/>
    <w:rsid w:val="0029639D"/>
    <w:pPr>
      <w:spacing w:after="120"/>
      <w:ind w:left="360"/>
      <w:contextualSpacing/>
    </w:pPr>
    <w:rPr>
      <w:rFonts w:ascii="Times New Roman" w:hAnsi="Times New Roman"/>
      <w:color w:val="000000"/>
    </w:rPr>
  </w:style>
  <w:style w:styleId="ListContinue2" w:type="paragraph">
    <w:name w:val="List Continue 2"/>
    <w:basedOn w:val="Normal"/>
    <w:uiPriority w:val="99"/>
    <w:unhideWhenUsed/>
    <w:rsid w:val="0029639D"/>
    <w:pPr>
      <w:spacing w:after="120"/>
      <w:ind w:left="720"/>
      <w:contextualSpacing/>
    </w:pPr>
    <w:rPr>
      <w:rFonts w:ascii="Times New Roman" w:hAnsi="Times New Roman"/>
      <w:color w:val="000000"/>
    </w:rPr>
  </w:style>
  <w:style w:styleId="ListContinue3" w:type="paragraph">
    <w:name w:val="List Continue 3"/>
    <w:basedOn w:val="Normal"/>
    <w:uiPriority w:val="99"/>
    <w:unhideWhenUsed/>
    <w:rsid w:val="0029639D"/>
    <w:pPr>
      <w:spacing w:after="120"/>
      <w:ind w:left="1080"/>
      <w:contextualSpacing/>
    </w:pPr>
    <w:rPr>
      <w:rFonts w:ascii="Times New Roman" w:hAnsi="Times New Roman"/>
      <w:color w:val="000000"/>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Times New Roman" w:hAnsi="Times New Roman"/>
      <w:color w:val="000000"/>
      <w:sz w:val="20"/>
      <w:szCs w:val="20"/>
    </w:rPr>
  </w:style>
  <w:style w:customStyle="1" w:styleId="MacroTextChar" w:type="character">
    <w:name w:val="Macro Text Char"/>
    <w:basedOn w:val="DefaultParagraphFont"/>
    <w:link w:val="MacroText"/>
    <w:uiPriority w:val="99"/>
    <w:rsid w:val="0029639D"/>
    <w:rPr>
      <w:rFonts w:ascii="Times New Roman" w:hAnsi="Times New Roman"/>
      <w:color w:val="000000"/>
      <w:sz w:val="20"/>
      <w:szCs w:val="20"/>
    </w:rPr>
  </w:style>
  <w:style w:styleId="Quote" w:type="paragraph">
    <w:name w:val="Quote"/>
    <w:basedOn w:val="Normal"/>
    <w:next w:val="Normal"/>
    <w:link w:val="QuoteChar"/>
    <w:uiPriority w:val="29"/>
    <w:qFormat/>
    <w:rsid w:val="00FC693F"/>
    <w:rPr>
      <w:rFonts w:ascii="Times New Roman" w:hAnsi="Times New Roman"/>
      <w:i/>
      <w:iCs/>
      <w:color w:val="000000"/>
    </w:rPr>
  </w:style>
  <w:style w:customStyle="1" w:styleId="QuoteChar" w:type="character">
    <w:name w:val="Quote Char"/>
    <w:basedOn w:val="DefaultParagraphFont"/>
    <w:link w:val="Quote"/>
    <w:uiPriority w:val="29"/>
    <w:rsid w:val="00FC693F"/>
    <w:rPr>
      <w:rFonts w:ascii="Times New Roman" w:hAnsi="Times New Roman"/>
      <w:i/>
      <w:iCs/>
      <w:color w:val="000000"/>
    </w:rPr>
  </w:style>
  <w:style w:customStyle="1" w:styleId="Heading4Char" w:type="character">
    <w:name w:val="Heading 4 Char"/>
    <w:basedOn w:val="DefaultParagraphFont"/>
    <w:link w:val="Heading4"/>
    <w:uiPriority w:val="9"/>
    <w:semiHidden/>
    <w:rsid w:val="00FC693F"/>
    <w:rPr>
      <w:rFonts w:ascii="Times New Roman" w:hAnsi="Times New Roman"/>
      <w:b/>
      <w:bCs/>
      <w:i/>
      <w:iCs/>
      <w:color w:val="000000"/>
    </w:rPr>
  </w:style>
  <w:style w:customStyle="1" w:styleId="Heading5Char" w:type="character">
    <w:name w:val="Heading 5 Char"/>
    <w:basedOn w:val="DefaultParagraphFont"/>
    <w:link w:val="Heading5"/>
    <w:uiPriority w:val="9"/>
    <w:semiHidden/>
    <w:rsid w:val="00FC693F"/>
    <w:rPr>
      <w:rFonts w:ascii="Times New Roman" w:hAnsi="Times New Roman"/>
      <w:color w:val="000000"/>
    </w:rPr>
  </w:style>
  <w:style w:customStyle="1" w:styleId="Heading6Char" w:type="character">
    <w:name w:val="Heading 6 Char"/>
    <w:basedOn w:val="DefaultParagraphFont"/>
    <w:link w:val="Heading6"/>
    <w:uiPriority w:val="9"/>
    <w:semiHidden/>
    <w:rsid w:val="00FC693F"/>
    <w:rPr>
      <w:rFonts w:ascii="Times New Roman" w:hAnsi="Times New Roman"/>
      <w:i/>
      <w:iCs/>
      <w:color w:val="000000"/>
    </w:rPr>
  </w:style>
  <w:style w:customStyle="1" w:styleId="Heading7Char" w:type="character">
    <w:name w:val="Heading 7 Char"/>
    <w:basedOn w:val="DefaultParagraphFont"/>
    <w:link w:val="Heading7"/>
    <w:uiPriority w:val="9"/>
    <w:semiHidden/>
    <w:rsid w:val="00FC693F"/>
    <w:rPr>
      <w:rFonts w:ascii="Times New Roman" w:hAnsi="Times New Roman"/>
      <w:i/>
      <w:iCs/>
      <w:color w:val="000000"/>
    </w:rPr>
  </w:style>
  <w:style w:customStyle="1" w:styleId="Heading8Char" w:type="character">
    <w:name w:val="Heading 8 Char"/>
    <w:basedOn w:val="DefaultParagraphFont"/>
    <w:link w:val="Heading8"/>
    <w:uiPriority w:val="9"/>
    <w:semiHidden/>
    <w:rsid w:val="00FC693F"/>
    <w:rPr>
      <w:rFonts w:ascii="Times New Roman" w:hAnsi="Times New Roman"/>
      <w:color w:val="000000"/>
      <w:sz w:val="20"/>
      <w:szCs w:val="20"/>
    </w:rPr>
  </w:style>
  <w:style w:customStyle="1" w:styleId="Heading9Char" w:type="character">
    <w:name w:val="Heading 9 Char"/>
    <w:basedOn w:val="DefaultParagraphFont"/>
    <w:link w:val="Heading9"/>
    <w:uiPriority w:val="9"/>
    <w:semiHidden/>
    <w:rsid w:val="00FC693F"/>
    <w:rPr>
      <w:rFonts w:ascii="Times New Roman" w:hAnsi="Times New Roman"/>
      <w:i/>
      <w:iCs/>
      <w:color w:val="00000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styleId="Strong" w:type="character">
    <w:name w:val="Strong"/>
    <w:basedOn w:val="DefaultParagraphFont"/>
    <w:uiPriority w:val="22"/>
    <w:qFormat/>
    <w:rsid w:val="00FC693F"/>
    <w:rPr>
      <w:rFonts w:ascii="Times New Roman" w:hAnsi="Times New Roman"/>
      <w:b/>
      <w:bCs/>
      <w:color w:val="000000"/>
    </w:rPr>
  </w:style>
  <w:style w:styleId="Emphasis" w:type="character">
    <w:name w:val="Emphasis"/>
    <w:basedOn w:val="DefaultParagraphFont"/>
    <w:uiPriority w:val="20"/>
    <w:qFormat/>
    <w:rsid w:val="00FC693F"/>
    <w:rPr>
      <w:rFonts w:ascii="Times New Roman" w:hAnsi="Times New Roman"/>
      <w:i/>
      <w:iCs/>
      <w:color w:val="000000"/>
    </w:rPr>
  </w:style>
  <w:style w:styleId="IntenseQuote" w:type="paragraph">
    <w:name w:val="Intense Quote"/>
    <w:basedOn w:val="Normal"/>
    <w:next w:val="Normal"/>
    <w:link w:val="IntenseQuoteChar"/>
    <w:uiPriority w:val="30"/>
    <w:qFormat/>
    <w:rsid w:val="00FC693F"/>
    <w:pPr>
      <w:spacing w:after="280" w:before="200"/>
      <w:ind w:left="936" w:right="936"/>
    </w:pPr>
    <w:rPr>
      <w:rFonts w:ascii="Times New Roman" w:hAnsi="Times New Roman"/>
      <w:b/>
      <w:bCs/>
      <w:i/>
      <w:iCs/>
      <w:color w:val="000000"/>
    </w:rPr>
  </w:style>
  <w:style w:customStyle="1" w:styleId="IntenseQuoteChar" w:type="character">
    <w:name w:val="Intense Quote Char"/>
    <w:basedOn w:val="DefaultParagraphFont"/>
    <w:link w:val="IntenseQuote"/>
    <w:uiPriority w:val="30"/>
    <w:rsid w:val="00FC693F"/>
    <w:rPr>
      <w:rFonts w:ascii="Times New Roman" w:hAnsi="Times New Roman"/>
      <w:b/>
      <w:bCs/>
      <w:i/>
      <w:iCs/>
      <w:color w:val="000000"/>
    </w:rPr>
  </w:style>
  <w:style w:styleId="SubtleEmphasis" w:type="character">
    <w:name w:val="Subtle Emphasis"/>
    <w:basedOn w:val="DefaultParagraphFont"/>
    <w:uiPriority w:val="19"/>
    <w:qFormat/>
    <w:rsid w:val="00FC693F"/>
    <w:rPr>
      <w:rFonts w:ascii="Times New Roman" w:hAnsi="Times New Roman"/>
      <w:i/>
      <w:iCs/>
      <w:color w:val="000000"/>
    </w:rPr>
  </w:style>
  <w:style w:styleId="IntenseEmphasis" w:type="character">
    <w:name w:val="Intense Emphasis"/>
    <w:basedOn w:val="DefaultParagraphFont"/>
    <w:uiPriority w:val="21"/>
    <w:qFormat/>
    <w:rsid w:val="00FC693F"/>
    <w:rPr>
      <w:rFonts w:ascii="Times New Roman" w:hAnsi="Times New Roman"/>
      <w:b/>
      <w:bCs/>
      <w:i/>
      <w:iCs/>
      <w:color w:val="000000"/>
    </w:rPr>
  </w:style>
  <w:style w:styleId="SubtleReference" w:type="character">
    <w:name w:val="Subtle Reference"/>
    <w:basedOn w:val="DefaultParagraphFont"/>
    <w:uiPriority w:val="31"/>
    <w:qFormat/>
    <w:rsid w:val="00FC693F"/>
    <w:rPr>
      <w:rFonts w:ascii="Times New Roman" w:hAnsi="Times New Roman"/>
      <w:smallCaps/>
      <w:color w:val="000000"/>
      <w:u w:val="single"/>
    </w:rPr>
  </w:style>
  <w:style w:styleId="IntenseReference" w:type="character">
    <w:name w:val="Intense Reference"/>
    <w:basedOn w:val="DefaultParagraphFont"/>
    <w:uiPriority w:val="32"/>
    <w:qFormat/>
    <w:rsid w:val="00FC693F"/>
    <w:rPr>
      <w:rFonts w:ascii="Times New Roman" w:hAnsi="Times New Roman"/>
      <w:b/>
      <w:bCs/>
      <w:smallCaps/>
      <w:color w:val="000000"/>
      <w:spacing w:val="5"/>
      <w:u w:val="single"/>
    </w:rPr>
  </w:style>
  <w:style w:styleId="BookTitle" w:type="character">
    <w:name w:val="Book Title"/>
    <w:basedOn w:val="DefaultParagraphFont"/>
    <w:uiPriority w:val="33"/>
    <w:qFormat/>
    <w:rsid w:val="00FC693F"/>
    <w:rPr>
      <w:rFonts w:ascii="Times New Roman" w:hAnsi="Times New Roman"/>
      <w:b/>
      <w:bCs/>
      <w:smallCaps/>
      <w:color w:val="000000"/>
      <w:spacing w:val="5"/>
    </w:rPr>
  </w:style>
  <w:style w:styleId="TOCHeading" w:type="paragraph">
    <w:name w:val="TOC Heading"/>
    <w:basedOn w:val="Heading1"/>
    <w:next w:val="Normal"/>
    <w:uiPriority w:val="39"/>
    <w:semiHidden/>
    <w:unhideWhenUsed/>
    <w:qFormat/>
    <w:rsid w:val="00FC693F"/>
    <w:pPr>
      <w:outlineLvl w:val="9"/>
    </w:pPr>
    <w:rPr>
      <w:rFonts w:ascii="Times New Roman" w:hAnsi="Times New Roman"/>
      <w:color w:val="000000"/>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b/>
        <w:bCs/>
      </w:rPr>
    </w:tblStylePr>
    <w:tblStylePr w:type="lastCol">
      <w:rPr>
        <w:rFonts/>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b/>
        <w:bCs/>
      </w:rPr>
    </w:tblStylePr>
    <w:tblStylePr w:type="lastCol">
      <w:rPr>
        <w:rFonts/>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b/>
        <w:bCs/>
      </w:rPr>
    </w:tblStylePr>
    <w:tblStylePr w:type="lastCol">
      <w:rPr>
        <w:rFonts/>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b/>
        <w:bCs/>
      </w:rPr>
    </w:tblStylePr>
    <w:tblStylePr w:type="lastCol">
      <w:rPr>
        <w:rFonts/>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b/>
        <w:bCs/>
      </w:rPr>
    </w:tblStylePr>
    <w:tblStylePr w:type="lastCol">
      <w:rPr>
        <w:rFonts/>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b/>
        <w:bCs/>
      </w:rPr>
    </w:tblStylePr>
    <w:tblStylePr w:type="lastCol">
      <w:rPr>
        <w:rFonts/>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b/>
        <w:bCs/>
      </w:rPr>
    </w:tblStylePr>
    <w:tblStylePr w:type="lastCol">
      <w:rPr>
        <w:rFonts/>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spacing w:after="100" w:line="259" w:lineRule="auto"/>
    </w:pPr>
  </w:style>
  <w:style w:customStyle="1" w:styleId="Compact" w:type="paragraph">
    <w:name w:val="Compact"/>
    <w:basedOn w:val="Normal"/>
  </w:style>
  <w:style w:customStyle="1" w:styleId="Bibliography" w:type="paragraph">
    <w:name w:val="Bibliography"/>
    <w:basedOn w:val="Normal"/>
    <w:pPr>
      <w:keepLines/>
      <w:spacing w:after="140"/>
      <w:ind w:hanging="360" w:left="360"/>
    </w:pPr>
  </w:style>
  <w:style w:customStyle="1" w:styleId="Equation" w:type="paragraph">
    <w:name w:val="Equation"/>
    <w:basedOn w:val="Normal"/>
    <w:pPr>
      <w:keepLines/>
      <w:spacing w:after="120" w:before="100"/>
    </w:pPr>
  </w:style>
  <w:style w:customStyle="1" w:styleId="TableBody" w:type="paragraph">
    <w:name w:val="Table Body"/>
    <w:basedOn w:val="Normal"/>
    <w:pPr>
      <w:spacing w:after="0" w:line="252" w:lineRule="auto"/>
    </w:pPr>
    <w:rPr>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8" Type="http://schemas.openxmlformats.org/officeDocument/2006/relationships/hyperlink" Target="https://arxiv.org/abs/1006.1095" TargetMode="External"/><Relationship Id="rId22" Type="http://schemas.openxmlformats.org/officeDocument/2006/relationships/hyperlink" Target="https://arxiv.org/abs/math/0311156" TargetMode="External"/><Relationship Id="rId63" Type="http://schemas.openxmlformats.org/officeDocument/2006/relationships/hyperlink" Target="https://doi.org/10.1007/BF01188585" TargetMode="External"/><Relationship Id="rId71" Type="http://schemas.openxmlformats.org/officeDocument/2006/relationships/hyperlink" Target="https://doi.org/10.1007/BF01588971" TargetMode="External"/><Relationship Id="rId69" Type="http://schemas.openxmlformats.org/officeDocument/2006/relationships/hyperlink" Target="https://doi.org/10.1007/s10100-026-01039-5" TargetMode="External"/><Relationship Id="rId21" Type="http://schemas.openxmlformats.org/officeDocument/2006/relationships/hyperlink" Target="https://doi.org/10.1007/s10845-024-02494-0" TargetMode="External"/><Relationship Id="rId62" Type="http://schemas.openxmlformats.org/officeDocument/2006/relationships/hyperlink" Target="https://doi.org/10.1016/0006-3207(92)91201-3" TargetMode="External"/><Relationship Id="rId59" Type="http://schemas.openxmlformats.org/officeDocument/2006/relationships/hyperlink" Target="https://doi.org/10.1016/0095-8956(74)90047-1" TargetMode="External"/><Relationship Id="rId66" Type="http://schemas.openxmlformats.org/officeDocument/2006/relationships/hyperlink" Target="https://doi.org/10.1016/S0004-3702(98)00023-X" TargetMode="External"/><Relationship Id="rId57" Type="http://schemas.openxmlformats.org/officeDocument/2006/relationships/hyperlink" Target="https://doi.org/10.1016/j.aim.2012.08.008" TargetMode="External"/><Relationship Id="rId55" Type="http://schemas.openxmlformats.org/officeDocument/2006/relationships/hyperlink" Target="https://doi.org/10.1137/0210030" TargetMode="External"/><Relationship Id="rId73" Type="http://schemas.openxmlformats.org/officeDocument/2006/relationships/hyperlink" Target="https://doi.org/10.1177/117693430700300024" TargetMode="External"/><Relationship Id="rId70" Type="http://schemas.openxmlformats.org/officeDocument/2006/relationships/hyperlink" Target="https://doi.org/10.1214/13-AOS1144" TargetMode="External"/><Relationship Id="rId60" Type="http://schemas.openxmlformats.org/officeDocument/2006/relationships/hyperlink" Target="https://doi.org/10.1214/aoms/1177706205" TargetMode="External"/><Relationship Id="rId56" Type="http://schemas.openxmlformats.org/officeDocument/2006/relationships/hyperlink" Target="https://doi.org/10.1214/aoms/1177729032" TargetMode="External"/><Relationship Id="rId75" Type="http://schemas.openxmlformats.org/officeDocument/2006/relationships/hyperlink" Target="https://doi.org/10.1214/aoms/1177731118" TargetMode="External"/><Relationship Id="rId61" Type="http://schemas.openxmlformats.org/officeDocument/2006/relationships/hyperlink" Target="https://doi.org/10.1214/aos/1176325367" TargetMode="External"/><Relationship Id="rId65" Type="http://schemas.openxmlformats.org/officeDocument/2006/relationships/hyperlink" Target="https://doi.org/10.1287/moor.1040.0129" TargetMode="External"/><Relationship Id="rId72" Type="http://schemas.openxmlformats.org/officeDocument/2006/relationships/hyperlink" Target="https://doi.org/10.1287/opre.1050.0216" TargetMode="External"/><Relationship Id="rId25" Type="http://schemas.openxmlformats.org/officeDocument/2006/relationships/hyperlink" Target="https://doi.org/10.1287/opre.21.5.1071" TargetMode="External"/><Relationship Id="rId26" Type="http://schemas.openxmlformats.org/officeDocument/2006/relationships/hyperlink" Target="https://doi.org/10.1613/jair.3278" TargetMode="External"/><Relationship Id="rId64" Type="http://schemas.openxmlformats.org/officeDocument/2006/relationships/hyperlink" Target="https://doi.org/10.2307/2346439" TargetMode="External"/><Relationship Id="rId23" Type="http://schemas.openxmlformats.org/officeDocument/2006/relationships/hyperlink" Target="https://doi.org/10.2307/3212481" TargetMode="External"/><Relationship Id="rId24" Type="http://schemas.openxmlformats.org/officeDocument/2006/relationships/hyperlink" Target="https://jmlr.csail.mit.edu/papers/v11/carlsson10a.html" TargetMode="External"/><Relationship Id="rId27" Type="http://schemas.openxmlformats.org/officeDocument/2006/relationships/hyperlink" Target="https://jmlr.org/papers/v9/krause08b.html" TargetMode="External"/><Relationship Id="rId74" Type="http://schemas.openxmlformats.org/officeDocument/2006/relationships/hyperlink" Target="https://pmc.ncbi.nlm.nih.gov/articles/PMC2684137/" TargetMode="External"/><Relationship Id="rId67" Type="http://schemas.openxmlformats.org/officeDocument/2006/relationships/hyperlink" Target="https://proceedings.mlr.press/v139/li21p.html" TargetMode="External"/><Relationship Id="rId68" Type="http://schemas.openxmlformats.org/officeDocument/2006/relationships/hyperlink" Target="https://proceedings.mlr.press/v97/ma19c.htm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58" Type="http://schemas.openxmlformats.org/officeDocument/2006/relationships/hyperlink" Target="https://arxiv.org/abs/1006.1095" TargetMode="External"/><Relationship Id="rId22" Type="http://schemas.openxmlformats.org/officeDocument/2006/relationships/hyperlink" Target="https://arxiv.org/abs/math/0311156" TargetMode="External"/><Relationship Id="rId63" Type="http://schemas.openxmlformats.org/officeDocument/2006/relationships/hyperlink" Target="https://doi.org/10.1007/BF01188585" TargetMode="External"/><Relationship Id="rId71" Type="http://schemas.openxmlformats.org/officeDocument/2006/relationships/hyperlink" Target="https://doi.org/10.1007/BF01588971" TargetMode="External"/><Relationship Id="rId69" Type="http://schemas.openxmlformats.org/officeDocument/2006/relationships/hyperlink" Target="https://doi.org/10.1007/s10100-026-01039-5" TargetMode="External"/><Relationship Id="rId21" Type="http://schemas.openxmlformats.org/officeDocument/2006/relationships/hyperlink" Target="https://doi.org/10.1007/s10845-024-02494-0" TargetMode="External"/><Relationship Id="rId62" Type="http://schemas.openxmlformats.org/officeDocument/2006/relationships/hyperlink" Target="https://doi.org/10.1016/0006-3207(92)91201-3" TargetMode="External"/><Relationship Id="rId59" Type="http://schemas.openxmlformats.org/officeDocument/2006/relationships/hyperlink" Target="https://doi.org/10.1016/0095-8956(74)90047-1" TargetMode="External"/><Relationship Id="rId66" Type="http://schemas.openxmlformats.org/officeDocument/2006/relationships/hyperlink" Target="https://doi.org/10.1016/S0004-3702(98)00023-X" TargetMode="External"/><Relationship Id="rId57" Type="http://schemas.openxmlformats.org/officeDocument/2006/relationships/hyperlink" Target="https://doi.org/10.1016/j.aim.2012.08.008" TargetMode="External"/><Relationship Id="rId55" Type="http://schemas.openxmlformats.org/officeDocument/2006/relationships/hyperlink" Target="https://doi.org/10.1137/0210030" TargetMode="External"/><Relationship Id="rId73" Type="http://schemas.openxmlformats.org/officeDocument/2006/relationships/hyperlink" Target="https://doi.org/10.1177/117693430700300024" TargetMode="External"/><Relationship Id="rId70" Type="http://schemas.openxmlformats.org/officeDocument/2006/relationships/hyperlink" Target="https://doi.org/10.1214/13-AOS1144" TargetMode="External"/><Relationship Id="rId60" Type="http://schemas.openxmlformats.org/officeDocument/2006/relationships/hyperlink" Target="https://doi.org/10.1214/aoms/1177706205" TargetMode="External"/><Relationship Id="rId56" Type="http://schemas.openxmlformats.org/officeDocument/2006/relationships/hyperlink" Target="https://doi.org/10.1214/aoms/1177729032" TargetMode="External"/><Relationship Id="rId75" Type="http://schemas.openxmlformats.org/officeDocument/2006/relationships/hyperlink" Target="https://doi.org/10.1214/aoms/1177731118" TargetMode="External"/><Relationship Id="rId61" Type="http://schemas.openxmlformats.org/officeDocument/2006/relationships/hyperlink" Target="https://doi.org/10.1214/aos/1176325367" TargetMode="External"/><Relationship Id="rId65" Type="http://schemas.openxmlformats.org/officeDocument/2006/relationships/hyperlink" Target="https://doi.org/10.1287/moor.1040.0129" TargetMode="External"/><Relationship Id="rId72" Type="http://schemas.openxmlformats.org/officeDocument/2006/relationships/hyperlink" Target="https://doi.org/10.1287/opre.1050.0216" TargetMode="External"/><Relationship Id="rId25" Type="http://schemas.openxmlformats.org/officeDocument/2006/relationships/hyperlink" Target="https://doi.org/10.1287/opre.21.5.1071" TargetMode="External"/><Relationship Id="rId26" Type="http://schemas.openxmlformats.org/officeDocument/2006/relationships/hyperlink" Target="https://doi.org/10.1613/jair.3278" TargetMode="External"/><Relationship Id="rId64" Type="http://schemas.openxmlformats.org/officeDocument/2006/relationships/hyperlink" Target="https://doi.org/10.2307/2346439" TargetMode="External"/><Relationship Id="rId23" Type="http://schemas.openxmlformats.org/officeDocument/2006/relationships/hyperlink" Target="https://doi.org/10.2307/3212481" TargetMode="External"/><Relationship Id="rId24" Type="http://schemas.openxmlformats.org/officeDocument/2006/relationships/hyperlink" Target="https://jmlr.csail.mit.edu/papers/v11/carlsson10a.html" TargetMode="External"/><Relationship Id="rId27" Type="http://schemas.openxmlformats.org/officeDocument/2006/relationships/hyperlink" Target="https://jmlr.org/papers/v9/krause08b.html" TargetMode="External"/><Relationship Id="rId74" Type="http://schemas.openxmlformats.org/officeDocument/2006/relationships/hyperlink" Target="https://pmc.ncbi.nlm.nih.gov/articles/PMC2684137/" TargetMode="External"/><Relationship Id="rId67" Type="http://schemas.openxmlformats.org/officeDocument/2006/relationships/hyperlink" Target="https://proceedings.mlr.press/v139/li21p.html" TargetMode="External"/><Relationship Id="rId68" Type="http://schemas.openxmlformats.org/officeDocument/2006/relationships/hyperlink" Target="https://proceedings.mlr.press/v97/ma19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Minimax recovery and decision stability for tree-based evidence acquisition</dc:title>
  <dc:creator/>
  <cp:keywords>rooted tree; minimax estimation; Bayesian sequential decision</cp:keywords>
  <dcterms:created xsi:type="dcterms:W3CDTF">2026-09-13T02:28:15Z</dcterms:created>
  <dcterms:modified xsi:type="dcterms:W3CDTF">2026-09-13T02:28:15Z</dcterms:modified>
  <dc:subject>Mathematical manuscript</dc:subject>
</cp:coreProperties>
</file>

<file path=docProps/custom.xml><?xml version="1.0" encoding="utf-8"?>
<Properties xmlns="http://schemas.openxmlformats.org/officeDocument/2006/custom-properties" xmlns:vt="http://schemas.openxmlformats.org/officeDocument/2006/docPropsVTypes"/>
</file>