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Minimax</w:t>
      </w:r>
      <w:r>
        <w:t xml:space="preserve"> </w:t>
      </w:r>
      <w:r>
        <w:t xml:space="preserve">recovery</w:t>
      </w:r>
      <w:r>
        <w:t xml:space="preserve"> </w:t>
      </w:r>
      <w:r>
        <w:t xml:space="preserve">and</w:t>
      </w:r>
      <w:r>
        <w:t xml:space="preserve"> </w:t>
      </w:r>
      <w:r>
        <w:t xml:space="preserve">decision</w:t>
      </w:r>
      <w:r>
        <w:t xml:space="preserve"> </w:t>
      </w:r>
      <w:r>
        <w:t xml:space="preserve">stability</w:t>
      </w:r>
      <w:r>
        <w:t xml:space="preserve"> </w:t>
      </w:r>
      <w:r>
        <w:t xml:space="preserve">for</w:t>
      </w:r>
      <w:r>
        <w:t xml:space="preserve"> </w:t>
      </w:r>
      <w:r>
        <w:t xml:space="preserve">tree-based</w:t>
      </w:r>
      <w:r>
        <w:t xml:space="preserve"> </w:t>
      </w:r>
      <w:r>
        <w:t xml:space="preserve">evidence</w:t>
      </w:r>
      <w:r>
        <w:t xml:space="preserve"> </w:t>
      </w:r>
      <w:r>
        <w:t xml:space="preserve">acquisition</w:t>
      </w:r>
    </w:p>
    <w:p>
      <w:pPr>
        <w:pStyle w:val="Author"/>
        <w:spacing w:after="160"/>
        <w:jc w:val="left"/>
      </w:pPr>
      <w:r>
        <w:t xml:space="preserve">[Author</w:t>
      </w:r>
      <w:r>
        <w:t xml:space="preserve"> </w:t>
      </w:r>
      <w:r>
        <w:t xml:space="preserve">names</w:t>
      </w:r>
      <w:r>
        <w:t xml:space="preserve"> </w:t>
      </w:r>
      <w:r>
        <w:t xml:space="preserve">to</w:t>
      </w:r>
      <w:r>
        <w:t xml:space="preserve"> </w:t>
      </w:r>
      <w:r>
        <w:t xml:space="preserve">be</w:t>
      </w:r>
      <w:r>
        <w:t xml:space="preserve"> </w:t>
      </w:r>
      <w:r>
        <w:t xml:space="preserve">supplied]</w:t>
      </w:r>
    </w:p>
    <w:bookmarkStart w:id="20" w:name="abstract"/>
    <w:p>
      <w:pPr>
        <w:pStyle w:val="Heading1"/>
      </w:pPr>
      <w:r>
        <w:t xml:space="preserve">Abstract</w:t>
      </w:r>
    </w:p>
    <w:p>
      <w:pPr>
        <w:pStyle w:val="FirstParagraph"/>
      </w:pPr>
      <w:r>
        <w:t xml:space="preserve">We study the recovery of shared acquisition costs from individual and pairwise measurements, motivated by sequential diagnosis with reusable setup resources. For nonnegative costs on a rooted tree, a spanning-tree formula recovers every set cost. With coordinatewise measurement error at most</w:t>
      </w:r>
      <w:r>
        <w:t xml:space="preserve"> </w:t>
      </w:r>
      <m:oMath>
        <m:r>
          <m:t>ε</m:t>
        </m:r>
      </m:oMath>
      <w:r>
        <w:t xml:space="preserve">, the cost of</w:t>
      </w:r>
      <w:r>
        <w:t xml:space="preserve"> </w:t>
      </w:r>
      <m:oMath>
        <m:r>
          <m:t>m</m:t>
        </m:r>
        <m:r>
          <m:rPr>
            <m:sty m:val="p"/>
          </m:rPr>
          <m:t>≥</m:t>
        </m:r>
        <m:r>
          <m:t>2</m:t>
        </m:r>
      </m:oMath>
      <w:r>
        <w:t xml:space="preserve"> </w:t>
      </w:r>
      <w:r>
        <w:t xml:space="preserve">sources has minimax recovery radius</w:t>
      </w:r>
      <w:r>
        <w:t xml:space="preserve"> </w:t>
      </w:r>
      <m:oMath>
        <m:d>
          <m:dPr>
            <m:begChr m:val="("/>
            <m:endChr m:val=")"/>
            <m:sepChr m:val=""/>
            <m:grow/>
          </m:dPr>
          <m:e>
            <m:r>
              <m:t>2</m:t>
            </m:r>
            <m:r>
              <m:t>m</m:t>
            </m:r>
            <m:r>
              <m:rPr>
                <m:sty m:val="p"/>
              </m:rPr>
              <m:t>−</m:t>
            </m:r>
            <m:r>
              <m:t>3</m:t>
            </m:r>
          </m:e>
        </m:d>
        <m:r>
          <m:t>ε</m:t>
        </m:r>
      </m:oMath>
      <w:r>
        <w:t xml:space="preserve">. A matching two-point construction establishes optimality without a separation assumption on branching depths. We give a feasible hierarchical repair and computable cost intervals for unequal measurement tolerances. These bounds yield stability guarantees for Bayesian decision values and policies, together with a certificate for a robust initial action. We also characterize universal decision equivalence and exhibit failure of pairwise recovery for general shared resources. Exact calculations and 1,920 synthetic perturbation cases illustrate the results.</w:t>
      </w:r>
    </w:p>
    <w:p>
      <w:pPr>
        <w:pStyle w:val="BodyText"/>
      </w:pPr>
      <w:r>
        <w:rPr>
          <w:bCs/>
          <w:b/>
        </w:rPr>
        <w:t xml:space="preserve">Keywords:</w:t>
      </w:r>
      <w:r>
        <w:t xml:space="preserve"> </w:t>
      </w:r>
      <w:r>
        <w:t xml:space="preserve">optimal recovery; rooted tree; shared acquisition cost; sequential Bayesian decision; decision stability.</w:t>
      </w:r>
    </w:p>
    <w:p>
      <w:pPr>
        <w:pStyle w:val="BodyText"/>
      </w:pPr>
      <w:r>
        <w:rPr>
          <w:bCs/>
          <w:b/>
        </w:rPr>
        <w:t xml:space="preserve">MSC 2020:</w:t>
      </w:r>
      <w:r>
        <w:t xml:space="preserve"> </w:t>
      </w:r>
      <w:r>
        <w:t xml:space="preserve">41A65; 05C05; 90C39; 62L15.</w:t>
      </w:r>
    </w:p>
    <w:bookmarkEnd w:id="20"/>
    <w:bookmarkStart w:id="22" w:name="introduction"/>
    <w:p>
      <w:pPr>
        <w:pStyle w:val="Heading1"/>
      </w:pPr>
      <w:r>
        <w:t xml:space="preserve">1. Introduction</w:t>
      </w:r>
    </w:p>
    <w:p>
      <w:pPr>
        <w:pStyle w:val="FirstParagraph"/>
      </w:pPr>
      <w:r>
        <w:t xml:space="preserve">A sequential diagnostic procedure acquires information from specialized sources, updates its belief about a fault, and chooses a final diagnosis. Graph representations already support multi-agent scheduling in manufacturing; for example, Qin and Lu [21] combine knowledge graphs with multi-agent reinforcement learning. The present problem concerns the cost of accessing evidence when several sources share communication or session-activation resources.</w:t>
      </w:r>
    </w:p>
    <w:p>
      <w:pPr>
        <w:pStyle w:val="BodyText"/>
      </w:pPr>
      <w:r>
        <w:t xml:space="preserve">Charging every query its full standalone access cost is appropriate when all communication expenses recur independently. If part of the expense is incurred once per investigation, however, later queries may reuse an activated route. A useful theoretical question is whether individual and pairwise cost measurements determine the cost of every larger group. A second question asks how errors in these measurements affect an optimal sequential diagnostic policy.</w:t>
      </w:r>
    </w:p>
    <w:p>
      <w:pPr>
        <w:pStyle w:val="BodyText"/>
      </w:pPr>
      <w:r>
        <w:t xml:space="preserve">The mathematical ingredients have established antecedents. Pachter and Speyer [20] study reconstruction of trees from subtree weights. Hunter [10] uses spanning trees to optimize bounds on unions from first- and second-order information. Hierarchical representations and their stability are studied by Carlsson and Mémoli [4]. Belief-state dynamic programming follows the finite-horizon partially observed control framework of Smallwood and Sondik [22]. Adaptive submodularity [8] and robust observation selection [13] address related acquisition problems under different assumptions and objectives.</w:t>
      </w:r>
    </w:p>
    <w:p>
      <w:pPr>
        <w:pStyle w:val="BodyText"/>
      </w:pPr>
      <w:r>
        <w:t xml:space="preserve">We use these foundations to formulate a precise measurement-to-decision problem. The central result is the exact worst-case recovery radius</w:t>
      </w:r>
      <w:r>
        <w:t xml:space="preserve"> </w:t>
      </w:r>
      <m:oMath>
        <m:d>
          <m:dPr>
            <m:begChr m:val="("/>
            <m:endChr m:val=")"/>
            <m:sepChr m:val=""/>
            <m:grow/>
          </m:dPr>
          <m:e>
            <m:r>
              <m:t>2</m:t>
            </m:r>
            <m:r>
              <m:t>m</m:t>
            </m:r>
            <m:r>
              <m:rPr>
                <m:sty m:val="p"/>
              </m:rPr>
              <m:t>−</m:t>
            </m:r>
            <m:r>
              <m:t>3</m:t>
            </m:r>
          </m:e>
        </m:d>
        <m:r>
          <m:t>ε</m:t>
        </m:r>
      </m:oMath>
      <w:r>
        <w:t xml:space="preserve"> </w:t>
      </w:r>
      <w:r>
        <w:t xml:space="preserve">for the cost of</w:t>
      </w:r>
      <w:r>
        <w:t xml:space="preserve"> </w:t>
      </w:r>
      <m:oMath>
        <m:r>
          <m:t>m</m:t>
        </m:r>
      </m:oMath>
      <w:r>
        <w:t xml:space="preserve"> </w:t>
      </w:r>
      <w:r>
        <w:t xml:space="preserve">sources. Its proof includes a matching lower bound for every estimator using the specified measurements. We then derive decision-value stability, policy excess-loss bounds, and a decision-equivalence characterization. Computable intervals for heterogeneous calibration tolerances additionally give an instance-specific policy certificate and a sufficient condition for a robust first action. Tree reconstruction and the Bellman principle serve as established foundations.</w:t>
      </w:r>
    </w:p>
    <w:p>
      <w:pPr>
        <w:pStyle w:val="BodyText"/>
      </w:pPr>
      <w:r>
        <w:t xml:space="preserve">The intended application is diagnosis with reusable setup resources, such as a gateway session or inspection fixture that remains active during one investigation. We make the accounting assumptions explicit and use a synthetic manufacturing example. The numerical study examines calibration error, tree structure, and query limits; it does not estimate performance in a physical factory.</w:t>
      </w:r>
    </w:p>
    <w:bookmarkStart w:id="21" w:name="related-work-and-scope"/>
    <w:p>
      <w:pPr>
        <w:pStyle w:val="Heading2"/>
      </w:pPr>
      <w:r>
        <w:t xml:space="preserve">1.1. Related work and scope</w:t>
      </w:r>
    </w:p>
    <w:p>
      <w:pPr>
        <w:pStyle w:val="FirstParagraph"/>
      </w:pPr>
      <w:r>
        <w:rPr>
          <w:bCs/>
          <w:b/>
        </w:rPr>
        <w:t xml:space="preserve">Tree identification and hierarchical representation.</w:t>
      </w:r>
      <w:r>
        <w:t xml:space="preserve"> </w:t>
      </w:r>
      <w:r>
        <w:t xml:space="preserve">Buneman [3] gives a metric characterization of trees, while Aho et al. [1] construct trees subject to common-ancestor constraints. Pachter and Speyer [20] show, for</w:t>
      </w:r>
      <w:r>
        <w:t xml:space="preserve"> </w:t>
      </w:r>
      <m:oMath>
        <m:r>
          <m:t>k</m:t>
        </m:r>
        <m:r>
          <m:rPr>
            <m:sty m:val="p"/>
          </m:rPr>
          <m:t>≥</m:t>
        </m:r>
        <m:r>
          <m:t>3</m:t>
        </m:r>
      </m:oMath>
      <w:r>
        <w:t xml:space="preserve">, that the weights of all</w:t>
      </w:r>
      <w:r>
        <w:t xml:space="preserve"> </w:t>
      </w:r>
      <m:oMath>
        <m:r>
          <m:t>k</m:t>
        </m:r>
      </m:oMath>
      <w:r>
        <w:t xml:space="preserve">-leaf subtrees identify a positive weighted unrooted tree with</w:t>
      </w:r>
      <w:r>
        <w:t xml:space="preserve"> </w:t>
      </w:r>
      <m:oMath>
        <m:r>
          <m:t>n</m:t>
        </m:r>
      </m:oMath>
      <w:r>
        <w:t xml:space="preserve"> </w:t>
      </w:r>
      <w:r>
        <w:t xml:space="preserve">labeled leaves and no degree-two vertices when</w:t>
      </w:r>
      <w:r>
        <w:t xml:space="preserve"> </w:t>
      </w:r>
      <m:oMath>
        <m:r>
          <m:t>n</m:t>
        </m:r>
        <m:r>
          <m:rPr>
            <m:sty m:val="p"/>
          </m:rPr>
          <m:t>≥</m:t>
        </m:r>
        <m:r>
          <m:t>2</m:t>
        </m:r>
        <m:r>
          <m:t>k</m:t>
        </m:r>
        <m:r>
          <m:rPr>
            <m:sty m:val="p"/>
          </m:rPr>
          <m:t>−</m:t>
        </m:r>
        <m:r>
          <m:t>1</m:t>
        </m:r>
      </m:oMath>
      <w:r>
        <w:t xml:space="preserve">. Their target is the entire tree. Here a fixed root is included in every acquisition, zero edge lengths are allowed, and the target is a set-cost functional. Our error guarantee does not require separation between branching depths or identification of the physical topology. These differences delimit the claim; the rooted-tree representation itself is established background. Here the measurements are acquisition costs for one or two labeled sources, and the target is the cost of a specified source set. Proposition 2.1 expresses the relevant hierarchy through common-prefix depths; it does not identify a unique physical subdivision of the network. The spanning-tree relation between single linkage and hierarchical clustering studied by Gower and Ross [9] provides context for the overlap repair in Section 3.2. Carlsson and Mémoli [4, Lemma 15 and Proposition 26] establish stability properties of single linkage. Our repair uses the similarity version of the bottleneck construction; its direct proof also covers raw weights that are not a metric.</w:t>
      </w:r>
    </w:p>
    <w:p>
      <w:pPr>
        <w:pStyle w:val="BodyText"/>
      </w:pPr>
      <w:r>
        <w:rPr>
          <w:bCs/>
          <w:b/>
        </w:rPr>
        <w:t xml:space="preserve">Recovery from inaccurate measurements.</w:t>
      </w:r>
      <w:r>
        <w:t xml:space="preserve"> </w:t>
      </w:r>
      <w:r>
        <w:t xml:space="preserve">Optimal recovery asks what can be determined about a target quantity from limited information and a specified model class; Micchelli and Rivlin [16] survey this framework. Donoho [6] connects this viewpoint to minimax statistical estimation of linear functionals under Gaussian noise. Foucart and Liao [7] study inaccurate linear observations in Hilbert spaces, with approximation and observation errors controlled by norm bounds, and characterize optimal regularization choices. The present formulation uses deterministic coordinatewise errors and a nonconvex class of rooted-tree costs. The target is a minimum of finitely many linear forms in the measurement table, rather than a Hilbert-space element under a subspace approximation model. Theorem 3.1 concerns the exact error radius of a set-cost functional under this information model. Its lower bound is obtained from two admissible trees consistent with the same measurements. Thus the result addresses unavoidable uncertainty in acquisition cost without requiring recovery of a particular tree topology.</w:t>
      </w:r>
    </w:p>
    <w:p>
      <w:pPr>
        <w:pStyle w:val="BodyText"/>
      </w:pPr>
      <w:r>
        <w:rPr>
          <w:bCs/>
          <w:b/>
        </w:rPr>
        <w:t xml:space="preserve">Sequential testing and partially observed control.</w:t>
      </w:r>
      <w:r>
        <w:t xml:space="preserve"> </w:t>
      </w:r>
      <w:r>
        <w:t xml:space="preserve">Wald [23] develops sequential hypothesis testing, and Chernoff [5] studies the sequential choice of experiments. Naghshvar and Javidi [17] analyze active sequential hypothesis testing through information acquisition, decision penalties, and asymptotically optimal policies. The finite-horizon belief-state formulation used here belongs to the framework of Smallwood and Sondik [22] and the planning treatment of Kaelbling, Littman, and Cassandra [12]. Our model restricts each source to one query and records the queried set because shared activation makes the next acquisition cost depend on earlier choices. The Bellman recursion is a specialization of this established framework.</w:t>
      </w:r>
    </w:p>
    <w:p>
      <w:pPr>
        <w:pStyle w:val="BodyText"/>
      </w:pPr>
      <w:r>
        <w:rPr>
          <w:bCs/>
          <w:b/>
        </w:rPr>
        <w:t xml:space="preserve">Submodularity and active feature acquisition.</w:t>
      </w:r>
      <w:r>
        <w:t xml:space="preserve"> </w:t>
      </w:r>
      <w:r>
        <w:t xml:space="preserve">Nemhauser, Wolsey, and Fisher [18] establish approximation guarantees for monotone submodular maximization under a cardinality constraint. Golovin and Krause [8] identify adaptive diminishing-returns conditions supporting greedy acquisition, while Krause et al. [13] study observation selection against multiple possible objectives, including extensions with communication and path costs. These results motivate scalable acquisition methods, but their assumptions concern the information objective as well as its constraints. Submodularity of the shared acquisition cost alone does not establish the required diminishing returns in diagnostic value; the parity example in Section 4.2 makes that distinction explicit.</w:t>
      </w:r>
    </w:p>
    <w:p>
      <w:pPr>
        <w:pStyle w:val="BodyText"/>
      </w:pPr>
      <w:r>
        <w:t xml:space="preserve">Active feature acquisition also studies how to choose additional observations for a partially observed instance. Ma et al. [15] combine a partial variational autoencoder with an expected-information-gain acquisition rule, and Li and Oliva [14] use a generative surrogate model to support acquisition-policy learning. These approaches address representation and policy computation. The present analysis isolates a complementary question: how calibration error in a structured acquisition-cost model propagates to decision values when the observation model is held fixed. The synthetic example therefore illustrates the mathematical guarantees, rather than providing a benchmark against learned acquisition methods.</w:t>
      </w:r>
    </w:p>
    <w:bookmarkEnd w:id="21"/>
    <w:bookmarkEnd w:id="22"/>
    <w:bookmarkStart w:id="26" w:name="shared-costs-on-a-rooted-tree"/>
    <w:p>
      <w:pPr>
        <w:pStyle w:val="Heading1"/>
      </w:pPr>
      <w:r>
        <w:t xml:space="preserve">2. Shared costs on a rooted tree</w:t>
      </w:r>
    </w:p>
    <w:bookmarkStart w:id="23" w:name="model-and-notation"/>
    <w:p>
      <w:pPr>
        <w:pStyle w:val="Heading2"/>
      </w:pPr>
      <w:r>
        <w:t xml:space="preserve">2.1. Model and notation</w:t>
      </w:r>
    </w:p>
    <w:p>
      <w:pPr>
        <w:pStyle w:val="FirstParagraph"/>
      </w:pPr>
      <w:r>
        <w:t xml:space="preserve">Let</w:t>
      </w:r>
      <w:r>
        <w:t xml:space="preserve"> </w:t>
      </w:r>
      <m:oMath>
        <m:r>
          <m:t>N</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label evidence sources, and let</w:t>
      </w:r>
      <w:r>
        <w:t xml:space="preserve"> </w:t>
      </w:r>
      <m:oMath>
        <m:r>
          <m:t>T</m:t>
        </m:r>
      </m:oMath>
      <w:r>
        <w:t xml:space="preserve"> </w:t>
      </w:r>
      <w:r>
        <w:t xml:space="preserve">be a finite tree rooted at a coordinator</w:t>
      </w:r>
      <w:r>
        <w:t xml:space="preserve"> </w:t>
      </w:r>
      <m:oMath>
        <m:r>
          <m:t>r</m:t>
        </m:r>
      </m:oMath>
      <w:r>
        <w:t xml:space="preserve">. Source</w:t>
      </w:r>
      <w:r>
        <w:t xml:space="preserve"> </w:t>
      </w:r>
      <m:oMath>
        <m:r>
          <m:t>i</m:t>
        </m:r>
      </m:oMath>
      <w:r>
        <w:t xml:space="preserve"> </w:t>
      </w:r>
      <w:r>
        <w:t xml:space="preserve">is associated with a vertex and the unique root-to-source path</w:t>
      </w:r>
      <w:r>
        <w:t xml:space="preserve"> </w:t>
      </w:r>
      <m:oMath>
        <m:sSub>
          <m:e>
            <m:r>
              <m:t>P</m:t>
            </m:r>
          </m:e>
          <m:sub>
            <m:r>
              <m:t>i</m:t>
            </m:r>
          </m:sub>
        </m:sSub>
      </m:oMath>
      <w:r>
        <w:t xml:space="preserve">. Each edge</w:t>
      </w:r>
      <w:r>
        <w:t xml:space="preserve"> </w:t>
      </w:r>
      <m:oMath>
        <m:r>
          <m:t>e</m:t>
        </m:r>
      </m:oMath>
      <w:r>
        <w:t xml:space="preserve"> </w:t>
      </w:r>
      <w:r>
        <w:t xml:space="preserve">has activation cost</w:t>
      </w:r>
      <w:r>
        <w:t xml:space="preserve"> </w:t>
      </w:r>
      <m:oMath>
        <m:sSub>
          <m:e>
            <m:r>
              <m:t>a</m:t>
            </m:r>
          </m:e>
          <m:sub>
            <m:r>
              <m:t>e</m:t>
            </m:r>
          </m:sub>
        </m:sSub>
        <m:r>
          <m:rPr>
            <m:sty m:val="p"/>
          </m:rPr>
          <m:t>≥</m:t>
        </m:r>
        <m:r>
          <m:t>0</m:t>
        </m:r>
      </m:oMath>
      <w:r>
        <w:t xml:space="preserve">, and source</w:t>
      </w:r>
      <w:r>
        <w:t xml:space="preserve"> </w:t>
      </w:r>
      <m:oMath>
        <m:r>
          <m:t>i</m:t>
        </m:r>
      </m:oMath>
      <w:r>
        <w:t xml:space="preserve"> </w:t>
      </w:r>
      <w:r>
        <w:t xml:space="preserve">has service cost</w:t>
      </w:r>
      <w:r>
        <w:t xml:space="preserve"> </w:t>
      </w:r>
      <m:oMath>
        <m:sSub>
          <m:e>
            <m:r>
              <m:t>s</m:t>
            </m:r>
          </m:e>
          <m:sub>
            <m:r>
              <m:t>i</m:t>
            </m:r>
          </m:sub>
        </m:sSub>
        <m:r>
          <m:rPr>
            <m:sty m:val="p"/>
          </m:rPr>
          <m:t>≥</m:t>
        </m:r>
        <m:r>
          <m:t>0</m:t>
        </m:r>
      </m:oMath>
      <w:r>
        <w:t xml:space="preserve">.</w:t>
      </w:r>
    </w:p>
    <w:p>
      <w:pPr>
        <w:pStyle w:val="BodyText"/>
      </w:pPr>
      <w:r>
        <w:t xml:space="preserve">Each source is queried at most once during an investigation. An edge is charged when first activated and remains available until the investigation ends.</w:t>
      </w:r>
    </w:p>
    <w:p>
      <w:pPr>
        <w:pStyle w:val="BodyText"/>
      </w:pPr>
      <w:r>
        <w:t xml:space="preserve">For</w:t>
      </w:r>
      <w:r>
        <w:t xml:space="preserve"> </w:t>
      </w:r>
      <m:oMath>
        <m:r>
          <m:t>S</m:t>
        </m:r>
        <m:r>
          <m:rPr>
            <m:sty m:val="p"/>
          </m:rPr>
          <m:t>⊆</m:t>
        </m:r>
        <m:r>
          <m:t>N</m:t>
        </m:r>
      </m:oMath>
      <w:r>
        <w:t xml:space="preserve">, define</w:t>
      </w:r>
    </w:p>
    <w:p>
      <w:pPr>
        <w:pStyle w:val="BodyText"/>
        <w:jc w:val="center"/>
      </w:pPr>
      <m:oMath>
        <m:r>
          <m:t>F</m:t>
        </m:r>
        <m:d>
          <m:dPr>
            <m:begChr m:val="("/>
            <m:endChr m:val=")"/>
            <m:sepChr m:val=""/>
            <m:grow/>
          </m:dPr>
          <m:e>
            <m:r>
              <m:t>S</m:t>
            </m:r>
          </m:e>
        </m:d>
        <m:r>
          <m:rPr>
            <m:sty m:val="p"/>
          </m:rPr>
          <m:t>=</m:t>
        </m:r>
        <m:nary>
          <m:naryPr>
            <m:chr m:val="∑"/>
            <m:limLoc m:val="undOvr"/>
            <m:subHide m:val="off"/>
            <m:supHide m:val="on"/>
          </m:naryPr>
          <m:sub>
            <m:r>
              <m:t>e</m:t>
            </m:r>
            <m:r>
              <m:rPr>
                <m:sty m:val="p"/>
              </m:rPr>
              <m:t>∈</m:t>
            </m:r>
            <m:limLow>
              <m:e>
                <m:r>
                  <m:rPr>
                    <m:sty m:val="p"/>
                  </m:rPr>
                  <m:t>⋃</m:t>
                </m:r>
              </m:e>
              <m:lim>
                <m:r>
                  <m:t>i</m:t>
                </m:r>
                <m:r>
                  <m:rPr>
                    <m:sty m:val="p"/>
                  </m:rPr>
                  <m:t>∈</m:t>
                </m:r>
                <m:r>
                  <m:t>S</m:t>
                </m:r>
              </m:lim>
            </m:limLow>
            <m:sSub>
              <m:e>
                <m:r>
                  <m:t>P</m:t>
                </m:r>
              </m:e>
              <m:sub>
                <m:r>
                  <m:t>i</m:t>
                </m:r>
              </m:sub>
            </m:sSub>
          </m:sub>
          <m:sup>
            <m:r>
              <m:t>​</m:t>
            </m:r>
          </m:sup>
          <m:e>
            <m:sSub>
              <m:e>
                <m:r>
                  <m:t>a</m:t>
                </m:r>
              </m:e>
              <m:sub>
                <m:r>
                  <m:t>e</m:t>
                </m:r>
              </m:sub>
            </m:sSub>
          </m:e>
        </m:nary>
        <m:r>
          <m:rPr>
            <m:sty m:val="p"/>
          </m:rPr>
          <m:t>+</m:t>
        </m:r>
        <m:nary>
          <m:naryPr>
            <m:chr m:val="∑"/>
            <m:limLoc m:val="undOvr"/>
            <m:subHide m:val="off"/>
            <m:supHide m:val="on"/>
          </m:naryPr>
          <m:sub>
            <m:r>
              <m:t>i</m:t>
            </m:r>
            <m:r>
              <m:rPr>
                <m:sty m:val="p"/>
              </m:rPr>
              <m:t>∈</m:t>
            </m:r>
            <m:r>
              <m:t>S</m:t>
            </m:r>
          </m:sub>
          <m:sup>
            <m:r>
              <m:t>​</m:t>
            </m:r>
          </m:sup>
          <m:e>
            <m:sSub>
              <m:e>
                <m:r>
                  <m:t>s</m:t>
                </m:r>
              </m:e>
              <m:sub>
                <m:r>
                  <m:t>i</m:t>
                </m:r>
              </m:sub>
            </m:sSub>
          </m:e>
        </m:nary>
        <m:r>
          <m:rPr>
            <m:sty m:val="p"/>
          </m:rPr>
          <m:t>,</m:t>
        </m:r>
        <m:r>
          <m:t> </m:t>
        </m:r>
        <m:r>
          <m:t> </m:t>
        </m:r>
        <m:r>
          <m:t>F</m:t>
        </m:r>
        <m:d>
          <m:dPr>
            <m:begChr m:val="("/>
            <m:endChr m:val=")"/>
            <m:sepChr m:val=""/>
            <m:grow/>
          </m:dPr>
          <m:e>
            <m:r>
              <m:rPr>
                <m:sty m:val="p"/>
              </m:rPr>
              <m:t>⌀</m:t>
            </m:r>
          </m:e>
        </m:d>
        <m:r>
          <m:rPr>
            <m:sty m:val="p"/>
          </m:rPr>
          <m:t>=</m:t>
        </m:r>
        <m:r>
          <m:t>0</m:t>
        </m:r>
        <m:r>
          <m:rPr>
            <m:sty m:val="p"/>
          </m:rPr>
          <m:t>.</m:t>
        </m:r>
      </m:oMath>
      <w:r>
        <w:t xml:space="preserve">     (2.1)</w:t>
      </w:r>
    </w:p>
    <w:p>
      <w:pPr>
        <w:pStyle w:val="BodyText"/>
      </w:pPr>
      <w:r>
        <w:t xml:space="preserve">This is a nonnegative, monotone weighted-coverage function. Service costs can be absorbed into private pendant edges of lengths</w:t>
      </w:r>
      <w:r>
        <w:t xml:space="preserve"> </w:t>
      </w:r>
      <m:oMath>
        <m:sSub>
          <m:e>
            <m:r>
              <m:t>s</m:t>
            </m:r>
          </m:e>
          <m:sub>
            <m:r>
              <m:t>i</m:t>
            </m:r>
          </m:sub>
        </m:sSub>
      </m:oMath>
      <w:r>
        <w:t xml:space="preserve">, placing each source label at the new endpoint. Thus all costs may be represented by root-path lengths, allowing zero-length edges.</w:t>
      </w:r>
    </w:p>
    <w:p>
      <w:pPr>
        <w:pStyle w:val="BodyText"/>
      </w:pPr>
      <w:r>
        <w:t xml:space="preserve">Write</w:t>
      </w:r>
    </w:p>
    <w:p>
      <w:pPr>
        <w:pStyle w:val="BodyText"/>
        <w:jc w:val="center"/>
      </w:pPr>
      <m:oMath>
        <m:sSub>
          <m:e>
            <m:r>
              <m:t>c</m:t>
            </m:r>
          </m:e>
          <m:sub>
            <m:r>
              <m:t>i</m:t>
            </m:r>
          </m:sub>
        </m:sSub>
        <m:r>
          <m:rPr>
            <m:sty m:val="p"/>
          </m:rPr>
          <m:t>=</m:t>
        </m:r>
        <m:r>
          <m:t>F</m:t>
        </m:r>
        <m:d>
          <m:dPr>
            <m:begChr m:val="("/>
            <m:endChr m:val=")"/>
            <m:sepChr m:val=""/>
            <m:grow/>
          </m:dPr>
          <m:e>
            <m:r>
              <m:rPr>
                <m:sty m:val="p"/>
              </m:rPr>
              <m:t>{</m:t>
            </m:r>
            <m:r>
              <m:t>i</m:t>
            </m:r>
            <m:r>
              <m:rPr>
                <m:sty m:val="p"/>
              </m:rPr>
              <m:t>}</m:t>
            </m:r>
          </m:e>
        </m:d>
        <m:r>
          <m:rPr>
            <m:sty m:val="p"/>
          </m:rPr>
          <m:t>,</m:t>
        </m:r>
        <m:r>
          <m:t> </m:t>
        </m:r>
        <m:r>
          <m:t> </m:t>
        </m:r>
        <m:sSub>
          <m:e>
            <m:r>
              <m:t>c</m:t>
            </m:r>
          </m:e>
          <m:sub>
            <m:r>
              <m:t>i</m:t>
            </m:r>
            <m:r>
              <m:t>j</m:t>
            </m:r>
          </m:sub>
        </m:sSub>
        <m:r>
          <m:rPr>
            <m:sty m:val="p"/>
          </m:rPr>
          <m:t>=</m:t>
        </m:r>
        <m:r>
          <m:t>F</m:t>
        </m:r>
        <m:d>
          <m:dPr>
            <m:begChr m:val="("/>
            <m:endChr m:val=")"/>
            <m:sepChr m:val=""/>
            <m:grow/>
          </m:dPr>
          <m:e>
            <m:r>
              <m:rPr>
                <m:sty m:val="p"/>
              </m:rPr>
              <m:t>{</m:t>
            </m:r>
            <m:r>
              <m:t>i</m:t>
            </m:r>
            <m:r>
              <m:rPr>
                <m:sty m:val="p"/>
              </m:rPr>
              <m:t>,</m:t>
            </m:r>
            <m:r>
              <m:t>j</m:t>
            </m:r>
            <m:r>
              <m:rPr>
                <m:sty m:val="p"/>
              </m:rPr>
              <m:t>}</m:t>
            </m:r>
          </m:e>
        </m:d>
        <m:r>
          <m:rPr>
            <m:sty m:val="p"/>
          </m:rPr>
          <m:t>,</m:t>
        </m:r>
        <m:r>
          <m:t> </m:t>
        </m:r>
        <m:r>
          <m:t> </m:t>
        </m:r>
        <m:sSub>
          <m:e>
            <m:r>
              <m:t>o</m:t>
            </m:r>
          </m:e>
          <m:sub>
            <m:r>
              <m:t>i</m:t>
            </m:r>
            <m:r>
              <m:t>j</m:t>
            </m:r>
          </m:sub>
        </m:sSub>
        <m:r>
          <m:rPr>
            <m:sty m:val="p"/>
          </m:rPr>
          <m:t>=</m:t>
        </m:r>
        <m:sSub>
          <m:e>
            <m:r>
              <m:t>c</m:t>
            </m:r>
          </m:e>
          <m:sub>
            <m:r>
              <m:t>i</m:t>
            </m:r>
          </m:sub>
        </m:sSub>
        <m:r>
          <m:rPr>
            <m:sty m:val="p"/>
          </m:rPr>
          <m:t>+</m:t>
        </m:r>
        <m:sSub>
          <m:e>
            <m:r>
              <m:t>c</m:t>
            </m:r>
          </m:e>
          <m:sub>
            <m:r>
              <m:t>j</m:t>
            </m:r>
          </m:sub>
        </m:sSub>
        <m:r>
          <m:rPr>
            <m:sty m:val="p"/>
          </m:rPr>
          <m:t>−</m:t>
        </m:r>
        <m:sSub>
          <m:e>
            <m:r>
              <m:t>c</m:t>
            </m:r>
          </m:e>
          <m:sub>
            <m:r>
              <m:t>i</m:t>
            </m:r>
            <m:r>
              <m:t>j</m:t>
            </m:r>
          </m:sub>
        </m:sSub>
        <m:r>
          <m:rPr>
            <m:sty m:val="p"/>
          </m:rPr>
          <m:t>,</m:t>
        </m:r>
        <m:r>
          <m:t> </m:t>
        </m:r>
        <m:r>
          <m:t>i</m:t>
        </m:r>
        <m:r>
          <m:rPr>
            <m:sty m:val="p"/>
          </m:rPr>
          <m:t>≠</m:t>
        </m:r>
        <m:r>
          <m:t>j</m:t>
        </m:r>
        <m:r>
          <m:rPr>
            <m:sty m:val="p"/>
          </m:rPr>
          <m:t>.</m:t>
        </m:r>
      </m:oMath>
      <w:r>
        <w:t xml:space="preserve">     (2.2)</w:t>
      </w:r>
    </w:p>
    <w:p>
      <w:pPr>
        <w:pStyle w:val="BodyText"/>
      </w:pPr>
      <w:r>
        <w:t xml:space="preserve">The quantity</w:t>
      </w:r>
      <w:r>
        <w:t xml:space="preserve"> </w:t>
      </w:r>
      <m:oMath>
        <m:sSub>
          <m:e>
            <m:r>
              <m:t>o</m:t>
            </m:r>
          </m:e>
          <m:sub>
            <m:r>
              <m:t>i</m:t>
            </m:r>
            <m:r>
              <m:t>j</m:t>
            </m:r>
          </m:sub>
        </m:sSub>
      </m:oMath>
      <w:r>
        <w:t xml:space="preserve"> </w:t>
      </w:r>
      <w:r>
        <w:t xml:space="preserve">is the cost of the common prefix of the two root paths. Service costs cancel from this overlap. Let</w:t>
      </w:r>
      <w:r>
        <w:t xml:space="preserve"> </w:t>
      </w:r>
      <m:oMath>
        <m:r>
          <m:rPr>
            <m:sty m:val="p"/>
            <m:scr m:val="script"/>
          </m:rPr>
          <m:t>T</m:t>
        </m:r>
        <m:d>
          <m:dPr>
            <m:begChr m:val="("/>
            <m:endChr m:val=")"/>
            <m:sepChr m:val=""/>
            <m:grow/>
          </m:dPr>
          <m:e>
            <m:r>
              <m:t>S</m:t>
            </m:r>
          </m:e>
        </m:d>
      </m:oMath>
      <w:r>
        <w:t xml:space="preserve"> </w:t>
      </w:r>
      <w:r>
        <w:t xml:space="preserve">denote the spanning trees of the complete graph on</w:t>
      </w:r>
      <w:r>
        <w:t xml:space="preserve"> </w:t>
      </w:r>
      <m:oMath>
        <m:r>
          <m:t>S</m:t>
        </m:r>
      </m:oMath>
      <w:r>
        <w:t xml:space="preserve">, when</w:t>
      </w:r>
      <w:r>
        <w:t xml:space="preserve"> </w:t>
      </w:r>
      <m:oMath>
        <m:d>
          <m:dPr>
            <m:begChr m:val="|"/>
            <m:endChr m:val="|"/>
            <m:sepChr m:val=""/>
            <m:grow/>
          </m:dPr>
          <m:e>
            <m:r>
              <m:t>S</m:t>
            </m:r>
          </m:e>
        </m:d>
        <m:r>
          <m:rPr>
            <m:sty m:val="p"/>
          </m:rPr>
          <m:t>≥</m:t>
        </m:r>
        <m:r>
          <m:t>2</m:t>
        </m:r>
      </m:oMath>
      <w:r>
        <w:t xml:space="preserve">.</w:t>
      </w:r>
    </w:p>
    <w:p>
      <w:pPr>
        <w:pStyle w:val="BodyText"/>
      </w:pPr>
      <w:r>
        <w:t xml:space="preserve">The model describes shared activation or setup expenses. For calibration, each singleton or pair acquisition begins from the same reset condition; service costs are charged once per queried source, and activated resources persist until that acquisition ends. Bounded errors may represent deterministic metering tolerances or externally validated calibration limits. The theory does not estimate those limits from repeated noisy data. A hierarchical gateway or fixture arrangement motivates the rooted-path assumption, which must be justified independently of pair-table compatibility. Expenses that recur per packet, time-dependent latency, congestion, repeated service, and resource deactivation are outside this model.</w:t>
      </w:r>
    </w:p>
    <w:bookmarkEnd w:id="23"/>
    <w:bookmarkStart w:id="24" w:name="compatibility-and-marginal-costs"/>
    <w:p>
      <w:pPr>
        <w:pStyle w:val="Heading2"/>
      </w:pPr>
      <w:r>
        <w:t xml:space="preserve">2.2. Compatibility and marginal costs</w:t>
      </w:r>
    </w:p>
    <w:p>
      <w:pPr>
        <w:pStyle w:val="FirstParagraph"/>
        <w:keepNext/>
        <w:spacing w:before="180"/>
      </w:pPr>
      <w:r>
        <w:rPr>
          <w:bCs/>
          <w:b/>
        </w:rPr>
        <w:t xml:space="preserve">Proposition 2.1 — Rooted-tree compatibility.</w:t>
      </w:r>
      <w:r>
        <w:t xml:space="preserve"> </w:t>
      </w:r>
      <w:r>
        <w:t xml:space="preserve">A singleton and pair table admits a representation of the form (2.1) if and only if</w:t>
      </w:r>
      <w:r>
        <w:t xml:space="preserve"> </w:t>
      </w:r>
      <m:oMath>
        <m:sSub>
          <m:e>
            <m:r>
              <m:t>c</m:t>
            </m:r>
          </m:e>
          <m:sub>
            <m:r>
              <m:t>i</m:t>
            </m:r>
          </m:sub>
        </m:sSub>
        <m:r>
          <m:rPr>
            <m:sty m:val="p"/>
          </m:rPr>
          <m:t>≥</m:t>
        </m:r>
        <m:r>
          <m:t>0</m:t>
        </m:r>
      </m:oMath>
      <w:r>
        <w:t xml:space="preserve">, the overlaps are symmetric, and</w:t>
      </w:r>
    </w:p>
    <w:p>
      <w:pPr>
        <w:pStyle w:val="BodyText"/>
        <w:jc w:val="center"/>
      </w:pPr>
      <m:oMath>
        <m:r>
          <m:t>0</m:t>
        </m:r>
        <m:r>
          <m:rPr>
            <m:sty m:val="p"/>
          </m:rPr>
          <m:t>≤</m:t>
        </m:r>
        <m:sSub>
          <m:e>
            <m:r>
              <m:t>o</m:t>
            </m:r>
          </m:e>
          <m:sub>
            <m:r>
              <m:t>i</m:t>
            </m:r>
            <m:r>
              <m:t>j</m:t>
            </m:r>
          </m:sub>
        </m:sSub>
        <m:r>
          <m:rPr>
            <m:sty m:val="p"/>
          </m:rPr>
          <m:t>≤</m:t>
        </m:r>
        <m:r>
          <m:rPr>
            <m:sty m:val="p"/>
          </m:rPr>
          <m:t>min</m:t>
        </m:r>
        <m:d>
          <m:dPr>
            <m:begChr m:val="("/>
            <m:endChr m:val=")"/>
            <m:sepChr m:val=""/>
            <m:grow/>
          </m:dPr>
          <m:e>
            <m:sSub>
              <m:e>
                <m:r>
                  <m:t>c</m:t>
                </m:r>
              </m:e>
              <m:sub>
                <m:r>
                  <m:t>i</m:t>
                </m:r>
              </m:sub>
            </m:sSub>
            <m:r>
              <m:rPr>
                <m:sty m:val="p"/>
              </m:rPr>
              <m:t>,</m:t>
            </m:r>
            <m:sSub>
              <m:e>
                <m:r>
                  <m:t>c</m:t>
                </m:r>
              </m:e>
              <m:sub>
                <m:r>
                  <m:t>j</m:t>
                </m:r>
              </m:sub>
            </m:sSub>
          </m:e>
        </m:d>
        <m:r>
          <m:rPr>
            <m:sty m:val="p"/>
          </m:rPr>
          <m:t>,</m:t>
        </m:r>
        <m:r>
          <m:t> </m:t>
        </m:r>
        <m:r>
          <m:t> </m:t>
        </m:r>
        <m:sSub>
          <m:e>
            <m:r>
              <m:t>o</m:t>
            </m:r>
          </m:e>
          <m:sub>
            <m:r>
              <m:t>i</m:t>
            </m:r>
            <m:r>
              <m:t>j</m:t>
            </m:r>
          </m:sub>
        </m:sSub>
        <m:r>
          <m:rPr>
            <m:sty m:val="p"/>
          </m:rPr>
          <m:t>≥</m:t>
        </m:r>
        <m:r>
          <m:rPr>
            <m:sty m:val="p"/>
          </m:rPr>
          <m:t>min</m:t>
        </m:r>
        <m:d>
          <m:dPr>
            <m:begChr m:val="("/>
            <m:endChr m:val=")"/>
            <m:sepChr m:val=""/>
            <m:grow/>
          </m:dPr>
          <m:e>
            <m:sSub>
              <m:e>
                <m:r>
                  <m:t>o</m:t>
                </m:r>
              </m:e>
              <m:sub>
                <m:r>
                  <m:t>i</m:t>
                </m:r>
                <m:r>
                  <m:t>k</m:t>
                </m:r>
              </m:sub>
            </m:sSub>
            <m:r>
              <m:rPr>
                <m:sty m:val="p"/>
              </m:rPr>
              <m:t>,</m:t>
            </m:r>
            <m:sSub>
              <m:e>
                <m:r>
                  <m:t>o</m:t>
                </m:r>
              </m:e>
              <m:sub>
                <m:r>
                  <m:t>j</m:t>
                </m:r>
                <m:r>
                  <m:t>k</m:t>
                </m:r>
              </m:sub>
            </m:sSub>
          </m:e>
        </m:d>
      </m:oMath>
      <w:r>
        <w:t xml:space="preserve">     (2.3)</w:t>
      </w:r>
    </w:p>
    <w:p>
      <w:pPr>
        <w:pStyle w:val="BodyText"/>
      </w:pPr>
      <w:r>
        <w:t xml:space="preserve">for distinct relevant indices. Under these conditions,</w:t>
      </w:r>
    </w:p>
    <w:p>
      <w:pPr>
        <w:pStyle w:val="BodyText"/>
        <w:jc w:val="center"/>
      </w:pPr>
      <m:oMath>
        <m:r>
          <m:t>F</m:t>
        </m:r>
        <m:d>
          <m:dPr>
            <m:begChr m:val="("/>
            <m:endChr m:val=")"/>
            <m:sepChr m:val=""/>
            <m:grow/>
          </m:dPr>
          <m:e>
            <m:r>
              <m:t>A</m:t>
            </m:r>
            <m:r>
              <m:rPr>
                <m:sty m:val="p"/>
              </m:rPr>
              <m:t>∪</m:t>
            </m:r>
            <m:r>
              <m:rPr>
                <m:sty m:val="p"/>
              </m:rPr>
              <m:t>{</m:t>
            </m:r>
            <m:r>
              <m:t>j</m:t>
            </m:r>
            <m:r>
              <m:rPr>
                <m:sty m:val="p"/>
              </m:rPr>
              <m:t>}</m:t>
            </m:r>
          </m:e>
        </m:d>
        <m:r>
          <m:rPr>
            <m:sty m:val="p"/>
          </m:rPr>
          <m:t>−</m:t>
        </m:r>
        <m:r>
          <m:t>F</m:t>
        </m:r>
        <m:d>
          <m:dPr>
            <m:begChr m:val="("/>
            <m:endChr m:val=")"/>
            <m:sepChr m:val=""/>
            <m:grow/>
          </m:dPr>
          <m:e>
            <m:r>
              <m:t>A</m:t>
            </m:r>
          </m:e>
        </m:d>
        <m:r>
          <m:rPr>
            <m:sty m:val="p"/>
          </m:rPr>
          <m:t>=</m:t>
        </m:r>
        <m:sSub>
          <m:e>
            <m:r>
              <m:t>c</m:t>
            </m:r>
          </m:e>
          <m:sub>
            <m:r>
              <m:t>j</m:t>
            </m:r>
          </m:sub>
        </m:sSub>
        <m:r>
          <m:rPr>
            <m:sty m:val="p"/>
          </m:rPr>
          <m:t>−</m:t>
        </m:r>
        <m:limLow>
          <m:e>
            <m:r>
              <m:rPr>
                <m:sty m:val="p"/>
              </m:rPr>
              <m:t>max</m:t>
            </m:r>
          </m:e>
          <m:lim>
            <m:r>
              <m:t>i</m:t>
            </m:r>
            <m:r>
              <m:rPr>
                <m:sty m:val="p"/>
              </m:rPr>
              <m:t>∈</m:t>
            </m:r>
            <m:r>
              <m:t>A</m:t>
            </m:r>
          </m:lim>
        </m:limLow>
        <m:sSub>
          <m:e>
            <m:r>
              <m:t>o</m:t>
            </m:r>
          </m:e>
          <m:sub>
            <m:r>
              <m:t>i</m:t>
            </m:r>
            <m:r>
              <m:t>j</m:t>
            </m:r>
          </m:sub>
        </m:sSub>
        <m:r>
          <m:rPr>
            <m:sty m:val="p"/>
          </m:rPr>
          <m:t>,</m:t>
        </m:r>
        <m:r>
          <m:t> </m:t>
        </m:r>
        <m:r>
          <m:t> </m:t>
        </m:r>
        <m:r>
          <m:t>j</m:t>
        </m:r>
        <m:r>
          <m:rPr>
            <m:sty m:val="p"/>
          </m:rPr>
          <m:t>∉</m:t>
        </m:r>
        <m:r>
          <m:t>A</m:t>
        </m:r>
        <m:r>
          <m:rPr>
            <m:sty m:val="p"/>
          </m:rPr>
          <m:t>,</m:t>
        </m:r>
      </m:oMath>
      <w:r>
        <w:t xml:space="preserve">     (2.4)</w:t>
      </w:r>
    </w:p>
    <w:p>
      <w:pPr>
        <w:pStyle w:val="BodyText"/>
      </w:pPr>
      <w:r>
        <w:t xml:space="preserve">where the maximum over the empty set is zero.</w:t>
      </w:r>
    </w:p>
    <w:p>
      <w:pPr>
        <w:pStyle w:val="BodyText"/>
      </w:pPr>
      <w:r>
        <w:rPr>
          <w:iCs/>
          <w:i/>
        </w:rPr>
        <w:t xml:space="preserve">Proof.</w:t>
      </w:r>
      <w:r>
        <w:t xml:space="preserve"> </w:t>
      </w:r>
      <w:r>
        <w:t xml:space="preserve">In a rooted tree, intersections of root paths are common prefixes. Their lengths give the bounds in (2.3). If the paths to</w:t>
      </w:r>
      <w:r>
        <w:t xml:space="preserve"> </w:t>
      </w:r>
      <m:oMath>
        <m:r>
          <m:t>i</m:t>
        </m:r>
      </m:oMath>
      <w:r>
        <w:t xml:space="preserve"> </w:t>
      </w:r>
      <w:r>
        <w:t xml:space="preserve">and</w:t>
      </w:r>
      <w:r>
        <w:t xml:space="preserve"> </w:t>
      </w:r>
      <m:oMath>
        <m:r>
          <m:t>k</m:t>
        </m:r>
      </m:oMath>
      <w:r>
        <w:t xml:space="preserve"> </w:t>
      </w:r>
      <w:r>
        <w:t xml:space="preserve">agree to depth</w:t>
      </w:r>
      <w:r>
        <w:t xml:space="preserve"> </w:t>
      </w:r>
      <m:oMath>
        <m:r>
          <m:t>u</m:t>
        </m:r>
      </m:oMath>
      <w:r>
        <w:t xml:space="preserve">, and those to</w:t>
      </w:r>
      <w:r>
        <w:t xml:space="preserve"> </w:t>
      </w:r>
      <m:oMath>
        <m:r>
          <m:t>j</m:t>
        </m:r>
      </m:oMath>
      <w:r>
        <w:t xml:space="preserve"> </w:t>
      </w:r>
      <w:r>
        <w:t xml:space="preserve">and</w:t>
      </w:r>
      <w:r>
        <w:t xml:space="preserve"> </w:t>
      </w:r>
      <m:oMath>
        <m:r>
          <m:t>k</m:t>
        </m:r>
      </m:oMath>
      <w:r>
        <w:t xml:space="preserve"> </w:t>
      </w:r>
      <w:r>
        <w:t xml:space="preserve">agree to depth</w:t>
      </w:r>
      <w:r>
        <w:t xml:space="preserve"> </w:t>
      </w:r>
      <m:oMath>
        <m:r>
          <m:t>v</m:t>
        </m:r>
      </m:oMath>
      <w:r>
        <w:t xml:space="preserve">, the paths to</w:t>
      </w:r>
      <w:r>
        <w:t xml:space="preserve"> </w:t>
      </w:r>
      <m:oMath>
        <m:r>
          <m:t>i</m:t>
        </m:r>
      </m:oMath>
      <w:r>
        <w:t xml:space="preserve"> </w:t>
      </w:r>
      <w:r>
        <w:t xml:space="preserve">and</w:t>
      </w:r>
      <w:r>
        <w:t xml:space="preserve"> </w:t>
      </w:r>
      <m:oMath>
        <m:r>
          <m:t>j</m:t>
        </m:r>
      </m:oMath>
      <w:r>
        <w:t xml:space="preserve"> </w:t>
      </w:r>
      <w:r>
        <w:t xml:space="preserve">agree to depth at least</w:t>
      </w:r>
      <w:r>
        <w:t xml:space="preserve"> </w:t>
      </w:r>
      <m:oMath>
        <m:r>
          <m:rPr>
            <m:sty m:val="p"/>
          </m:rPr>
          <m:t>min</m:t>
        </m:r>
        <m:d>
          <m:dPr>
            <m:begChr m:val="("/>
            <m:endChr m:val=")"/>
            <m:sepChr m:val=""/>
            <m:grow/>
          </m:dPr>
          <m:e>
            <m:r>
              <m:t>u</m:t>
            </m:r>
            <m:r>
              <m:rPr>
                <m:sty m:val="p"/>
              </m:rPr>
              <m:t>,</m:t>
            </m:r>
            <m:r>
              <m:t>v</m:t>
            </m:r>
          </m:e>
        </m:d>
      </m:oMath>
      <w:r>
        <w:t xml:space="preserve">. This proves the last inequality.</w:t>
      </w:r>
    </w:p>
    <w:p>
      <w:pPr>
        <w:pStyle w:val="BodyText"/>
      </w:pPr>
      <w:r>
        <w:t xml:space="preserve">Conversely, at height</w:t>
      </w:r>
      <w:r>
        <w:t xml:space="preserve"> </w:t>
      </w:r>
      <m:oMath>
        <m:r>
          <m:t>t</m:t>
        </m:r>
        <m:r>
          <m:rPr>
            <m:sty m:val="p"/>
          </m:rPr>
          <m:t>≥</m:t>
        </m:r>
        <m:r>
          <m:t>0</m:t>
        </m:r>
      </m:oMath>
      <w:r>
        <w:t xml:space="preserve">, group distinct labels satisfying</w:t>
      </w:r>
      <w:r>
        <w:t xml:space="preserve"> </w:t>
      </w:r>
      <m:oMath>
        <m:sSub>
          <m:e>
            <m:r>
              <m:t>o</m:t>
            </m:r>
          </m:e>
          <m:sub>
            <m:r>
              <m:t>i</m:t>
            </m:r>
            <m:r>
              <m:t>j</m:t>
            </m:r>
          </m:sub>
        </m:sSub>
        <m:r>
          <m:rPr>
            <m:sty m:val="p"/>
          </m:rPr>
          <m:t>≥</m:t>
        </m:r>
        <m:r>
          <m:t>t</m:t>
        </m:r>
      </m:oMath>
      <w:r>
        <w:t xml:space="preserve">, retaining each label as equivalent to itself. The last inequality in (2.3) makes these groups equivalence classes. As</w:t>
      </w:r>
      <w:r>
        <w:t xml:space="preserve"> </w:t>
      </w:r>
      <m:oMath>
        <m:r>
          <m:t>t</m:t>
        </m:r>
      </m:oMath>
      <w:r>
        <w:t xml:space="preserve"> </w:t>
      </w:r>
      <w:r>
        <w:t xml:space="preserve">increases, the classes refine and form a hierarchy.</w:t>
      </w:r>
    </w:p>
    <w:p>
      <w:pPr>
        <w:pStyle w:val="BodyText"/>
      </w:pPr>
      <w:r>
        <w:t xml:space="preserve">Realize this hierarchy as a rooted tree whose branching depths are the distinct overlap values, with root depth zero. Place label</w:t>
      </w:r>
      <w:r>
        <w:t xml:space="preserve"> </w:t>
      </w:r>
      <m:oMath>
        <m:r>
          <m:t>i</m:t>
        </m:r>
      </m:oMath>
      <w:r>
        <w:t xml:space="preserve"> </w:t>
      </w:r>
      <w:r>
        <w:t xml:space="preserve">at depth</w:t>
      </w:r>
      <w:r>
        <w:t xml:space="preserve"> </w:t>
      </w:r>
      <m:oMath>
        <m:sSub>
          <m:e>
            <m:r>
              <m:t>c</m:t>
            </m:r>
          </m:e>
          <m:sub>
            <m:r>
              <m:t>i</m:t>
            </m:r>
          </m:sub>
        </m:sSub>
      </m:oMath>
      <w:r>
        <w:t xml:space="preserve">. Every nontrivial class containing</w:t>
      </w:r>
      <w:r>
        <w:t xml:space="preserve"> </w:t>
      </w:r>
      <m:oMath>
        <m:r>
          <m:t>i</m:t>
        </m:r>
      </m:oMath>
      <w:r>
        <w:t xml:space="preserve"> </w:t>
      </w:r>
      <w:r>
        <w:t xml:space="preserve">occurs at depth at most</w:t>
      </w:r>
      <w:r>
        <w:t xml:space="preserve"> </w:t>
      </w:r>
      <m:oMath>
        <m:sSub>
          <m:e>
            <m:r>
              <m:t>c</m:t>
            </m:r>
          </m:e>
          <m:sub>
            <m:r>
              <m:t>i</m:t>
            </m:r>
          </m:sub>
        </m:sSub>
      </m:oMath>
      <w:r>
        <w:t xml:space="preserve">, so all edge lengths are nonnegative. Zero-length edges accommodate tied depths. The resulting common-prefix depths are exactly</w:t>
      </w:r>
      <w:r>
        <w:t xml:space="preserve"> </w:t>
      </w:r>
      <m:oMath>
        <m:sSub>
          <m:e>
            <m:r>
              <m:t>o</m:t>
            </m:r>
          </m:e>
          <m:sub>
            <m:r>
              <m:t>i</m:t>
            </m:r>
            <m:r>
              <m:t>j</m:t>
            </m:r>
          </m:sub>
        </m:sSub>
      </m:oMath>
      <w:r>
        <w:t xml:space="preserve">, giving the prescribed individual and pair costs.</w:t>
      </w:r>
    </w:p>
    <w:p>
      <w:pPr>
        <w:pStyle w:val="BodyText"/>
      </w:pPr>
      <w:r>
        <w:t xml:space="preserve">Finally, the intersection of</w:t>
      </w:r>
      <w:r>
        <w:t xml:space="preserve"> </w:t>
      </w:r>
      <m:oMath>
        <m:sSub>
          <m:e>
            <m:r>
              <m:t>P</m:t>
            </m:r>
          </m:e>
          <m:sub>
            <m:r>
              <m:t>j</m:t>
            </m:r>
          </m:sub>
        </m:sSub>
      </m:oMath>
      <w:r>
        <w:t xml:space="preserve"> </w:t>
      </w:r>
      <w:r>
        <w:t xml:space="preserve">with the union of previously activated paths is its longest common prefix with those paths. Subtracting this already-paid length from</w:t>
      </w:r>
      <w:r>
        <w:t xml:space="preserve"> </w:t>
      </w:r>
      <m:oMath>
        <m:sSub>
          <m:e>
            <m:r>
              <m:t>c</m:t>
            </m:r>
          </m:e>
          <m:sub>
            <m:r>
              <m:t>j</m:t>
            </m:r>
          </m:sub>
        </m:sSub>
      </m:oMath>
      <w:r>
        <w:t xml:space="preserve"> </w:t>
      </w:r>
      <w:r>
        <w:t xml:space="preserve">proves (2.4).</w:t>
      </w:r>
      <w:r>
        <w:t xml:space="preserve"> </w:t>
      </w:r>
      <m:oMath>
        <m:r>
          <m:rPr>
            <m:sty m:val="p"/>
          </m:rPr>
          <m:t>▫</m:t>
        </m:r>
      </m:oMath>
    </w:p>
    <w:p>
      <w:pPr>
        <w:pStyle w:val="BodyText"/>
      </w:pPr>
      <w:r>
        <w:t xml:space="preserve">This construction uses the established correspondence between hierarchical similarities and rooted trees [4,20]. It identifies the set-cost function. A physical subdivision of edges, or a separate decomposition into service and communication expenses, need not be identifiable.</w:t>
      </w:r>
    </w:p>
    <w:bookmarkEnd w:id="24"/>
    <w:bookmarkStart w:id="25" w:name="reconstruction-from-pairs"/>
    <w:p>
      <w:pPr>
        <w:pStyle w:val="Heading2"/>
      </w:pPr>
      <w:r>
        <w:t xml:space="preserve">2.3. Reconstruction from pairs</w:t>
      </w:r>
    </w:p>
    <w:p>
      <w:pPr>
        <w:pStyle w:val="FirstParagraph"/>
        <w:keepNext/>
        <w:spacing w:before="180"/>
      </w:pPr>
      <w:r>
        <w:rPr>
          <w:bCs/>
          <w:b/>
        </w:rPr>
        <w:t xml:space="preserve">Proposition 2.2 — Spanning-tree reconstruction.</w:t>
      </w:r>
      <w:r>
        <w:t xml:space="preserve"> </w:t>
      </w:r>
      <w:r>
        <w:t xml:space="preserve">For every</w:t>
      </w:r>
      <w:r>
        <w:t xml:space="preserve"> </w:t>
      </w:r>
      <m:oMath>
        <m:r>
          <m:t>S</m:t>
        </m:r>
        <m:r>
          <m:rPr>
            <m:sty m:val="p"/>
          </m:rPr>
          <m:t>⊆</m:t>
        </m:r>
        <m:r>
          <m:t>N</m:t>
        </m:r>
      </m:oMath>
      <w:r>
        <w:t xml:space="preserve"> </w:t>
      </w:r>
      <w:r>
        <w:t xml:space="preserve">with</w:t>
      </w:r>
      <w:r>
        <w:t xml:space="preserve"> </w:t>
      </w:r>
      <m:oMath>
        <m:r>
          <m:t>m</m:t>
        </m:r>
        <m:r>
          <m:rPr>
            <m:sty m:val="p"/>
          </m:rPr>
          <m:t>=</m:t>
        </m:r>
        <m:d>
          <m:dPr>
            <m:begChr m:val="|"/>
            <m:endChr m:val="|"/>
            <m:sepChr m:val=""/>
            <m:grow/>
          </m:dPr>
          <m:e>
            <m:r>
              <m:t>S</m:t>
            </m:r>
          </m:e>
        </m:d>
        <m:r>
          <m:rPr>
            <m:sty m:val="p"/>
          </m:rPr>
          <m:t>≥</m:t>
        </m:r>
        <m:r>
          <m:t>2</m:t>
        </m:r>
      </m:oMath>
      <w:r>
        <w:t xml:space="preserve">,</w:t>
      </w:r>
    </w:p>
    <w:p>
      <w:pPr>
        <w:pStyle w:val="BodyText"/>
        <w:jc w:val="center"/>
      </w:pPr>
      <m:oMath>
        <m:r>
          <m:t>F</m:t>
        </m:r>
        <m:d>
          <m:dPr>
            <m:begChr m:val="("/>
            <m:endChr m:val=")"/>
            <m:sepChr m:val=""/>
            <m:grow/>
          </m:dPr>
          <m:e>
            <m:r>
              <m:t>S</m:t>
            </m:r>
          </m:e>
        </m:d>
        <m:r>
          <m:rPr>
            <m:sty m:val="p"/>
          </m:rPr>
          <m:t>=</m:t>
        </m:r>
        <m:nary>
          <m:naryPr>
            <m:chr m:val="∑"/>
            <m:limLoc m:val="undOvr"/>
            <m:subHide m:val="off"/>
            <m:supHide m:val="on"/>
          </m:naryPr>
          <m:sub>
            <m:r>
              <m:t>i</m:t>
            </m:r>
            <m:r>
              <m:rPr>
                <m:sty m:val="p"/>
              </m:rPr>
              <m:t>∈</m:t>
            </m:r>
            <m:r>
              <m:t>S</m:t>
            </m:r>
          </m:sub>
          <m:sup>
            <m:r>
              <m:t>​</m:t>
            </m:r>
          </m:sup>
          <m:e>
            <m:sSub>
              <m:e>
                <m:r>
                  <m:t>c</m:t>
                </m:r>
              </m:e>
              <m:sub>
                <m:r>
                  <m:t>i</m:t>
                </m:r>
              </m:sub>
            </m:sSub>
          </m:e>
        </m:nary>
        <m:r>
          <m:rPr>
            <m:sty m:val="p"/>
          </m:rPr>
          <m:t>−</m:t>
        </m:r>
        <m:limLow>
          <m:e>
            <m:r>
              <m:rPr>
                <m:sty m:val="p"/>
              </m:rPr>
              <m:t>max</m:t>
            </m:r>
          </m:e>
          <m:lim>
            <m:r>
              <m:t>M</m:t>
            </m:r>
            <m:r>
              <m:rPr>
                <m:sty m:val="p"/>
              </m:rPr>
              <m:t>∈</m:t>
            </m:r>
            <m:r>
              <m:rPr>
                <m:sty m:val="p"/>
                <m:scr m:val="script"/>
              </m:rPr>
              <m:t>T</m:t>
            </m:r>
            <m:d>
              <m:dPr>
                <m:begChr m:val="("/>
                <m:endChr m:val=")"/>
                <m:sepChr m:val=""/>
                <m:grow/>
              </m:dPr>
              <m:e>
                <m:r>
                  <m:t>S</m:t>
                </m:r>
              </m:e>
            </m:d>
          </m:lim>
        </m:limLow>
        <m:nary>
          <m:naryPr>
            <m:chr m:val="∑"/>
            <m:limLoc m:val="undOvr"/>
            <m:subHide m:val="off"/>
            <m:supHide m:val="on"/>
          </m:naryPr>
          <m:sub>
            <m:r>
              <m:rPr>
                <m:sty m:val="p"/>
              </m:rPr>
              <m:t>{</m:t>
            </m:r>
            <m:r>
              <m:t>i</m:t>
            </m:r>
            <m:r>
              <m:rPr>
                <m:sty m:val="p"/>
              </m:rPr>
              <m:t>,</m:t>
            </m:r>
            <m:r>
              <m:t>j</m:t>
            </m:r>
            <m:r>
              <m:rPr>
                <m:sty m:val="p"/>
              </m:rPr>
              <m:t>}</m:t>
            </m:r>
            <m:r>
              <m:rPr>
                <m:sty m:val="p"/>
              </m:rPr>
              <m:t>∈</m:t>
            </m:r>
            <m:r>
              <m:t>E</m:t>
            </m:r>
            <m:d>
              <m:dPr>
                <m:begChr m:val="("/>
                <m:endChr m:val=")"/>
                <m:sepChr m:val=""/>
                <m:grow/>
              </m:dPr>
              <m:e>
                <m:r>
                  <m:t>M</m:t>
                </m:r>
              </m:e>
            </m:d>
          </m:sub>
          <m:sup>
            <m:r>
              <m:t>​</m:t>
            </m:r>
          </m:sup>
          <m:e>
            <m:sSub>
              <m:e>
                <m:r>
                  <m:t>o</m:t>
                </m:r>
              </m:e>
              <m:sub>
                <m:r>
                  <m:t>i</m:t>
                </m:r>
                <m:r>
                  <m:t>j</m:t>
                </m:r>
              </m:sub>
            </m:sSub>
          </m:e>
        </m:nary>
        <m:r>
          <m:rPr>
            <m:sty m:val="p"/>
          </m:rPr>
          <m:t>.</m:t>
        </m:r>
      </m:oMath>
      <w:r>
        <w:t xml:space="preserve">     (2.5)</w:t>
      </w:r>
    </w:p>
    <w:p>
      <w:pPr>
        <w:pStyle w:val="BodyText"/>
      </w:pPr>
      <w:r>
        <w:t xml:space="preserve">Equivalently,</w:t>
      </w:r>
    </w:p>
    <w:p>
      <w:pPr>
        <w:pStyle w:val="BodyText"/>
        <w:jc w:val="center"/>
      </w:pPr>
      <m:oMath>
        <m:r>
          <m:t>F</m:t>
        </m:r>
        <m:d>
          <m:dPr>
            <m:begChr m:val="("/>
            <m:endChr m:val=")"/>
            <m:sepChr m:val=""/>
            <m:grow/>
          </m:dPr>
          <m:e>
            <m:r>
              <m:t>S</m:t>
            </m:r>
          </m:e>
        </m:d>
        <m:r>
          <m:rPr>
            <m:sty m:val="p"/>
          </m:rPr>
          <m:t>=</m:t>
        </m:r>
        <m:limLow>
          <m:e>
            <m:r>
              <m:rPr>
                <m:sty m:val="p"/>
              </m:rPr>
              <m:t>min</m:t>
            </m:r>
          </m:e>
          <m:lim>
            <m:r>
              <m:t>M</m:t>
            </m:r>
            <m:r>
              <m:rPr>
                <m:sty m:val="p"/>
              </m:rPr>
              <m:t>∈</m:t>
            </m:r>
            <m:r>
              <m:rPr>
                <m:sty m:val="p"/>
                <m:scr m:val="script"/>
              </m:rPr>
              <m:t>T</m:t>
            </m:r>
            <m:d>
              <m:dPr>
                <m:begChr m:val="("/>
                <m:endChr m:val=")"/>
                <m:sepChr m:val=""/>
                <m:grow/>
              </m:dPr>
              <m:e>
                <m:r>
                  <m:t>S</m:t>
                </m:r>
              </m:e>
            </m:d>
          </m:lim>
        </m:limLow>
        <m:r>
          <m:rPr>
            <m:sty m:val="p"/>
          </m:rPr>
          <m:t>[</m:t>
        </m:r>
        <m:nary>
          <m:naryPr>
            <m:chr m:val="∑"/>
            <m:limLoc m:val="undOvr"/>
            <m:subHide m:val="off"/>
            <m:supHide m:val="on"/>
          </m:naryPr>
          <m:sub>
            <m:r>
              <m:rPr>
                <m:sty m:val="p"/>
              </m:rPr>
              <m:t>{</m:t>
            </m:r>
            <m:r>
              <m:t>i</m:t>
            </m:r>
            <m:r>
              <m:rPr>
                <m:sty m:val="p"/>
              </m:rPr>
              <m:t>,</m:t>
            </m:r>
            <m:r>
              <m:t>j</m:t>
            </m:r>
            <m:r>
              <m:rPr>
                <m:sty m:val="p"/>
              </m:rPr>
              <m:t>}</m:t>
            </m:r>
            <m:r>
              <m:rPr>
                <m:sty m:val="p"/>
              </m:rPr>
              <m:t>∈</m:t>
            </m:r>
            <m:r>
              <m:t>E</m:t>
            </m:r>
            <m:d>
              <m:dPr>
                <m:begChr m:val="("/>
                <m:endChr m:val=")"/>
                <m:sepChr m:val=""/>
                <m:grow/>
              </m:dPr>
              <m:e>
                <m:r>
                  <m:t>M</m:t>
                </m:r>
              </m:e>
            </m:d>
          </m:sub>
          <m:sup>
            <m:r>
              <m:t>​</m:t>
            </m:r>
          </m:sup>
          <m:e>
            <m:sSub>
              <m:e>
                <m:r>
                  <m:t>c</m:t>
                </m:r>
              </m:e>
              <m:sub>
                <m:r>
                  <m:t>i</m:t>
                </m:r>
                <m:r>
                  <m:t>j</m:t>
                </m:r>
              </m:sub>
            </m:sSub>
          </m:e>
        </m:nary>
        <m:r>
          <m:rPr>
            <m:sty m:val="p"/>
          </m:rPr>
          <m:t>−</m:t>
        </m:r>
        <m:nary>
          <m:naryPr>
            <m:chr m:val="∑"/>
            <m:limLoc m:val="undOvr"/>
            <m:subHide m:val="off"/>
            <m:supHide m:val="on"/>
          </m:naryPr>
          <m:sub>
            <m:r>
              <m:t>i</m:t>
            </m:r>
            <m:r>
              <m:rPr>
                <m:sty m:val="p"/>
              </m:rPr>
              <m:t>∈</m:t>
            </m:r>
            <m:r>
              <m:t>S</m:t>
            </m:r>
          </m:sub>
          <m:sup>
            <m:r>
              <m:t>​</m:t>
            </m:r>
          </m:sup>
          <m:e>
            <m:d>
              <m:dPr>
                <m:begChr m:val="("/>
                <m:endChr m:val=")"/>
                <m:sepChr m:val=""/>
                <m:grow/>
              </m:dPr>
              <m:e>
                <m:sSub>
                  <m:e>
                    <m:r>
                      <m:rPr>
                        <m:sty m:val="p"/>
                      </m:rPr>
                      <m:t>deg</m:t>
                    </m:r>
                  </m:e>
                  <m:sub>
                    <m:r>
                      <m:t>M</m:t>
                    </m:r>
                  </m:sub>
                </m:sSub>
                <m:d>
                  <m:dPr>
                    <m:begChr m:val="("/>
                    <m:endChr m:val=")"/>
                    <m:sepChr m:val=""/>
                    <m:grow/>
                  </m:dPr>
                  <m:e>
                    <m:r>
                      <m:t>i</m:t>
                    </m:r>
                  </m:e>
                </m:d>
                <m:r>
                  <m:rPr>
                    <m:sty m:val="p"/>
                  </m:rPr>
                  <m:t>−</m:t>
                </m:r>
                <m:r>
                  <m:t>1</m:t>
                </m:r>
              </m:e>
            </m:d>
          </m:e>
        </m:nary>
        <m:sSub>
          <m:e>
            <m:r>
              <m:t>c</m:t>
            </m:r>
          </m:e>
          <m:sub>
            <m:r>
              <m:t>i</m:t>
            </m:r>
          </m:sub>
        </m:sSub>
        <m:r>
          <m:rPr>
            <m:sty m:val="p"/>
          </m:rPr>
          <m:t>]</m:t>
        </m:r>
        <m:r>
          <m:rPr>
            <m:sty m:val="p"/>
          </m:rPr>
          <m:t>.</m:t>
        </m:r>
      </m:oMath>
      <w:r>
        <w:t xml:space="preserve">     (2.6)</w:t>
      </w:r>
    </w:p>
    <w:p>
      <w:pPr>
        <w:pStyle w:val="BodyText"/>
      </w:pPr>
      <w:r>
        <w:rPr>
          <w:iCs/>
          <w:i/>
        </w:rPr>
        <w:t xml:space="preserve">Proof.</w:t>
      </w:r>
      <w:r>
        <w:t xml:space="preserve"> </w:t>
      </w:r>
      <w:r>
        <w:t xml:space="preserve">Let</w:t>
      </w:r>
      <w:r>
        <w:t xml:space="preserve"> </w:t>
      </w:r>
      <m:oMath>
        <m:r>
          <m:t>W</m:t>
        </m:r>
        <m:d>
          <m:dPr>
            <m:begChr m:val="("/>
            <m:endChr m:val=")"/>
            <m:sepChr m:val=""/>
            <m:grow/>
          </m:dPr>
          <m:e>
            <m:r>
              <m:t>S</m:t>
            </m:r>
          </m:e>
        </m:d>
      </m:oMath>
      <w:r>
        <w:t xml:space="preserve"> </w:t>
      </w:r>
      <w:r>
        <w:t xml:space="preserve">be the maximum spanning-tree weight in (2.5). Choose a pair</w:t>
      </w:r>
      <w:r>
        <w:t xml:space="preserve"> </w:t>
      </w:r>
      <m:oMath>
        <m:r>
          <m:t>i</m:t>
        </m:r>
        <m:r>
          <m:rPr>
            <m:sty m:val="p"/>
          </m:rPr>
          <m:t>,</m:t>
        </m:r>
        <m:r>
          <m:t>j</m:t>
        </m:r>
      </m:oMath>
      <w:r>
        <w:t xml:space="preserve"> </w:t>
      </w:r>
      <w:r>
        <w:t xml:space="preserve">of maximum overlap</w:t>
      </w:r>
      <w:r>
        <w:t xml:space="preserve"> </w:t>
      </w:r>
      <m:oMath>
        <m:r>
          <m:t>h</m:t>
        </m:r>
      </m:oMath>
      <w:r>
        <w:t xml:space="preserve"> </w:t>
      </w:r>
      <w:r>
        <w:t xml:space="preserve">in</w:t>
      </w:r>
      <w:r>
        <w:t xml:space="preserve"> </w:t>
      </w:r>
      <m:oMath>
        <m:r>
          <m:t>S</m:t>
        </m:r>
      </m:oMath>
      <w:r>
        <w:t xml:space="preserve">. Equation (2.4) gives</w:t>
      </w:r>
    </w:p>
    <w:p>
      <w:pPr>
        <w:pStyle w:val="BodyText"/>
      </w:pPr>
      <m:oMathPara>
        <m:oMathParaPr>
          <m:jc m:val="center"/>
        </m:oMathParaPr>
        <m:oMath>
          <m:r>
            <m:t>F</m:t>
          </m:r>
          <m:d>
            <m:dPr>
              <m:begChr m:val="("/>
              <m:endChr m:val=")"/>
              <m:sepChr m:val=""/>
              <m:grow/>
            </m:dPr>
            <m:e>
              <m:r>
                <m:t>S</m:t>
              </m:r>
            </m:e>
          </m:d>
          <m:r>
            <m:rPr>
              <m:sty m:val="p"/>
            </m:rPr>
            <m:t>=</m:t>
          </m:r>
          <m:r>
            <m:t>F</m:t>
          </m:r>
          <m:d>
            <m:dPr>
              <m:begChr m:val="("/>
              <m:endChr m:val=")"/>
              <m:sepChr m:val=""/>
              <m:grow/>
            </m:dPr>
            <m:e>
              <m:r>
                <m:t>S</m:t>
              </m:r>
              <m:r>
                <m:rPr>
                  <m:sty m:val="p"/>
                </m:rPr>
                <m:t>∖</m:t>
              </m:r>
              <m:r>
                <m:rPr>
                  <m:sty m:val="p"/>
                </m:rPr>
                <m:t>{</m:t>
              </m:r>
              <m:r>
                <m:t>j</m:t>
              </m:r>
              <m:r>
                <m:rPr>
                  <m:sty m:val="p"/>
                </m:rPr>
                <m:t>}</m:t>
              </m:r>
            </m:e>
          </m:d>
          <m:r>
            <m:rPr>
              <m:sty m:val="p"/>
            </m:rPr>
            <m:t>+</m:t>
          </m:r>
          <m:sSub>
            <m:e>
              <m:r>
                <m:t>c</m:t>
              </m:r>
            </m:e>
            <m:sub>
              <m:r>
                <m:t>j</m:t>
              </m:r>
            </m:sub>
          </m:sSub>
          <m:r>
            <m:rPr>
              <m:sty m:val="p"/>
            </m:rPr>
            <m:t>−</m:t>
          </m:r>
          <m:r>
            <m:t>h</m:t>
          </m:r>
          <m:r>
            <m:rPr>
              <m:sty m:val="p"/>
            </m:rPr>
            <m:t>.</m:t>
          </m:r>
        </m:oMath>
      </m:oMathPara>
    </w:p>
    <w:p>
      <w:pPr>
        <w:pStyle w:val="FirstParagraph"/>
      </w:pPr>
      <w:r>
        <w:t xml:space="preserve">There is a maximum-weight spanning tree containing edge</w:t>
      </w:r>
      <w:r>
        <w:t xml:space="preserve"> </w:t>
      </w:r>
      <m:oMath>
        <m:r>
          <m:t>i</m:t>
        </m:r>
        <m:r>
          <m:t>j</m:t>
        </m:r>
      </m:oMath>
      <w:r>
        <w:t xml:space="preserve">: adding this globally maximum-weight edge to a maximum tree and removing an edge from the resulting cycle cannot decrease its weight.</w:t>
      </w:r>
    </w:p>
    <w:p>
      <w:pPr>
        <w:pStyle w:val="BodyText"/>
      </w:pPr>
      <w:r>
        <w:t xml:space="preserve">Moreover, (2.3) implies</w:t>
      </w:r>
      <w:r>
        <w:t xml:space="preserve"> </w:t>
      </w:r>
      <m:oMath>
        <m:sSub>
          <m:e>
            <m:r>
              <m:t>o</m:t>
            </m:r>
          </m:e>
          <m:sub>
            <m:r>
              <m:t>i</m:t>
            </m:r>
            <m:r>
              <m:t>k</m:t>
            </m:r>
          </m:sub>
        </m:sSub>
        <m:r>
          <m:rPr>
            <m:sty m:val="p"/>
          </m:rPr>
          <m:t>≥</m:t>
        </m:r>
        <m:sSub>
          <m:e>
            <m:r>
              <m:t>o</m:t>
            </m:r>
          </m:e>
          <m:sub>
            <m:r>
              <m:t>j</m:t>
            </m:r>
            <m:r>
              <m:t>k</m:t>
            </m:r>
          </m:sub>
        </m:sSub>
      </m:oMath>
      <w:r>
        <w:t xml:space="preserve"> </w:t>
      </w:r>
      <w:r>
        <w:t xml:space="preserve">for every</w:t>
      </w:r>
      <w:r>
        <w:t xml:space="preserve"> </w:t>
      </w:r>
      <m:oMath>
        <m:r>
          <m:t>k</m:t>
        </m:r>
        <m:r>
          <m:rPr>
            <m:sty m:val="p"/>
          </m:rPr>
          <m:t>∉</m:t>
        </m:r>
        <m:r>
          <m:rPr>
            <m:sty m:val="p"/>
          </m:rPr>
          <m:t>{</m:t>
        </m:r>
        <m:r>
          <m:t>i</m:t>
        </m:r>
        <m:r>
          <m:rPr>
            <m:sty m:val="p"/>
          </m:rPr>
          <m:t>,</m:t>
        </m:r>
        <m:r>
          <m:t>j</m:t>
        </m:r>
        <m:r>
          <m:rPr>
            <m:sty m:val="p"/>
          </m:rPr>
          <m:t>}</m:t>
        </m:r>
      </m:oMath>
      <w:r>
        <w:t xml:space="preserve">, since</w:t>
      </w:r>
      <w:r>
        <w:t xml:space="preserve"> </w:t>
      </w:r>
      <m:oMath>
        <m:r>
          <m:t>h</m:t>
        </m:r>
        <m:r>
          <m:rPr>
            <m:sty m:val="p"/>
          </m:rPr>
          <m:t>≥</m:t>
        </m:r>
        <m:sSub>
          <m:e>
            <m:r>
              <m:t>o</m:t>
            </m:r>
          </m:e>
          <m:sub>
            <m:r>
              <m:t>j</m:t>
            </m:r>
            <m:r>
              <m:t>k</m:t>
            </m:r>
          </m:sub>
        </m:sSub>
      </m:oMath>
      <w:r>
        <w:t xml:space="preserve">. In a maximum tree containing</w:t>
      </w:r>
      <w:r>
        <w:t xml:space="preserve"> </w:t>
      </w:r>
      <m:oMath>
        <m:r>
          <m:t>i</m:t>
        </m:r>
        <m:r>
          <m:t>j</m:t>
        </m:r>
      </m:oMath>
      <w:r>
        <w:t xml:space="preserve">, replace every other edge</w:t>
      </w:r>
      <w:r>
        <w:t xml:space="preserve"> </w:t>
      </w:r>
      <m:oMath>
        <m:r>
          <m:t>j</m:t>
        </m:r>
        <m:r>
          <m:t>k</m:t>
        </m:r>
      </m:oMath>
      <w:r>
        <w:t xml:space="preserve"> </w:t>
      </w:r>
      <w:r>
        <w:t xml:space="preserve">by</w:t>
      </w:r>
      <w:r>
        <w:t xml:space="preserve"> </w:t>
      </w:r>
      <m:oMath>
        <m:r>
          <m:t>i</m:t>
        </m:r>
        <m:r>
          <m:t>k</m:t>
        </m:r>
      </m:oMath>
      <w:r>
        <w:t xml:space="preserve">. The result remains a spanning tree, its weight does not decrease, and</w:t>
      </w:r>
      <w:r>
        <w:t xml:space="preserve"> </w:t>
      </w:r>
      <m:oMath>
        <m:r>
          <m:t>j</m:t>
        </m:r>
      </m:oMath>
      <w:r>
        <w:t xml:space="preserve"> </w:t>
      </w:r>
      <w:r>
        <w:t xml:space="preserve">becomes a leaf. Its restriction to</w:t>
      </w:r>
      <w:r>
        <w:t xml:space="preserve"> </w:t>
      </w:r>
      <m:oMath>
        <m:r>
          <m:t>S</m:t>
        </m:r>
        <m:r>
          <m:rPr>
            <m:sty m:val="p"/>
          </m:rPr>
          <m:t>∖</m:t>
        </m:r>
        <m:r>
          <m:rPr>
            <m:sty m:val="p"/>
          </m:rPr>
          <m:t>{</m:t>
        </m:r>
        <m:r>
          <m:t>j</m:t>
        </m:r>
        <m:r>
          <m:rPr>
            <m:sty m:val="p"/>
          </m:rPr>
          <m:t>}</m:t>
        </m:r>
      </m:oMath>
      <w:r>
        <w:t xml:space="preserve"> </w:t>
      </w:r>
      <w:r>
        <w:t xml:space="preserve">must also be maximum. Consequently,</w:t>
      </w:r>
    </w:p>
    <w:p>
      <w:pPr>
        <w:pStyle w:val="BodyText"/>
      </w:pPr>
      <m:oMathPara>
        <m:oMathParaPr>
          <m:jc m:val="center"/>
        </m:oMathParaPr>
        <m:oMath>
          <m:r>
            <m:t>W</m:t>
          </m:r>
          <m:d>
            <m:dPr>
              <m:begChr m:val="("/>
              <m:endChr m:val=")"/>
              <m:sepChr m:val=""/>
              <m:grow/>
            </m:dPr>
            <m:e>
              <m:r>
                <m:t>S</m:t>
              </m:r>
            </m:e>
          </m:d>
          <m:r>
            <m:rPr>
              <m:sty m:val="p"/>
            </m:rPr>
            <m:t>=</m:t>
          </m:r>
          <m:r>
            <m:t>W</m:t>
          </m:r>
          <m:d>
            <m:dPr>
              <m:begChr m:val="("/>
              <m:endChr m:val=")"/>
              <m:sepChr m:val=""/>
              <m:grow/>
            </m:dPr>
            <m:e>
              <m:r>
                <m:t>S</m:t>
              </m:r>
              <m:r>
                <m:rPr>
                  <m:sty m:val="p"/>
                </m:rPr>
                <m:t>∖</m:t>
              </m:r>
              <m:r>
                <m:rPr>
                  <m:sty m:val="p"/>
                </m:rPr>
                <m:t>{</m:t>
              </m:r>
              <m:r>
                <m:t>j</m:t>
              </m:r>
              <m:r>
                <m:rPr>
                  <m:sty m:val="p"/>
                </m:rPr>
                <m:t>}</m:t>
              </m:r>
            </m:e>
          </m:d>
          <m:r>
            <m:rPr>
              <m:sty m:val="p"/>
            </m:rPr>
            <m:t>+</m:t>
          </m:r>
          <m:r>
            <m:t>h</m:t>
          </m:r>
          <m:r>
            <m:rPr>
              <m:sty m:val="p"/>
            </m:rPr>
            <m:t>.</m:t>
          </m:r>
        </m:oMath>
      </m:oMathPara>
    </w:p>
    <w:p>
      <w:pPr>
        <w:pStyle w:val="FirstParagraph"/>
      </w:pPr>
      <w:r>
        <w:t xml:space="preserve">Induction, beginning with a singleton of spanning-tree weight zero, proves (2.5). Substituting (2.2) and collecting singleton coefficients proves (2.6).</w:t>
      </w:r>
      <w:r>
        <w:t xml:space="preserve"> </w:t>
      </w:r>
      <m:oMath>
        <m:r>
          <m:rPr>
            <m:sty m:val="p"/>
          </m:rPr>
          <m:t>▫</m:t>
        </m:r>
      </m:oMath>
    </w:p>
    <w:p>
      <w:pPr>
        <w:pStyle w:val="BodyText"/>
      </w:pPr>
      <w:r>
        <w:t xml:space="preserve">The expression has the same spanning-tree structure as Hunter’s union bound [10]; rooted-path structure makes it exact. A dense maximum-spanning-tree algorithm evaluates a specified</w:t>
      </w:r>
      <w:r>
        <w:t xml:space="preserve"> </w:t>
      </w:r>
      <m:oMath>
        <m:r>
          <m:t>m</m:t>
        </m:r>
      </m:oMath>
      <w:r>
        <w:t xml:space="preserve">-source cost in</w:t>
      </w:r>
      <w:r>
        <w:t xml:space="preserve"> </w:t>
      </w:r>
      <m:oMath>
        <m:r>
          <m:t>O</m:t>
        </m:r>
        <m:d>
          <m:dPr>
            <m:begChr m:val="("/>
            <m:endChr m:val=")"/>
            <m:sepChr m:val=""/>
            <m:grow/>
          </m:dPr>
          <m:e>
            <m:sSup>
              <m:e>
                <m:r>
                  <m:t>m</m:t>
                </m:r>
              </m:e>
              <m:sup>
                <m:r>
                  <m:t>2</m:t>
                </m:r>
              </m:sup>
            </m:sSup>
          </m:e>
        </m:d>
      </m:oMath>
      <w:r>
        <w:t xml:space="preserve"> </w:t>
      </w:r>
      <w:r>
        <w:t xml:space="preserve">arithmetic operations. All subset costs are represented by</w:t>
      </w:r>
      <w:r>
        <w:t xml:space="preserve"> </w:t>
      </w:r>
      <m:oMath>
        <m:r>
          <m:t>O</m:t>
        </m:r>
        <m:d>
          <m:dPr>
            <m:begChr m:val="("/>
            <m:endChr m:val=")"/>
            <m:sepChr m:val=""/>
            <m:grow/>
          </m:dPr>
          <m:e>
            <m:sSup>
              <m:e>
                <m:r>
                  <m:t>n</m:t>
                </m:r>
              </m:e>
              <m:sup>
                <m:r>
                  <m:t>2</m:t>
                </m:r>
              </m:sup>
            </m:sSup>
          </m:e>
        </m:d>
      </m:oMath>
      <w:r>
        <w:t xml:space="preserve"> </w:t>
      </w:r>
      <w:r>
        <w:t xml:space="preserve">measurements, although explicitly listing them requires exponential space.</w:t>
      </w:r>
    </w:p>
    <w:bookmarkEnd w:id="25"/>
    <w:bookmarkEnd w:id="26"/>
    <w:bookmarkStart w:id="30" w:name="minimax-recovery-under-measurement-error"/>
    <w:p>
      <w:pPr>
        <w:pStyle w:val="Heading1"/>
      </w:pPr>
      <w:r>
        <w:t xml:space="preserve">3. Minimax recovery under measurement error</w:t>
      </w:r>
    </w:p>
    <w:p>
      <w:pPr>
        <w:pStyle w:val="FirstParagraph"/>
      </w:pPr>
      <w:r>
        <w:t xml:space="preserve">Suppose measurements satisfy</w:t>
      </w:r>
    </w:p>
    <w:p>
      <w:pPr>
        <w:pStyle w:val="BodyText"/>
        <w:jc w:val="center"/>
      </w:pPr>
      <m:oMath>
        <m:d>
          <m:dPr>
            <m:begChr m:val="|"/>
            <m:endChr m:val="|"/>
            <m:sepChr m:val=""/>
            <m:grow/>
          </m:dPr>
          <m:e>
            <m:sSub>
              <m:e>
                <m:acc>
                  <m:accPr>
                    <m:chr m:val="̃"/>
                  </m:accPr>
                  <m:e>
                    <m:r>
                      <m:t>c</m:t>
                    </m:r>
                  </m:e>
                </m:acc>
              </m:e>
              <m:sub>
                <m:r>
                  <m:t>i</m:t>
                </m:r>
              </m:sub>
            </m:sSub>
            <m:r>
              <m:rPr>
                <m:sty m:val="p"/>
              </m:rPr>
              <m:t>−</m:t>
            </m:r>
            <m:sSub>
              <m:e>
                <m:r>
                  <m:t>c</m:t>
                </m:r>
              </m:e>
              <m:sub>
                <m:r>
                  <m:t>i</m:t>
                </m:r>
              </m:sub>
            </m:sSub>
          </m:e>
        </m:d>
        <m:r>
          <m:rPr>
            <m:sty m:val="p"/>
          </m:rPr>
          <m:t>≤</m:t>
        </m:r>
        <m:r>
          <m:t>ε</m:t>
        </m:r>
        <m:r>
          <m:rPr>
            <m:sty m:val="p"/>
          </m:rPr>
          <m:t>,</m:t>
        </m:r>
        <m:r>
          <m:t> </m:t>
        </m:r>
        <m:r>
          <m:t> </m:t>
        </m:r>
        <m:d>
          <m:dPr>
            <m:begChr m:val="|"/>
            <m:endChr m:val="|"/>
            <m:sepChr m:val=""/>
            <m:grow/>
          </m:dPr>
          <m:e>
            <m:sSub>
              <m:e>
                <m:acc>
                  <m:accPr>
                    <m:chr m:val="̃"/>
                  </m:accPr>
                  <m:e>
                    <m:r>
                      <m:t>c</m:t>
                    </m:r>
                  </m:e>
                </m:acc>
              </m:e>
              <m:sub>
                <m:r>
                  <m:t>i</m:t>
                </m:r>
                <m:r>
                  <m:t>j</m:t>
                </m:r>
              </m:sub>
            </m:sSub>
            <m:r>
              <m:rPr>
                <m:sty m:val="p"/>
              </m:rPr>
              <m:t>−</m:t>
            </m:r>
            <m:sSub>
              <m:e>
                <m:r>
                  <m:t>c</m:t>
                </m:r>
              </m:e>
              <m:sub>
                <m:r>
                  <m:t>i</m:t>
                </m:r>
                <m:r>
                  <m:t>j</m:t>
                </m:r>
              </m:sub>
            </m:sSub>
          </m:e>
        </m:d>
        <m:r>
          <m:rPr>
            <m:sty m:val="p"/>
          </m:rPr>
          <m:t>≤</m:t>
        </m:r>
        <m:r>
          <m:t>ε</m:t>
        </m:r>
        <m:r>
          <m:rPr>
            <m:sty m:val="p"/>
          </m:rPr>
          <m:t>.</m:t>
        </m:r>
      </m:oMath>
      <w:r>
        <w:t xml:space="preserve">     (3.1)</w:t>
      </w:r>
    </w:p>
    <w:p>
      <w:pPr>
        <w:pStyle w:val="BodyText"/>
      </w:pPr>
      <w:r>
        <w:t xml:space="preserve">The measured table need not satisfy (2.3). Define</w:t>
      </w:r>
      <w:r>
        <w:t xml:space="preserve"> </w:t>
      </w:r>
      <m:oMath>
        <m:r>
          <m:t>H</m:t>
        </m:r>
        <m:d>
          <m:dPr>
            <m:begChr m:val="("/>
            <m:endChr m:val=")"/>
            <m:sepChr m:val=""/>
            <m:grow/>
          </m:dPr>
          <m:e>
            <m:r>
              <m:rPr>
                <m:sty m:val="p"/>
              </m:rPr>
              <m:t>⌀</m:t>
            </m:r>
          </m:e>
        </m:d>
        <m:r>
          <m:rPr>
            <m:sty m:val="p"/>
          </m:rPr>
          <m:t>=</m:t>
        </m:r>
        <m:r>
          <m:t>0</m:t>
        </m:r>
      </m:oMath>
      <w:r>
        <w:t xml:space="preserve">,</w:t>
      </w:r>
      <w:r>
        <w:t xml:space="preserve"> </w:t>
      </w:r>
      <m:oMath>
        <m:r>
          <m:t>H</m:t>
        </m:r>
        <m:d>
          <m:dPr>
            <m:begChr m:val="("/>
            <m:endChr m:val=")"/>
            <m:sepChr m:val=""/>
            <m:grow/>
          </m:dPr>
          <m:e>
            <m:r>
              <m:rPr>
                <m:sty m:val="p"/>
              </m:rPr>
              <m:t>{</m:t>
            </m:r>
            <m:r>
              <m:t>i</m:t>
            </m:r>
            <m:r>
              <m:rPr>
                <m:sty m:val="p"/>
              </m:rPr>
              <m:t>}</m:t>
            </m:r>
          </m:e>
        </m:d>
        <m:r>
          <m:rPr>
            <m:sty m:val="p"/>
          </m:rPr>
          <m:t>=</m:t>
        </m:r>
        <m:sSub>
          <m:e>
            <m:acc>
              <m:accPr>
                <m:chr m:val="̃"/>
              </m:accPr>
              <m:e>
                <m:r>
                  <m:t>c</m:t>
                </m:r>
              </m:e>
            </m:acc>
          </m:e>
          <m:sub>
            <m:r>
              <m:t>i</m:t>
            </m:r>
          </m:sub>
        </m:sSub>
      </m:oMath>
      <w:r>
        <w:t xml:space="preserve">, and, for</w:t>
      </w:r>
      <w:r>
        <w:t xml:space="preserve"> </w:t>
      </w:r>
      <m:oMath>
        <m:d>
          <m:dPr>
            <m:begChr m:val="|"/>
            <m:endChr m:val="|"/>
            <m:sepChr m:val=""/>
            <m:grow/>
          </m:dPr>
          <m:e>
            <m:r>
              <m:t>S</m:t>
            </m:r>
          </m:e>
        </m:d>
        <m:r>
          <m:rPr>
            <m:sty m:val="p"/>
          </m:rPr>
          <m:t>≥</m:t>
        </m:r>
        <m:r>
          <m:t>2</m:t>
        </m:r>
      </m:oMath>
      <w:r>
        <w:t xml:space="preserve">, define</w:t>
      </w:r>
      <w:r>
        <w:t xml:space="preserve"> </w:t>
      </w:r>
      <m:oMath>
        <m:r>
          <m:t>H</m:t>
        </m:r>
        <m:d>
          <m:dPr>
            <m:begChr m:val="("/>
            <m:endChr m:val=")"/>
            <m:sepChr m:val=""/>
            <m:grow/>
          </m:dPr>
          <m:e>
            <m:r>
              <m:t>S</m:t>
            </m:r>
          </m:e>
        </m:d>
      </m:oMath>
      <w:r>
        <w:t xml:space="preserve"> </w:t>
      </w:r>
      <w:r>
        <w:t xml:space="preserve">by the right side of (2.6) using measured values.</w:t>
      </w:r>
    </w:p>
    <w:bookmarkStart w:id="27" w:name="exact-recovery-radius"/>
    <w:p>
      <w:pPr>
        <w:pStyle w:val="Heading2"/>
      </w:pPr>
      <w:r>
        <w:t xml:space="preserve">3.1. Exact recovery radius</w:t>
      </w:r>
    </w:p>
    <w:p>
      <w:pPr>
        <w:pStyle w:val="FirstParagraph"/>
        <w:keepNext/>
        <w:spacing w:before="180"/>
      </w:pPr>
      <w:r>
        <w:rPr>
          <w:bCs/>
          <w:b/>
        </w:rPr>
        <w:t xml:space="preserve">Theorem 3.1 — Sharp error bound and minimax optimality.</w:t>
      </w:r>
      <w:r>
        <w:t xml:space="preserve"> </w:t>
      </w:r>
      <w:r>
        <w:t xml:space="preserve">Set</w:t>
      </w:r>
    </w:p>
    <w:p>
      <w:pPr>
        <w:pStyle w:val="BodyText"/>
      </w:pPr>
      <m:oMathPara>
        <m:oMathParaPr>
          <m:jc m:val="center"/>
        </m:oMathParaPr>
        <m:oMath>
          <m:sSub>
            <m:e>
              <m:r>
                <m:t>α</m:t>
              </m:r>
            </m:e>
            <m:sub>
              <m:r>
                <m:t>0</m:t>
              </m:r>
            </m:sub>
          </m:sSub>
          <m:r>
            <m:rPr>
              <m:sty m:val="p"/>
            </m:rPr>
            <m:t>=</m:t>
          </m:r>
          <m:r>
            <m:t>0</m:t>
          </m:r>
          <m:r>
            <m:rPr>
              <m:sty m:val="p"/>
            </m:rPr>
            <m:t>,</m:t>
          </m:r>
          <m:r>
            <m:t> </m:t>
          </m:r>
          <m:r>
            <m:t> </m:t>
          </m:r>
          <m:sSub>
            <m:e>
              <m:r>
                <m:t>α</m:t>
              </m:r>
            </m:e>
            <m:sub>
              <m:r>
                <m:t>1</m:t>
              </m:r>
            </m:sub>
          </m:sSub>
          <m:r>
            <m:rPr>
              <m:sty m:val="p"/>
            </m:rPr>
            <m:t>=</m:t>
          </m:r>
          <m:r>
            <m:t>1</m:t>
          </m:r>
          <m:r>
            <m:rPr>
              <m:sty m:val="p"/>
            </m:rPr>
            <m:t>,</m:t>
          </m:r>
          <m:r>
            <m:t> </m:t>
          </m:r>
          <m:r>
            <m:t> </m:t>
          </m:r>
          <m:sSub>
            <m:e>
              <m:r>
                <m:t>α</m:t>
              </m:r>
            </m:e>
            <m:sub>
              <m:r>
                <m:t>m</m:t>
              </m:r>
            </m:sub>
          </m:sSub>
          <m:r>
            <m:rPr>
              <m:sty m:val="p"/>
            </m:rPr>
            <m:t>=</m:t>
          </m:r>
          <m:r>
            <m:t>2</m:t>
          </m:r>
          <m:r>
            <m:t>m</m:t>
          </m:r>
          <m:r>
            <m:rPr>
              <m:sty m:val="p"/>
            </m:rPr>
            <m:t>−</m:t>
          </m:r>
          <m:r>
            <m:t>3</m:t>
          </m:r>
          <m:r>
            <m:t> </m:t>
          </m:r>
          <m:d>
            <m:dPr>
              <m:begChr m:val="("/>
              <m:endChr m:val=")"/>
              <m:sepChr m:val=""/>
              <m:grow/>
            </m:dPr>
            <m:e>
              <m:r>
                <m:t>m</m:t>
              </m:r>
              <m:r>
                <m:rPr>
                  <m:sty m:val="p"/>
                </m:rPr>
                <m:t>≥</m:t>
              </m:r>
              <m:r>
                <m:t>2</m:t>
              </m:r>
            </m:e>
          </m:d>
          <m:r>
            <m:rPr>
              <m:sty m:val="p"/>
            </m:rPr>
            <m:t>.</m:t>
          </m:r>
        </m:oMath>
      </m:oMathPara>
    </w:p>
    <w:p>
      <w:pPr>
        <w:pStyle w:val="FirstParagraph"/>
      </w:pPr>
      <w:r>
        <w:t xml:space="preserve">Then</w:t>
      </w:r>
    </w:p>
    <w:p>
      <w:pPr>
        <w:pStyle w:val="BodyText"/>
        <w:jc w:val="center"/>
      </w:pPr>
      <m:oMath>
        <m:d>
          <m:dPr>
            <m:begChr m:val="|"/>
            <m:endChr m:val="|"/>
            <m:sepChr m:val=""/>
            <m:grow/>
          </m:dPr>
          <m:e>
            <m:r>
              <m:t>H</m:t>
            </m:r>
            <m:d>
              <m:dPr>
                <m:begChr m:val="("/>
                <m:endChr m:val=")"/>
                <m:sepChr m:val=""/>
                <m:grow/>
              </m:dPr>
              <m:e>
                <m:r>
                  <m:t>S</m:t>
                </m:r>
              </m:e>
            </m:d>
            <m:r>
              <m:rPr>
                <m:sty m:val="p"/>
              </m:rPr>
              <m:t>−</m:t>
            </m:r>
            <m:r>
              <m:t>F</m:t>
            </m:r>
            <m:d>
              <m:dPr>
                <m:begChr m:val="("/>
                <m:endChr m:val=")"/>
                <m:sepChr m:val=""/>
                <m:grow/>
              </m:dPr>
              <m:e>
                <m:r>
                  <m:t>S</m:t>
                </m:r>
              </m:e>
            </m:d>
          </m:e>
        </m:d>
        <m:r>
          <m:rPr>
            <m:sty m:val="p"/>
          </m:rPr>
          <m:t>≤</m:t>
        </m:r>
        <m:sSub>
          <m:e>
            <m:r>
              <m:t>α</m:t>
            </m:r>
          </m:e>
          <m:sub>
            <m:d>
              <m:dPr>
                <m:begChr m:val="|"/>
                <m:endChr m:val="|"/>
                <m:sepChr m:val=""/>
                <m:grow/>
              </m:dPr>
              <m:e>
                <m:r>
                  <m:t>S</m:t>
                </m:r>
              </m:e>
            </m:d>
          </m:sub>
        </m:sSub>
        <m:r>
          <m:t>ε</m:t>
        </m:r>
        <m:r>
          <m:rPr>
            <m:sty m:val="p"/>
          </m:rPr>
          <m:t>.</m:t>
        </m:r>
      </m:oMath>
      <w:r>
        <w:t xml:space="preserve">     (3.2)</w:t>
      </w:r>
    </w:p>
    <w:p>
      <w:pPr>
        <w:pStyle w:val="BodyText"/>
      </w:pPr>
      <w:r>
        <w:t xml:space="preserve">For each</w:t>
      </w:r>
      <w:r>
        <w:t xml:space="preserve"> </w:t>
      </w:r>
      <m:oMath>
        <m:r>
          <m:t>m</m:t>
        </m:r>
        <m:r>
          <m:rPr>
            <m:sty m:val="p"/>
          </m:rPr>
          <m:t>≥</m:t>
        </m:r>
        <m:r>
          <m:t>2</m:t>
        </m:r>
      </m:oMath>
      <w:r>
        <w:t xml:space="preserve">, the coefficient</w:t>
      </w:r>
      <w:r>
        <w:t xml:space="preserve"> </w:t>
      </w:r>
      <m:oMath>
        <m:r>
          <m:t>2</m:t>
        </m:r>
        <m:r>
          <m:t>m</m:t>
        </m:r>
        <m:r>
          <m:rPr>
            <m:sty m:val="p"/>
          </m:rPr>
          <m:t>−</m:t>
        </m:r>
        <m:r>
          <m:t>3</m:t>
        </m:r>
      </m:oMath>
      <w:r>
        <w:t xml:space="preserve"> </w:t>
      </w:r>
      <w:r>
        <w:t xml:space="preserve">cannot be reduced by replacing</w:t>
      </w:r>
      <w:r>
        <w:t xml:space="preserve"> </w:t>
      </w:r>
      <m:oMath>
        <m:r>
          <m:t>H</m:t>
        </m:r>
      </m:oMath>
      <w:r>
        <w:t xml:space="preserve"> </w:t>
      </w:r>
      <w:r>
        <w:t xml:space="preserve">with any other estimator based only on the individual and pairwise measurements.</w:t>
      </w:r>
    </w:p>
    <w:p>
      <w:pPr>
        <w:pStyle w:val="BodyText"/>
      </w:pPr>
      <w:r>
        <w:rPr>
          <w:iCs/>
          <w:i/>
        </w:rPr>
        <w:t xml:space="preserve">Proof.</w:t>
      </w:r>
      <w:r>
        <w:t xml:space="preserve"> </w:t>
      </w:r>
      <w:r>
        <w:t xml:space="preserve">Fix</w:t>
      </w:r>
      <w:r>
        <w:t xml:space="preserve"> </w:t>
      </w:r>
      <m:oMath>
        <m:r>
          <m:t>S</m:t>
        </m:r>
      </m:oMath>
      <w:r>
        <w:t xml:space="preserve"> </w:t>
      </w:r>
      <w:r>
        <w:t xml:space="preserve">of size</w:t>
      </w:r>
      <w:r>
        <w:t xml:space="preserve"> </w:t>
      </w:r>
      <m:oMath>
        <m:r>
          <m:t>m</m:t>
        </m:r>
        <m:r>
          <m:rPr>
            <m:sty m:val="p"/>
          </m:rPr>
          <m:t>≥</m:t>
        </m:r>
        <m:r>
          <m:t>2</m:t>
        </m:r>
      </m:oMath>
      <w:r>
        <w:t xml:space="preserve">. Each spanning-tree expression in (2.6) contains</w:t>
      </w:r>
      <w:r>
        <w:t xml:space="preserve"> </w:t>
      </w:r>
      <m:oMath>
        <m:r>
          <m:t>m</m:t>
        </m:r>
        <m:r>
          <m:rPr>
            <m:sty m:val="p"/>
          </m:rPr>
          <m:t>−</m:t>
        </m:r>
        <m:r>
          <m:t>1</m:t>
        </m:r>
      </m:oMath>
      <w:r>
        <w:t xml:space="preserve"> </w:t>
      </w:r>
      <w:r>
        <w:t xml:space="preserve">pair terms with coefficient</w:t>
      </w:r>
      <w:r>
        <w:t xml:space="preserve"> </w:t>
      </w:r>
      <m:oMath>
        <m:r>
          <m:rPr>
            <m:sty m:val="p"/>
          </m:rPr>
          <m:t>+</m:t>
        </m:r>
        <m:r>
          <m:t>1</m:t>
        </m:r>
      </m:oMath>
      <w:r>
        <w:t xml:space="preserve">. Since every vertex has degree at least one,</w:t>
      </w:r>
    </w:p>
    <w:p>
      <w:pPr>
        <w:pStyle w:val="BodyText"/>
      </w:pPr>
      <m:oMathPara>
        <m:oMathParaPr>
          <m:jc m:val="center"/>
        </m:oMathParaPr>
        <m:oMath>
          <m:nary>
            <m:naryPr>
              <m:chr m:val="∑"/>
              <m:limLoc m:val="undOvr"/>
              <m:subHide m:val="off"/>
              <m:supHide m:val="on"/>
            </m:naryPr>
            <m:sub>
              <m:r>
                <m:t>i</m:t>
              </m:r>
              <m:r>
                <m:rPr>
                  <m:sty m:val="p"/>
                </m:rPr>
                <m:t>∈</m:t>
              </m:r>
              <m:r>
                <m:t>S</m:t>
              </m:r>
            </m:sub>
            <m:sup>
              <m:r>
                <m:t>​</m:t>
              </m:r>
            </m:sup>
            <m:e>
              <m:d>
                <m:dPr>
                  <m:begChr m:val="|"/>
                  <m:endChr m:val="|"/>
                  <m:sepChr m:val=""/>
                  <m:grow/>
                </m:dPr>
                <m:e>
                  <m:sSub>
                    <m:e>
                      <m:r>
                        <m:rPr>
                          <m:sty m:val="p"/>
                        </m:rPr>
                        <m:t>deg</m:t>
                      </m:r>
                    </m:e>
                    <m:sub>
                      <m:r>
                        <m:t>M</m:t>
                      </m:r>
                    </m:sub>
                  </m:sSub>
                  <m:d>
                    <m:dPr>
                      <m:begChr m:val="("/>
                      <m:endChr m:val=")"/>
                      <m:sepChr m:val=""/>
                      <m:grow/>
                    </m:dPr>
                    <m:e>
                      <m:r>
                        <m:t>i</m:t>
                      </m:r>
                    </m:e>
                  </m:d>
                  <m:r>
                    <m:rPr>
                      <m:sty m:val="p"/>
                    </m:rPr>
                    <m:t>−</m:t>
                  </m:r>
                  <m:r>
                    <m:t>1</m:t>
                  </m:r>
                </m:e>
              </m:d>
            </m:e>
          </m:nary>
          <m:r>
            <m:rPr>
              <m:sty m:val="p"/>
            </m:rPr>
            <m:t>=</m:t>
          </m:r>
          <m:r>
            <m:t>2</m:t>
          </m:r>
          <m:d>
            <m:dPr>
              <m:begChr m:val="("/>
              <m:endChr m:val=")"/>
              <m:sepChr m:val=""/>
              <m:grow/>
            </m:dPr>
            <m:e>
              <m:r>
                <m:t>m</m:t>
              </m:r>
              <m:r>
                <m:rPr>
                  <m:sty m:val="p"/>
                </m:rPr>
                <m:t>−</m:t>
              </m:r>
              <m:r>
                <m:t>1</m:t>
              </m:r>
            </m:e>
          </m:d>
          <m:r>
            <m:rPr>
              <m:sty m:val="p"/>
            </m:rPr>
            <m:t>−</m:t>
          </m:r>
          <m:r>
            <m:t>m</m:t>
          </m:r>
          <m:r>
            <m:rPr>
              <m:sty m:val="p"/>
            </m:rPr>
            <m:t>=</m:t>
          </m:r>
          <m:r>
            <m:t>m</m:t>
          </m:r>
          <m:r>
            <m:rPr>
              <m:sty m:val="p"/>
            </m:rPr>
            <m:t>−</m:t>
          </m:r>
          <m:r>
            <m:t>2</m:t>
          </m:r>
          <m:r>
            <m:rPr>
              <m:sty m:val="p"/>
            </m:rPr>
            <m:t>.</m:t>
          </m:r>
        </m:oMath>
      </m:oMathPara>
    </w:p>
    <w:p>
      <w:pPr>
        <w:pStyle w:val="FirstParagraph"/>
      </w:pPr>
      <w:r>
        <w:t xml:space="preserve">Thus each expression changes by at most</w:t>
      </w:r>
    </w:p>
    <w:p>
      <w:pPr>
        <w:pStyle w:val="BodyText"/>
      </w:pPr>
      <m:oMathPara>
        <m:oMathParaPr>
          <m:jc m:val="center"/>
        </m:oMathParaPr>
        <m:oMath>
          <m:d>
            <m:dPr>
              <m:begChr m:val="("/>
              <m:endChr m:val=")"/>
              <m:sepChr m:val=""/>
              <m:grow/>
            </m:dPr>
            <m:e>
              <m:r>
                <m:t>m</m:t>
              </m:r>
              <m:r>
                <m:rPr>
                  <m:sty m:val="p"/>
                </m:rPr>
                <m:t>−</m:t>
              </m:r>
              <m:r>
                <m:t>1</m:t>
              </m:r>
            </m:e>
          </m:d>
          <m:r>
            <m:t>ε</m:t>
          </m:r>
          <m:r>
            <m:rPr>
              <m:sty m:val="p"/>
            </m:rPr>
            <m:t>+</m:t>
          </m:r>
          <m:d>
            <m:dPr>
              <m:begChr m:val="("/>
              <m:endChr m:val=")"/>
              <m:sepChr m:val=""/>
              <m:grow/>
            </m:dPr>
            <m:e>
              <m:r>
                <m:t>m</m:t>
              </m:r>
              <m:r>
                <m:rPr>
                  <m:sty m:val="p"/>
                </m:rPr>
                <m:t>−</m:t>
              </m:r>
              <m:r>
                <m:t>2</m:t>
              </m:r>
            </m:e>
          </m:d>
          <m:r>
            <m:t>ε</m:t>
          </m:r>
          <m:r>
            <m:rPr>
              <m:sty m:val="p"/>
            </m:rPr>
            <m:t>=</m:t>
          </m:r>
          <m:d>
            <m:dPr>
              <m:begChr m:val="("/>
              <m:endChr m:val=")"/>
              <m:sepChr m:val=""/>
              <m:grow/>
            </m:dPr>
            <m:e>
              <m:r>
                <m:t>2</m:t>
              </m:r>
              <m:r>
                <m:t>m</m:t>
              </m:r>
              <m:r>
                <m:rPr>
                  <m:sty m:val="p"/>
                </m:rPr>
                <m:t>−</m:t>
              </m:r>
              <m:r>
                <m:t>3</m:t>
              </m:r>
            </m:e>
          </m:d>
          <m:r>
            <m:t>ε</m:t>
          </m:r>
          <m:r>
            <m:rPr>
              <m:sty m:val="p"/>
            </m:rPr>
            <m:t>.</m:t>
          </m:r>
        </m:oMath>
      </m:oMathPara>
    </w:p>
    <w:p>
      <w:pPr>
        <w:pStyle w:val="FirstParagraph"/>
      </w:pPr>
      <w:r>
        <w:t xml:space="preserve">If every member of a finite family of real numbers changes by at most</w:t>
      </w:r>
      <w:r>
        <w:t xml:space="preserve"> </w:t>
      </w:r>
      <m:oMath>
        <m:r>
          <m:t>d</m:t>
        </m:r>
      </m:oMath>
      <w:r>
        <w:t xml:space="preserve">, its minimum changes by at most</w:t>
      </w:r>
      <w:r>
        <w:t xml:space="preserve"> </w:t>
      </w:r>
      <m:oMath>
        <m:r>
          <m:t>d</m:t>
        </m:r>
      </m:oMath>
      <w:r>
        <w:t xml:space="preserve">. Applying this fact to (2.6) proves (3.2). The empty and singleton cases are immediate.</w:t>
      </w:r>
    </w:p>
    <w:p>
      <w:pPr>
        <w:pStyle w:val="BodyText"/>
      </w:pPr>
      <w:r>
        <w:t xml:space="preserve">For the lower bound, consider</w:t>
      </w:r>
      <w:r>
        <w:t xml:space="preserve"> </w:t>
      </w:r>
      <m:oMath>
        <m:r>
          <m:t>m</m:t>
        </m:r>
      </m:oMath>
      <w:r>
        <w:t xml:space="preserve"> </w:t>
      </w:r>
      <w:r>
        <w:t xml:space="preserve">leaves sharing a trunk of length</w:t>
      </w:r>
      <w:r>
        <w:t xml:space="preserve"> </w:t>
      </w:r>
      <m:oMath>
        <m:r>
          <m:t>a</m:t>
        </m:r>
        <m:r>
          <m:rPr>
            <m:sty m:val="p"/>
          </m:rPr>
          <m:t>&gt;</m:t>
        </m:r>
        <m:r>
          <m:t>3</m:t>
        </m:r>
        <m:r>
          <m:t>ε</m:t>
        </m:r>
      </m:oMath>
      <w:r>
        <w:t xml:space="preserve">, with each pendant edge of length</w:t>
      </w:r>
      <w:r>
        <w:t xml:space="preserve"> </w:t>
      </w:r>
      <m:oMath>
        <m:r>
          <m:t>b</m:t>
        </m:r>
        <m:r>
          <m:rPr>
            <m:sty m:val="p"/>
          </m:rPr>
          <m:t>&gt;</m:t>
        </m:r>
        <m:r>
          <m:t>2</m:t>
        </m:r>
        <m:r>
          <m:t>ε</m:t>
        </m:r>
      </m:oMath>
      <w:r>
        <w:t xml:space="preserve">. Let the measured table be that of this central tree:</w:t>
      </w:r>
    </w:p>
    <w:p>
      <w:pPr>
        <w:pStyle w:val="BodyText"/>
      </w:pPr>
      <m:oMathPara>
        <m:oMathParaPr>
          <m:jc m:val="center"/>
        </m:oMathParaPr>
        <m:oMath>
          <m:sSub>
            <m:e>
              <m:acc>
                <m:accPr>
                  <m:chr m:val="̃"/>
                </m:accPr>
                <m:e>
                  <m:r>
                    <m:t>c</m:t>
                  </m:r>
                </m:e>
              </m:acc>
            </m:e>
            <m:sub>
              <m:r>
                <m:t>i</m:t>
              </m:r>
            </m:sub>
          </m:sSub>
          <m:r>
            <m:rPr>
              <m:sty m:val="p"/>
            </m:rPr>
            <m:t>=</m:t>
          </m:r>
          <m:r>
            <m:t>a</m:t>
          </m:r>
          <m:r>
            <m:rPr>
              <m:sty m:val="p"/>
            </m:rPr>
            <m:t>+</m:t>
          </m:r>
          <m:r>
            <m:t>b</m:t>
          </m:r>
          <m:r>
            <m:rPr>
              <m:sty m:val="p"/>
            </m:rPr>
            <m:t>,</m:t>
          </m:r>
          <m:r>
            <m:t> </m:t>
          </m:r>
          <m:r>
            <m:t> </m:t>
          </m:r>
          <m:sSub>
            <m:e>
              <m:acc>
                <m:accPr>
                  <m:chr m:val="̃"/>
                </m:accPr>
                <m:e>
                  <m:r>
                    <m:t>c</m:t>
                  </m:r>
                </m:e>
              </m:acc>
            </m:e>
            <m:sub>
              <m:r>
                <m:t>i</m:t>
              </m:r>
              <m:r>
                <m:t>j</m:t>
              </m:r>
            </m:sub>
          </m:sSub>
          <m:r>
            <m:rPr>
              <m:sty m:val="p"/>
            </m:rPr>
            <m:t>=</m:t>
          </m:r>
          <m:r>
            <m:t>a</m:t>
          </m:r>
          <m:r>
            <m:rPr>
              <m:sty m:val="p"/>
            </m:rPr>
            <m:t>+</m:t>
          </m:r>
          <m:r>
            <m:t>2</m:t>
          </m:r>
          <m:r>
            <m:t>b</m:t>
          </m:r>
          <m:r>
            <m:rPr>
              <m:sty m:val="p"/>
            </m:rPr>
            <m:t>.</m:t>
          </m:r>
        </m:oMath>
      </m:oMathPara>
    </w:p>
    <w:p>
      <w:pPr>
        <w:pStyle w:val="FirstParagraph"/>
      </w:pPr>
      <w:r>
        <w:t xml:space="preserve">Two possible true trees have trunk and pendant lengths</w:t>
      </w:r>
    </w:p>
    <w:p>
      <w:pPr>
        <w:pStyle w:val="BodyText"/>
      </w:pPr>
      <m:oMathPara>
        <m:oMathParaPr>
          <m:jc m:val="center"/>
        </m:oMathParaPr>
        <m:oMath>
          <m:d>
            <m:dPr>
              <m:begChr m:val="("/>
              <m:endChr m:val=")"/>
              <m:sepChr m:val=""/>
              <m:grow/>
            </m:dPr>
            <m:e>
              <m:sSub>
                <m:e>
                  <m:r>
                    <m:t>a</m:t>
                  </m:r>
                </m:e>
                <m:sub>
                  <m:r>
                    <m:rPr>
                      <m:sty m:val="p"/>
                    </m:rPr>
                    <m:t>+</m:t>
                  </m:r>
                </m:sub>
              </m:sSub>
              <m:r>
                <m:rPr>
                  <m:sty m:val="p"/>
                </m:rPr>
                <m:t>,</m:t>
              </m:r>
              <m:sSub>
                <m:e>
                  <m:r>
                    <m:t>b</m:t>
                  </m:r>
                </m:e>
                <m:sub>
                  <m:r>
                    <m:rPr>
                      <m:sty m:val="p"/>
                    </m:rPr>
                    <m:t>+</m:t>
                  </m:r>
                </m:sub>
              </m:sSub>
            </m:e>
          </m:d>
          <m:r>
            <m:rPr>
              <m:sty m:val="p"/>
            </m:rPr>
            <m:t>=</m:t>
          </m:r>
          <m:d>
            <m:dPr>
              <m:begChr m:val="("/>
              <m:endChr m:val=")"/>
              <m:sepChr m:val=""/>
              <m:grow/>
            </m:dPr>
            <m:e>
              <m:r>
                <m:t>a</m:t>
              </m:r>
              <m:r>
                <m:rPr>
                  <m:sty m:val="p"/>
                </m:rPr>
                <m:t>−</m:t>
              </m:r>
              <m:r>
                <m:t>3</m:t>
              </m:r>
              <m:r>
                <m:t>ε</m:t>
              </m:r>
              <m:r>
                <m:rPr>
                  <m:sty m:val="p"/>
                </m:rPr>
                <m:t>,</m:t>
              </m:r>
              <m:r>
                <m:t>b</m:t>
              </m:r>
              <m:r>
                <m:rPr>
                  <m:sty m:val="p"/>
                </m:rPr>
                <m:t>+</m:t>
              </m:r>
              <m:r>
                <m:t>2</m:t>
              </m:r>
              <m:r>
                <m:t>ε</m:t>
              </m:r>
            </m:e>
          </m:d>
          <m:r>
            <m:rPr>
              <m:sty m:val="p"/>
            </m:rPr>
            <m:t>,</m:t>
          </m:r>
        </m:oMath>
      </m:oMathPara>
    </w:p>
    <w:p>
      <w:pPr>
        <w:pStyle w:val="FirstParagraph"/>
      </w:pPr>
      <m:oMathPara>
        <m:oMathParaPr>
          <m:jc m:val="center"/>
        </m:oMathParaPr>
        <m:oMath>
          <m:d>
            <m:dPr>
              <m:begChr m:val="("/>
              <m:endChr m:val=")"/>
              <m:sepChr m:val=""/>
              <m:grow/>
            </m:dPr>
            <m:e>
              <m:sSub>
                <m:e>
                  <m:r>
                    <m:t>a</m:t>
                  </m:r>
                </m:e>
                <m:sub>
                  <m:r>
                    <m:rPr>
                      <m:sty m:val="p"/>
                    </m:rPr>
                    <m:t>−</m:t>
                  </m:r>
                </m:sub>
              </m:sSub>
              <m:r>
                <m:rPr>
                  <m:sty m:val="p"/>
                </m:rPr>
                <m:t>,</m:t>
              </m:r>
              <m:sSub>
                <m:e>
                  <m:r>
                    <m:t>b</m:t>
                  </m:r>
                </m:e>
                <m:sub>
                  <m:r>
                    <m:rPr>
                      <m:sty m:val="p"/>
                    </m:rPr>
                    <m:t>−</m:t>
                  </m:r>
                </m:sub>
              </m:sSub>
            </m:e>
          </m:d>
          <m:r>
            <m:rPr>
              <m:sty m:val="p"/>
            </m:rPr>
            <m:t>=</m:t>
          </m:r>
          <m:d>
            <m:dPr>
              <m:begChr m:val="("/>
              <m:endChr m:val=")"/>
              <m:sepChr m:val=""/>
              <m:grow/>
            </m:dPr>
            <m:e>
              <m:r>
                <m:t>a</m:t>
              </m:r>
              <m:r>
                <m:rPr>
                  <m:sty m:val="p"/>
                </m:rPr>
                <m:t>+</m:t>
              </m:r>
              <m:r>
                <m:t>3</m:t>
              </m:r>
              <m:r>
                <m:t>ε</m:t>
              </m:r>
              <m:r>
                <m:rPr>
                  <m:sty m:val="p"/>
                </m:rPr>
                <m:t>,</m:t>
              </m:r>
              <m:r>
                <m:t>b</m:t>
              </m:r>
              <m:r>
                <m:rPr>
                  <m:sty m:val="p"/>
                </m:rPr>
                <m:t>−</m:t>
              </m:r>
              <m:r>
                <m:t>2</m:t>
              </m:r>
              <m:r>
                <m:t>ε</m:t>
              </m:r>
            </m:e>
          </m:d>
          <m:r>
            <m:rPr>
              <m:sty m:val="p"/>
            </m:rPr>
            <m:t>.</m:t>
          </m:r>
        </m:oMath>
      </m:oMathPara>
    </w:p>
    <w:p>
      <w:pPr>
        <w:pStyle w:val="FirstParagraph"/>
      </w:pPr>
      <w:r>
        <w:t xml:space="preserve">All edge lengths are nonnegative. In the first tree, every singleton is lower than its measurement by</w:t>
      </w:r>
      <w:r>
        <w:t xml:space="preserve"> </w:t>
      </w:r>
      <m:oMath>
        <m:r>
          <m:t>ε</m:t>
        </m:r>
      </m:oMath>
      <w:r>
        <w:t xml:space="preserve">, while every pair is higher by</w:t>
      </w:r>
      <w:r>
        <w:t xml:space="preserve"> </w:t>
      </w:r>
      <m:oMath>
        <m:r>
          <m:t>ε</m:t>
        </m:r>
      </m:oMath>
      <w:r>
        <w:t xml:space="preserve">. The signs are reversed in the second tree. Both trees satisfy (3.1) for the same observed table.</w:t>
      </w:r>
    </w:p>
    <w:p>
      <w:pPr>
        <w:pStyle w:val="BodyText"/>
      </w:pPr>
      <w:r>
        <w:t xml:space="preserve">Their full-set costs are</w:t>
      </w:r>
    </w:p>
    <w:p>
      <w:pPr>
        <w:pStyle w:val="BodyText"/>
      </w:pPr>
      <m:oMathPara>
        <m:oMathParaPr>
          <m:jc m:val="center"/>
        </m:oMathParaPr>
        <m:oMath>
          <m:sSub>
            <m:e>
              <m:r>
                <m:t>F</m:t>
              </m:r>
            </m:e>
            <m:sub>
              <m:r>
                <m:rPr>
                  <m:sty m:val="p"/>
                </m:rPr>
                <m:t>+</m:t>
              </m:r>
            </m:sub>
          </m:sSub>
          <m:d>
            <m:dPr>
              <m:begChr m:val="("/>
              <m:endChr m:val=")"/>
              <m:sepChr m:val=""/>
              <m:grow/>
            </m:dPr>
            <m:e>
              <m:r>
                <m:t>N</m:t>
              </m:r>
            </m:e>
          </m:d>
          <m:r>
            <m:rPr>
              <m:sty m:val="p"/>
            </m:rPr>
            <m:t>=</m:t>
          </m:r>
          <m:r>
            <m:t>a</m:t>
          </m:r>
          <m:r>
            <m:rPr>
              <m:sty m:val="p"/>
            </m:rPr>
            <m:t>+</m:t>
          </m:r>
          <m:r>
            <m:t>m</m:t>
          </m:r>
          <m:r>
            <m:t>b</m:t>
          </m:r>
          <m:r>
            <m:rPr>
              <m:sty m:val="p"/>
            </m:rPr>
            <m:t>+</m:t>
          </m:r>
          <m:d>
            <m:dPr>
              <m:begChr m:val="("/>
              <m:endChr m:val=")"/>
              <m:sepChr m:val=""/>
              <m:grow/>
            </m:dPr>
            <m:e>
              <m:r>
                <m:t>2</m:t>
              </m:r>
              <m:r>
                <m:t>m</m:t>
              </m:r>
              <m:r>
                <m:rPr>
                  <m:sty m:val="p"/>
                </m:rPr>
                <m:t>−</m:t>
              </m:r>
              <m:r>
                <m:t>3</m:t>
              </m:r>
            </m:e>
          </m:d>
          <m:r>
            <m:t>ε</m:t>
          </m:r>
          <m:r>
            <m:rPr>
              <m:sty m:val="p"/>
            </m:rPr>
            <m:t>,</m:t>
          </m:r>
        </m:oMath>
      </m:oMathPara>
    </w:p>
    <w:p>
      <w:pPr>
        <w:pStyle w:val="FirstParagraph"/>
      </w:pPr>
      <m:oMathPara>
        <m:oMathParaPr>
          <m:jc m:val="center"/>
        </m:oMathParaPr>
        <m:oMath>
          <m:sSub>
            <m:e>
              <m:r>
                <m:t>F</m:t>
              </m:r>
            </m:e>
            <m:sub>
              <m:r>
                <m:rPr>
                  <m:sty m:val="p"/>
                </m:rPr>
                <m:t>−</m:t>
              </m:r>
            </m:sub>
          </m:sSub>
          <m:d>
            <m:dPr>
              <m:begChr m:val="("/>
              <m:endChr m:val=")"/>
              <m:sepChr m:val=""/>
              <m:grow/>
            </m:dPr>
            <m:e>
              <m:r>
                <m:t>N</m:t>
              </m:r>
            </m:e>
          </m:d>
          <m:r>
            <m:rPr>
              <m:sty m:val="p"/>
            </m:rPr>
            <m:t>=</m:t>
          </m:r>
          <m:r>
            <m:t>a</m:t>
          </m:r>
          <m:r>
            <m:rPr>
              <m:sty m:val="p"/>
            </m:rPr>
            <m:t>+</m:t>
          </m:r>
          <m:r>
            <m:t>m</m:t>
          </m:r>
          <m:r>
            <m:t>b</m:t>
          </m:r>
          <m:r>
            <m:rPr>
              <m:sty m:val="p"/>
            </m:rPr>
            <m:t>−</m:t>
          </m:r>
          <m:d>
            <m:dPr>
              <m:begChr m:val="("/>
              <m:endChr m:val=")"/>
              <m:sepChr m:val=""/>
              <m:grow/>
            </m:dPr>
            <m:e>
              <m:r>
                <m:t>2</m:t>
              </m:r>
              <m:r>
                <m:t>m</m:t>
              </m:r>
              <m:r>
                <m:rPr>
                  <m:sty m:val="p"/>
                </m:rPr>
                <m:t>−</m:t>
              </m:r>
              <m:r>
                <m:t>3</m:t>
              </m:r>
            </m:e>
          </m:d>
          <m:r>
            <m:t>ε</m:t>
          </m:r>
          <m:r>
            <m:rPr>
              <m:sty m:val="p"/>
            </m:rPr>
            <m:t>.</m:t>
          </m:r>
        </m:oMath>
      </m:oMathPara>
    </w:p>
    <w:p>
      <w:pPr>
        <w:pStyle w:val="FirstParagraph"/>
      </w:pPr>
      <w:r>
        <w:t xml:space="preserve">An estimator receives identical input in these two cases. Its largest error must be at least half the distance between the two possible costs, namely</w:t>
      </w:r>
      <w:r>
        <w:t xml:space="preserve"> </w:t>
      </w:r>
      <m:oMath>
        <m:d>
          <m:dPr>
            <m:begChr m:val="("/>
            <m:endChr m:val=")"/>
            <m:sepChr m:val=""/>
            <m:grow/>
          </m:dPr>
          <m:e>
            <m:r>
              <m:t>2</m:t>
            </m:r>
            <m:r>
              <m:t>m</m:t>
            </m:r>
            <m:r>
              <m:rPr>
                <m:sty m:val="p"/>
              </m:rPr>
              <m:t>−</m:t>
            </m:r>
            <m:r>
              <m:t>3</m:t>
            </m:r>
          </m:e>
        </m:d>
        <m:r>
          <m:t>ε</m:t>
        </m:r>
      </m:oMath>
      <w:r>
        <w:t xml:space="preserve">. Together with (3.2), this proves minimax optimality.</w:t>
      </w:r>
      <w:r>
        <w:t xml:space="preserve"> </w:t>
      </w:r>
      <m:oMath>
        <m:r>
          <m:rPr>
            <m:sty m:val="p"/>
          </m:rPr>
          <m:t>▫</m:t>
        </m:r>
      </m:oMath>
    </w:p>
    <w:p>
      <w:pPr>
        <w:pStyle w:val="BodyText"/>
      </w:pPr>
      <w:r>
        <w:t xml:space="preserve">Formally, let</w:t>
      </w:r>
      <w:r>
        <w:t xml:space="preserve"> </w:t>
      </w:r>
      <m:oMath>
        <m:sSub>
          <m:e>
            <m:r>
              <m:rPr>
                <m:sty m:val="p"/>
                <m:scr m:val="script"/>
              </m:rPr>
              <m:t>C</m:t>
            </m:r>
          </m:e>
          <m:sub>
            <m:r>
              <m:t>m</m:t>
            </m:r>
          </m:sub>
        </m:sSub>
      </m:oMath>
      <w:r>
        <w:t xml:space="preserve"> </w:t>
      </w:r>
      <w:r>
        <w:t xml:space="preserve">be the class of nonnegative rooted-tree cost functions on</w:t>
      </w:r>
      <w:r>
        <w:t xml:space="preserve"> </w:t>
      </w:r>
      <m:oMath>
        <m:r>
          <m:t>m</m:t>
        </m:r>
      </m:oMath>
      <w:r>
        <w:t xml:space="preserve"> </w:t>
      </w:r>
      <w:r>
        <w:t xml:space="preserve">labels, and let</w:t>
      </w:r>
      <w:r>
        <w:t xml:space="preserve"> </w:t>
      </w:r>
      <m:oMath>
        <m:r>
          <m:t>D</m:t>
        </m:r>
        <m:d>
          <m:dPr>
            <m:begChr m:val="("/>
            <m:endChr m:val=")"/>
            <m:sepChr m:val=""/>
            <m:grow/>
          </m:dPr>
          <m:e>
            <m:r>
              <m:t>F</m:t>
            </m:r>
          </m:e>
        </m:d>
      </m:oMath>
      <w:r>
        <w:t xml:space="preserve"> </w:t>
      </w:r>
      <w:r>
        <w:t xml:space="preserve">be the vector of singleton and pair costs. Then</w:t>
      </w:r>
    </w:p>
    <w:p>
      <w:pPr>
        <w:pStyle w:val="BodyText"/>
        <w:jc w:val="center"/>
      </w:pPr>
      <m:oMath>
        <m:limLow>
          <m:e>
            <m:r>
              <m:rPr>
                <m:sty m:val="p"/>
              </m:rPr>
              <m:t>inf</m:t>
            </m:r>
          </m:e>
          <m:lim>
            <m:r>
              <m:t>R</m:t>
            </m:r>
          </m:lim>
        </m:limLow>
        <m:limLow>
          <m:e>
            <m:r>
              <m:rPr>
                <m:sty m:val="p"/>
              </m:rPr>
              <m:t>sup</m:t>
            </m:r>
          </m:e>
          <m:lim>
            <m:m>
              <m:mPr>
                <m:baseJc m:val="center"/>
                <m:plcHide m:val="on"/>
                <m:mcs>
                  <m:mc>
                    <m:mcPr>
                      <m:mcJc m:val="center"/>
                      <m:count m:val="1"/>
                    </m:mcPr>
                  </m:mc>
                </m:mcs>
              </m:mPr>
              <m:mr>
                <m:e>
                  <m:r>
                    <m:t>F</m:t>
                  </m:r>
                  <m:r>
                    <m:rPr>
                      <m:sty m:val="p"/>
                    </m:rPr>
                    <m:t>∈</m:t>
                  </m:r>
                  <m:sSub>
                    <m:e>
                      <m:r>
                        <m:rPr>
                          <m:sty m:val="p"/>
                          <m:scr m:val="script"/>
                        </m:rPr>
                        <m:t>C</m:t>
                      </m:r>
                    </m:e>
                    <m:sub>
                      <m:r>
                        <m:t>m</m:t>
                      </m:r>
                    </m:sub>
                  </m:sSub>
                  <m:r>
                    <m:rPr>
                      <m:sty m:val="p"/>
                    </m:rPr>
                    <m:t>,</m:t>
                  </m:r>
                  <m:r>
                    <m:t> </m:t>
                  </m:r>
                  <m:r>
                    <m:t>z</m:t>
                  </m:r>
                </m:e>
              </m:mr>
              <m:mr>
                <m:e>
                  <m:r>
                    <m:rPr>
                      <m:sty m:val="p"/>
                    </m:rPr>
                    <m:t>∥</m:t>
                  </m:r>
                  <m:r>
                    <m:t>z</m:t>
                  </m:r>
                  <m:r>
                    <m:rPr>
                      <m:sty m:val="p"/>
                    </m:rPr>
                    <m:t>−</m:t>
                  </m:r>
                  <m:r>
                    <m:t>D</m:t>
                  </m:r>
                  <m:d>
                    <m:dPr>
                      <m:begChr m:val="("/>
                      <m:endChr m:val=")"/>
                      <m:sepChr m:val=""/>
                      <m:grow/>
                    </m:dPr>
                    <m:e>
                      <m:r>
                        <m:t>F</m:t>
                      </m:r>
                    </m:e>
                  </m:d>
                  <m:sSub>
                    <m:e>
                      <m:r>
                        <m:rPr>
                          <m:sty m:val="p"/>
                        </m:rPr>
                        <m:t>∥</m:t>
                      </m:r>
                    </m:e>
                    <m:sub>
                      <m:r>
                        <m:rPr>
                          <m:sty m:val="p"/>
                        </m:rPr>
                        <m:t>∞</m:t>
                      </m:r>
                    </m:sub>
                  </m:sSub>
                  <m:r>
                    <m:rPr>
                      <m:sty m:val="p"/>
                    </m:rPr>
                    <m:t>≤</m:t>
                  </m:r>
                  <m:r>
                    <m:t>ε</m:t>
                  </m:r>
                </m:e>
              </m:mr>
            </m:m>
          </m:lim>
        </m:limLow>
        <m:d>
          <m:dPr>
            <m:begChr m:val="|"/>
            <m:endChr m:val="|"/>
            <m:sepChr m:val=""/>
            <m:grow/>
          </m:dPr>
          <m:e>
            <m:r>
              <m:t>R</m:t>
            </m:r>
            <m:d>
              <m:dPr>
                <m:begChr m:val="("/>
                <m:endChr m:val=")"/>
                <m:sepChr m:val=""/>
                <m:grow/>
              </m:dPr>
              <m:e>
                <m:r>
                  <m:t>z</m:t>
                </m:r>
              </m:e>
            </m:d>
            <m:r>
              <m:rPr>
                <m:sty m:val="p"/>
              </m:rPr>
              <m:t>−</m:t>
            </m:r>
            <m:r>
              <m:t>F</m:t>
            </m:r>
            <m:d>
              <m:dPr>
                <m:begChr m:val="("/>
                <m:endChr m:val=")"/>
                <m:sepChr m:val=""/>
                <m:grow/>
              </m:dPr>
              <m:e>
                <m:r>
                  <m:t>N</m:t>
                </m:r>
              </m:e>
            </m:d>
          </m:e>
        </m:d>
        <m:r>
          <m:rPr>
            <m:sty m:val="p"/>
          </m:rPr>
          <m:t>=</m:t>
        </m:r>
        <m:d>
          <m:dPr>
            <m:begChr m:val="("/>
            <m:endChr m:val=")"/>
            <m:sepChr m:val=""/>
            <m:grow/>
          </m:dPr>
          <m:e>
            <m:r>
              <m:t>2</m:t>
            </m:r>
            <m:r>
              <m:t>m</m:t>
            </m:r>
            <m:r>
              <m:rPr>
                <m:sty m:val="p"/>
              </m:rPr>
              <m:t>−</m:t>
            </m:r>
            <m:r>
              <m:t>3</m:t>
            </m:r>
          </m:e>
        </m:d>
        <m:r>
          <m:t>ε</m:t>
        </m:r>
        <m:r>
          <m:rPr>
            <m:sty m:val="p"/>
          </m:rPr>
          <m:t>,</m:t>
        </m:r>
        <m:r>
          <m:t> </m:t>
        </m:r>
        <m:r>
          <m:t> </m:t>
        </m:r>
        <m:r>
          <m:t>m</m:t>
        </m:r>
        <m:r>
          <m:rPr>
            <m:sty m:val="p"/>
          </m:rPr>
          <m:t>≥</m:t>
        </m:r>
        <m:r>
          <m:t>2</m:t>
        </m:r>
        <m:r>
          <m:rPr>
            <m:sty m:val="p"/>
          </m:rPr>
          <m:t>.</m:t>
        </m:r>
      </m:oMath>
      <w:r>
        <w:t xml:space="preserve">     (3.3)</w:t>
      </w:r>
    </w:p>
    <w:p>
      <w:pPr>
        <w:pStyle w:val="BodyText"/>
      </w:pPr>
      <w:r>
        <w:t xml:space="preserve">The infimum ranges over estimators</w:t>
      </w:r>
      <w:r>
        <w:t xml:space="preserve"> </w:t>
      </w:r>
      <m:oMath>
        <m:r>
          <m:t>R</m:t>
        </m:r>
      </m:oMath>
      <w:r>
        <w:t xml:space="preserve">.</w:t>
      </w:r>
    </w:p>
    <w:p>
      <w:pPr>
        <w:pStyle w:val="BodyText"/>
        <w:keepNext/>
        <w:spacing w:before="180"/>
      </w:pPr>
      <w:r>
        <w:rPr>
          <w:bCs/>
          <w:b/>
        </w:rPr>
        <w:t xml:space="preserve">Corollary 3.2 — Unequal singleton and pair tolerances.</w:t>
      </w:r>
      <w:r>
        <w:t xml:space="preserve"> </w:t>
      </w:r>
      <w:r>
        <w:t xml:space="preserve">If singleton errors are bounded by</w:t>
      </w:r>
      <w:r>
        <w:t xml:space="preserve"> </w:t>
      </w:r>
      <m:oMath>
        <m:sSub>
          <m:e>
            <m:r>
              <m:t>ε</m:t>
            </m:r>
          </m:e>
          <m:sub>
            <m:r>
              <m:t>1</m:t>
            </m:r>
          </m:sub>
        </m:sSub>
      </m:oMath>
      <w:r>
        <w:t xml:space="preserve"> </w:t>
      </w:r>
      <w:r>
        <w:t xml:space="preserve">and pair errors by</w:t>
      </w:r>
      <w:r>
        <w:t xml:space="preserve"> </w:t>
      </w:r>
      <m:oMath>
        <m:sSub>
          <m:e>
            <m:r>
              <m:t>ε</m:t>
            </m:r>
          </m:e>
          <m:sub>
            <m:r>
              <m:t>2</m:t>
            </m:r>
          </m:sub>
        </m:sSub>
      </m:oMath>
      <w:r>
        <w:t xml:space="preserve">, the sharp recovery radius for</w:t>
      </w:r>
      <w:r>
        <w:t xml:space="preserve"> </w:t>
      </w:r>
      <m:oMath>
        <m:r>
          <m:t>m</m:t>
        </m:r>
        <m:r>
          <m:rPr>
            <m:sty m:val="p"/>
          </m:rPr>
          <m:t>≥</m:t>
        </m:r>
        <m:r>
          <m:t>2</m:t>
        </m:r>
      </m:oMath>
      <w:r>
        <w:t xml:space="preserve"> </w:t>
      </w:r>
      <w:r>
        <w:t xml:space="preserve">is</w:t>
      </w:r>
    </w:p>
    <w:p>
      <w:pPr>
        <w:pStyle w:val="BodyText"/>
      </w:pPr>
      <m:oMathPara>
        <m:oMathParaPr>
          <m:jc m:val="center"/>
        </m:oMathParaPr>
        <m:oMath>
          <m:sSub>
            <m:e>
              <m:r>
                <m:t>d</m:t>
              </m:r>
            </m:e>
            <m:sub>
              <m:r>
                <m:t>m</m:t>
              </m:r>
            </m:sub>
          </m:sSub>
          <m:r>
            <m:rPr>
              <m:sty m:val="p"/>
            </m:rPr>
            <m:t>=</m:t>
          </m:r>
          <m:d>
            <m:dPr>
              <m:begChr m:val="("/>
              <m:endChr m:val=")"/>
              <m:sepChr m:val=""/>
              <m:grow/>
            </m:dPr>
            <m:e>
              <m:r>
                <m:t>m</m:t>
              </m:r>
              <m:r>
                <m:rPr>
                  <m:sty m:val="p"/>
                </m:rPr>
                <m:t>−</m:t>
              </m:r>
              <m:r>
                <m:t>2</m:t>
              </m:r>
            </m:e>
          </m:d>
          <m:sSub>
            <m:e>
              <m:r>
                <m:t>ε</m:t>
              </m:r>
            </m:e>
            <m:sub>
              <m:r>
                <m:t>1</m:t>
              </m:r>
            </m:sub>
          </m:sSub>
          <m:r>
            <m:rPr>
              <m:sty m:val="p"/>
            </m:rPr>
            <m:t>+</m:t>
          </m:r>
          <m:d>
            <m:dPr>
              <m:begChr m:val="("/>
              <m:endChr m:val=")"/>
              <m:sepChr m:val=""/>
              <m:grow/>
            </m:dPr>
            <m:e>
              <m:r>
                <m:t>m</m:t>
              </m:r>
              <m:r>
                <m:rPr>
                  <m:sty m:val="p"/>
                </m:rPr>
                <m:t>−</m:t>
              </m:r>
              <m:r>
                <m:t>1</m:t>
              </m:r>
            </m:e>
          </m:d>
          <m:sSub>
            <m:e>
              <m:r>
                <m:t>ε</m:t>
              </m:r>
            </m:e>
            <m:sub>
              <m:r>
                <m:t>2</m:t>
              </m:r>
            </m:sub>
          </m:sSub>
          <m:r>
            <m:rPr>
              <m:sty m:val="p"/>
            </m:rPr>
            <m:t>.</m:t>
          </m:r>
        </m:oMath>
      </m:oMathPara>
    </w:p>
    <w:p>
      <w:pPr>
        <w:pStyle w:val="FirstParagraph"/>
      </w:pPr>
      <w:r>
        <w:rPr>
          <w:iCs/>
          <w:i/>
        </w:rPr>
        <w:t xml:space="preserve">Proof.</w:t>
      </w:r>
      <w:r>
        <w:t xml:space="preserve"> </w:t>
      </w:r>
      <w:r>
        <w:t xml:space="preserve">The coefficient count in Theorem 3.1 gives the upper bound. For the lower bound, choose</w:t>
      </w:r>
      <w:r>
        <w:t xml:space="preserve"> </w:t>
      </w:r>
      <m:oMath>
        <m:r>
          <m:t>a</m:t>
        </m:r>
        <m:r>
          <m:rPr>
            <m:sty m:val="p"/>
          </m:rPr>
          <m:t>&gt;</m:t>
        </m:r>
        <m:r>
          <m:t>2</m:t>
        </m:r>
        <m:sSub>
          <m:e>
            <m:r>
              <m:t>ε</m:t>
            </m:r>
          </m:e>
          <m:sub>
            <m:r>
              <m:t>1</m:t>
            </m:r>
          </m:sub>
        </m:sSub>
        <m:r>
          <m:rPr>
            <m:sty m:val="p"/>
          </m:rPr>
          <m:t>+</m:t>
        </m:r>
        <m:sSub>
          <m:e>
            <m:r>
              <m:t>ε</m:t>
            </m:r>
          </m:e>
          <m:sub>
            <m:r>
              <m:t>2</m:t>
            </m:r>
          </m:sub>
        </m:sSub>
      </m:oMath>
      <w:r>
        <w:t xml:space="preserve"> </w:t>
      </w:r>
      <w:r>
        <w:t xml:space="preserve">and</w:t>
      </w:r>
      <w:r>
        <w:t xml:space="preserve"> </w:t>
      </w:r>
      <m:oMath>
        <m:r>
          <m:t>b</m:t>
        </m:r>
        <m:r>
          <m:rPr>
            <m:sty m:val="p"/>
          </m:rPr>
          <m:t>&gt;</m:t>
        </m:r>
        <m:sSub>
          <m:e>
            <m:r>
              <m:t>ε</m:t>
            </m:r>
          </m:e>
          <m:sub>
            <m:r>
              <m:t>1</m:t>
            </m:r>
          </m:sub>
        </m:sSub>
        <m:r>
          <m:rPr>
            <m:sty m:val="p"/>
          </m:rPr>
          <m:t>+</m:t>
        </m:r>
        <m:sSub>
          <m:e>
            <m:r>
              <m:t>ε</m:t>
            </m:r>
          </m:e>
          <m:sub>
            <m:r>
              <m:t>2</m:t>
            </m:r>
          </m:sub>
        </m:sSub>
      </m:oMath>
      <w:r>
        <w:t xml:space="preserve">. Starting with a common trunk</w:t>
      </w:r>
      <w:r>
        <w:t xml:space="preserve"> </w:t>
      </w:r>
      <m:oMath>
        <m:r>
          <m:t>a</m:t>
        </m:r>
      </m:oMath>
      <w:r>
        <w:t xml:space="preserve"> </w:t>
      </w:r>
      <w:r>
        <w:t xml:space="preserve">and equal pendants</w:t>
      </w:r>
      <w:r>
        <w:t xml:space="preserve"> </w:t>
      </w:r>
      <m:oMath>
        <m:r>
          <m:t>b</m:t>
        </m:r>
      </m:oMath>
      <w:r>
        <w:t xml:space="preserve">, use true trees with parameters</w:t>
      </w:r>
    </w:p>
    <w:p>
      <w:pPr>
        <w:pStyle w:val="BodyText"/>
      </w:pPr>
      <m:oMathPara>
        <m:oMathParaPr>
          <m:jc m:val="center"/>
        </m:oMathParaPr>
        <m:oMath>
          <m:sSub>
            <m:e>
              <m:r>
                <m:t>a</m:t>
              </m:r>
            </m:e>
            <m:sub>
              <m:r>
                <m:rPr>
                  <m:sty m:val="p"/>
                </m:rPr>
                <m:t>±</m:t>
              </m:r>
            </m:sub>
          </m:sSub>
          <m:r>
            <m:rPr>
              <m:sty m:val="p"/>
            </m:rPr>
            <m:t>=</m:t>
          </m:r>
          <m:r>
            <m:t>a</m:t>
          </m:r>
          <m:r>
            <m:rPr>
              <m:sty m:val="p"/>
            </m:rPr>
            <m:t>∓</m:t>
          </m:r>
          <m:d>
            <m:dPr>
              <m:begChr m:val="("/>
              <m:endChr m:val=")"/>
              <m:sepChr m:val=""/>
              <m:grow/>
            </m:dPr>
            <m:e>
              <m:r>
                <m:t>2</m:t>
              </m:r>
              <m:sSub>
                <m:e>
                  <m:r>
                    <m:t>ε</m:t>
                  </m:r>
                </m:e>
                <m:sub>
                  <m:r>
                    <m:t>1</m:t>
                  </m:r>
                </m:sub>
              </m:sSub>
              <m:r>
                <m:rPr>
                  <m:sty m:val="p"/>
                </m:rPr>
                <m:t>+</m:t>
              </m:r>
              <m:sSub>
                <m:e>
                  <m:r>
                    <m:t>ε</m:t>
                  </m:r>
                </m:e>
                <m:sub>
                  <m:r>
                    <m:t>2</m:t>
                  </m:r>
                </m:sub>
              </m:sSub>
            </m:e>
          </m:d>
          <m:r>
            <m:rPr>
              <m:sty m:val="p"/>
            </m:rPr>
            <m:t>,</m:t>
          </m:r>
          <m:r>
            <m:t>  </m:t>
          </m:r>
          <m:sSub>
            <m:e>
              <m:r>
                <m:t>b</m:t>
              </m:r>
            </m:e>
            <m:sub>
              <m:r>
                <m:rPr>
                  <m:sty m:val="p"/>
                </m:rPr>
                <m:t>±</m:t>
              </m:r>
            </m:sub>
          </m:sSub>
          <m:r>
            <m:rPr>
              <m:sty m:val="p"/>
            </m:rPr>
            <m:t>=</m:t>
          </m:r>
          <m:r>
            <m:t>b</m:t>
          </m:r>
          <m:r>
            <m:rPr>
              <m:sty m:val="p"/>
            </m:rPr>
            <m:t>±</m:t>
          </m:r>
          <m:d>
            <m:dPr>
              <m:begChr m:val="("/>
              <m:endChr m:val=")"/>
              <m:sepChr m:val=""/>
              <m:grow/>
            </m:dPr>
            <m:e>
              <m:sSub>
                <m:e>
                  <m:r>
                    <m:t>ε</m:t>
                  </m:r>
                </m:e>
                <m:sub>
                  <m:r>
                    <m:t>1</m:t>
                  </m:r>
                </m:sub>
              </m:sSub>
              <m:r>
                <m:rPr>
                  <m:sty m:val="p"/>
                </m:rPr>
                <m:t>+</m:t>
              </m:r>
              <m:sSub>
                <m:e>
                  <m:r>
                    <m:t>ε</m:t>
                  </m:r>
                </m:e>
                <m:sub>
                  <m:r>
                    <m:t>2</m:t>
                  </m:r>
                </m:sub>
              </m:sSub>
            </m:e>
          </m:d>
          <m:r>
            <m:rPr>
              <m:sty m:val="p"/>
            </m:rPr>
            <m:t>.</m:t>
          </m:r>
        </m:oMath>
      </m:oMathPara>
    </w:p>
    <w:p>
      <w:pPr>
        <w:pStyle w:val="FirstParagraph"/>
      </w:pPr>
      <w:r>
        <w:t xml:space="preserve">Their singleton deviations from the central measurements are</w:t>
      </w:r>
      <w:r>
        <w:t xml:space="preserve"> </w:t>
      </w:r>
      <m:oMath>
        <m:r>
          <m:rPr>
            <m:sty m:val="p"/>
          </m:rPr>
          <m:t>∓</m:t>
        </m:r>
        <m:sSub>
          <m:e>
            <m:r>
              <m:t>ε</m:t>
            </m:r>
          </m:e>
          <m:sub>
            <m:r>
              <m:t>1</m:t>
            </m:r>
          </m:sub>
        </m:sSub>
      </m:oMath>
      <w:r>
        <w:t xml:space="preserve">, their pair deviations are</w:t>
      </w:r>
      <w:r>
        <w:t xml:space="preserve"> </w:t>
      </w:r>
      <m:oMath>
        <m:r>
          <m:rPr>
            <m:sty m:val="p"/>
          </m:rPr>
          <m:t>±</m:t>
        </m:r>
        <m:sSub>
          <m:e>
            <m:r>
              <m:t>ε</m:t>
            </m:r>
          </m:e>
          <m:sub>
            <m:r>
              <m:t>2</m:t>
            </m:r>
          </m:sub>
        </m:sSub>
      </m:oMath>
      <w:r>
        <w:t xml:space="preserve">, and their full-set costs differ by</w:t>
      </w:r>
      <w:r>
        <w:t xml:space="preserve"> </w:t>
      </w:r>
      <m:oMath>
        <m:r>
          <m:t>2</m:t>
        </m:r>
        <m:sSub>
          <m:e>
            <m:r>
              <m:t>d</m:t>
            </m:r>
          </m:e>
          <m:sub>
            <m:r>
              <m:t>m</m:t>
            </m:r>
          </m:sub>
        </m:sSub>
      </m:oMath>
      <w:r>
        <w:t xml:space="preserve">. The same indistinguishability argument proves the lower bound.</w:t>
      </w:r>
      <w:r>
        <w:t xml:space="preserve"> </w:t>
      </w:r>
      <m:oMath>
        <m:r>
          <m:rPr>
            <m:sty m:val="p"/>
          </m:rPr>
          <m:t>▫</m:t>
        </m:r>
      </m:oMath>
    </w:p>
    <w:bookmarkEnd w:id="27"/>
    <w:bookmarkStart w:id="28" w:name="a-feasible-repair"/>
    <w:p>
      <w:pPr>
        <w:pStyle w:val="Heading2"/>
      </w:pPr>
      <w:r>
        <w:t xml:space="preserve">3.2. A feasible repair</w:t>
      </w:r>
    </w:p>
    <w:p>
      <w:pPr>
        <w:pStyle w:val="FirstParagraph"/>
      </w:pPr>
      <w:r>
        <w:t xml:space="preserve">The direct estimate</w:t>
      </w:r>
      <w:r>
        <w:t xml:space="preserve"> </w:t>
      </w:r>
      <m:oMath>
        <m:r>
          <m:t>H</m:t>
        </m:r>
      </m:oMath>
      <w:r>
        <w:t xml:space="preserve"> </w:t>
      </w:r>
      <w:r>
        <w:t xml:space="preserve">can be nonmonotone when measurements are incompatible. A physical network representation can instead be obtained by repairing the overlaps.</w:t>
      </w:r>
    </w:p>
    <w:p>
      <w:pPr>
        <w:pStyle w:val="BodyText"/>
      </w:pPr>
      <w:r>
        <w:t xml:space="preserve">Define</w:t>
      </w:r>
    </w:p>
    <w:p>
      <w:pPr>
        <w:pStyle w:val="BodyText"/>
      </w:pPr>
      <m:oMathPara>
        <m:oMathParaPr>
          <m:jc m:val="center"/>
        </m:oMathParaPr>
        <m:oMath>
          <m:sSub>
            <m:e>
              <m:acc>
                <m:accPr>
                  <m:chr m:val="̂"/>
                </m:accPr>
                <m:e>
                  <m:r>
                    <m:t>c</m:t>
                  </m:r>
                </m:e>
              </m:acc>
            </m:e>
            <m:sub>
              <m:r>
                <m:t>i</m:t>
              </m:r>
            </m:sub>
          </m:sSub>
          <m:r>
            <m:rPr>
              <m:sty m:val="p"/>
            </m:rPr>
            <m:t>=</m:t>
          </m:r>
          <m:r>
            <m:rPr>
              <m:sty m:val="p"/>
            </m:rPr>
            <m:t>max</m:t>
          </m:r>
          <m:d>
            <m:dPr>
              <m:begChr m:val="("/>
              <m:endChr m:val=")"/>
              <m:sepChr m:val=""/>
              <m:grow/>
            </m:dPr>
            <m:e>
              <m:r>
                <m:t>0</m:t>
              </m:r>
              <m:r>
                <m:rPr>
                  <m:sty m:val="p"/>
                </m:rPr>
                <m:t>,</m:t>
              </m:r>
              <m:sSub>
                <m:e>
                  <m:acc>
                    <m:accPr>
                      <m:chr m:val="̃"/>
                    </m:accPr>
                    <m:e>
                      <m:r>
                        <m:t>c</m:t>
                      </m:r>
                    </m:e>
                  </m:acc>
                </m:e>
                <m:sub>
                  <m:r>
                    <m:t>i</m:t>
                  </m:r>
                </m:sub>
              </m:sSub>
            </m:e>
          </m:d>
          <m:r>
            <m:rPr>
              <m:sty m:val="p"/>
            </m:rPr>
            <m:t>,</m:t>
          </m:r>
        </m:oMath>
      </m:oMathPara>
    </w:p>
    <w:p>
      <w:pPr>
        <w:pStyle w:val="FirstParagraph"/>
        <w:jc w:val="center"/>
      </w:pPr>
      <m:oMath>
        <m:sSub>
          <m:e>
            <m:r>
              <m:t>u</m:t>
            </m:r>
          </m:e>
          <m:sub>
            <m:r>
              <m:t>i</m:t>
            </m:r>
            <m:r>
              <m:t>j</m:t>
            </m:r>
          </m:sub>
        </m:sSub>
        <m:r>
          <m:rPr>
            <m:sty m:val="p"/>
          </m:rPr>
          <m:t>=</m:t>
        </m:r>
        <m:r>
          <m:rPr>
            <m:sty m:val="p"/>
          </m:rPr>
          <m:t>min</m:t>
        </m:r>
        <m:r>
          <m:rPr>
            <m:sty m:val="p"/>
          </m:rPr>
          <m:t>{</m:t>
        </m:r>
        <m:sSub>
          <m:e>
            <m:acc>
              <m:accPr>
                <m:chr m:val="̂"/>
              </m:accPr>
              <m:e>
                <m:r>
                  <m:t>c</m:t>
                </m:r>
              </m:e>
            </m:acc>
          </m:e>
          <m:sub>
            <m:r>
              <m:t>i</m:t>
            </m:r>
          </m:sub>
        </m:sSub>
        <m:r>
          <m:rPr>
            <m:sty m:val="p"/>
          </m:rPr>
          <m:t>,</m:t>
        </m:r>
        <m:sSub>
          <m:e>
            <m:acc>
              <m:accPr>
                <m:chr m:val="̂"/>
              </m:accPr>
              <m:e>
                <m:r>
                  <m:t>c</m:t>
                </m:r>
              </m:e>
            </m:acc>
          </m:e>
          <m:sub>
            <m:r>
              <m:t>j</m:t>
            </m:r>
          </m:sub>
        </m:sSub>
        <m:r>
          <m:rPr>
            <m:sty m:val="p"/>
          </m:rPr>
          <m:t>,</m:t>
        </m:r>
        <m:r>
          <m:rPr>
            <m:sty m:val="p"/>
          </m:rPr>
          <m:t>max</m:t>
        </m:r>
        <m:d>
          <m:dPr>
            <m:begChr m:val="("/>
            <m:endChr m:val=")"/>
            <m:sepChr m:val=""/>
            <m:grow/>
          </m:dPr>
          <m:e>
            <m:r>
              <m:t>0</m:t>
            </m:r>
            <m:r>
              <m:rPr>
                <m:sty m:val="p"/>
              </m:rPr>
              <m:t>,</m:t>
            </m:r>
            <m:sSub>
              <m:e>
                <m:acc>
                  <m:accPr>
                    <m:chr m:val="̃"/>
                  </m:accPr>
                  <m:e>
                    <m:r>
                      <m:t>c</m:t>
                    </m:r>
                  </m:e>
                </m:acc>
              </m:e>
              <m:sub>
                <m:r>
                  <m:t>i</m:t>
                </m:r>
              </m:sub>
            </m:sSub>
            <m:r>
              <m:rPr>
                <m:sty m:val="p"/>
              </m:rPr>
              <m:t>+</m:t>
            </m:r>
            <m:sSub>
              <m:e>
                <m:acc>
                  <m:accPr>
                    <m:chr m:val="̃"/>
                  </m:accPr>
                  <m:e>
                    <m:r>
                      <m:t>c</m:t>
                    </m:r>
                  </m:e>
                </m:acc>
              </m:e>
              <m:sub>
                <m:r>
                  <m:t>j</m:t>
                </m:r>
              </m:sub>
            </m:sSub>
            <m:r>
              <m:rPr>
                <m:sty m:val="p"/>
              </m:rPr>
              <m:t>−</m:t>
            </m:r>
            <m:sSub>
              <m:e>
                <m:acc>
                  <m:accPr>
                    <m:chr m:val="̃"/>
                  </m:accPr>
                  <m:e>
                    <m:r>
                      <m:t>c</m:t>
                    </m:r>
                  </m:e>
                </m:acc>
              </m:e>
              <m:sub>
                <m:r>
                  <m:t>i</m:t>
                </m:r>
                <m:r>
                  <m:t>j</m:t>
                </m:r>
              </m:sub>
            </m:sSub>
          </m:e>
        </m:d>
        <m:r>
          <m:rPr>
            <m:sty m:val="p"/>
          </m:rPr>
          <m:t>}</m:t>
        </m:r>
        <m:r>
          <m:rPr>
            <m:sty m:val="p"/>
          </m:rPr>
          <m:t>.</m:t>
        </m:r>
      </m:oMath>
      <w:r>
        <w:t xml:space="preserve">     (3.4)</w:t>
      </w:r>
    </w:p>
    <w:p>
      <w:pPr>
        <w:pStyle w:val="BodyText"/>
      </w:pPr>
      <w:r>
        <w:t xml:space="preserve">For distinct</w:t>
      </w:r>
      <w:r>
        <w:t xml:space="preserve"> </w:t>
      </w:r>
      <m:oMath>
        <m:r>
          <m:t>i</m:t>
        </m:r>
        <m:r>
          <m:rPr>
            <m:sty m:val="p"/>
          </m:rPr>
          <m:t>,</m:t>
        </m:r>
        <m:r>
          <m:t>j</m:t>
        </m:r>
      </m:oMath>
      <w:r>
        <w:t xml:space="preserve">, define the maximum-bottleneck closure</w:t>
      </w:r>
    </w:p>
    <w:p>
      <w:pPr>
        <w:pStyle w:val="BodyText"/>
        <w:jc w:val="center"/>
      </w:pPr>
      <m:oMath>
        <m:sSub>
          <m:e>
            <m:acc>
              <m:accPr>
                <m:chr m:val="̂"/>
              </m:accPr>
              <m:e>
                <m:r>
                  <m:t>o</m:t>
                </m:r>
              </m:e>
            </m:acc>
          </m:e>
          <m:sub>
            <m:r>
              <m:t>i</m:t>
            </m:r>
            <m:r>
              <m:t>j</m:t>
            </m:r>
          </m:sub>
        </m:sSub>
        <m:r>
          <m:rPr>
            <m:sty m:val="p"/>
          </m:rPr>
          <m:t>=</m:t>
        </m:r>
        <m:limLow>
          <m:e>
            <m:r>
              <m:rPr>
                <m:sty m:val="p"/>
              </m:rPr>
              <m:t>max</m:t>
            </m:r>
          </m:e>
          <m:lim>
            <m:r>
              <m:t>γ</m:t>
            </m:r>
            <m:r>
              <m:rPr>
                <m:sty m:val="p"/>
              </m:rPr>
              <m:t>:</m:t>
            </m:r>
            <m:r>
              <m:t>i</m:t>
            </m:r>
            <m:r>
              <m:rPr>
                <m:sty m:val="p"/>
              </m:rPr>
              <m:t>⤳</m:t>
            </m:r>
            <m:r>
              <m:t>j</m:t>
            </m:r>
          </m:lim>
        </m:limLow>
        <m:d>
          <m:dPr>
            <m:begChr m:val="{"/>
            <m:endChr m:val="}"/>
            <m:sepChr m:val=""/>
            <m:grow/>
          </m:dPr>
          <m:e>
            <m:limLow>
              <m:e>
                <m:r>
                  <m:rPr>
                    <m:sty m:val="p"/>
                  </m:rPr>
                  <m:t>min</m:t>
                </m:r>
              </m:e>
              <m:lim>
                <m:r>
                  <m:rPr>
                    <m:sty m:val="p"/>
                  </m:rPr>
                  <m:t>{</m:t>
                </m:r>
                <m:r>
                  <m:t>u</m:t>
                </m:r>
                <m:r>
                  <m:rPr>
                    <m:sty m:val="p"/>
                  </m:rPr>
                  <m:t>,</m:t>
                </m:r>
                <m:r>
                  <m:t>v</m:t>
                </m:r>
                <m:r>
                  <m:rPr>
                    <m:sty m:val="p"/>
                  </m:rPr>
                  <m:t>}</m:t>
                </m:r>
                <m:r>
                  <m:rPr>
                    <m:sty m:val="p"/>
                  </m:rPr>
                  <m:t>∈</m:t>
                </m:r>
                <m:r>
                  <m:t>E</m:t>
                </m:r>
                <m:d>
                  <m:dPr>
                    <m:begChr m:val="("/>
                    <m:endChr m:val=")"/>
                    <m:sepChr m:val=""/>
                    <m:grow/>
                  </m:dPr>
                  <m:e>
                    <m:r>
                      <m:t>γ</m:t>
                    </m:r>
                  </m:e>
                </m:d>
              </m:lim>
            </m:limLow>
            <m:sSub>
              <m:e>
                <m:r>
                  <m:t>u</m:t>
                </m:r>
              </m:e>
              <m:sub>
                <m:r>
                  <m:t>u</m:t>
                </m:r>
                <m:r>
                  <m:t>v</m:t>
                </m:r>
              </m:sub>
            </m:sSub>
          </m:e>
        </m:d>
        <m:r>
          <m:rPr>
            <m:sty m:val="p"/>
          </m:rPr>
          <m:t>,</m:t>
        </m:r>
      </m:oMath>
      <w:r>
        <w:t xml:space="preserve">     (3.5)</w:t>
      </w:r>
    </w:p>
    <w:p>
      <w:pPr>
        <w:pStyle w:val="BodyText"/>
      </w:pPr>
      <w:r>
        <w:t xml:space="preserve">where the maximum is over simple paths in the complete graph. Let</w:t>
      </w:r>
      <w:r>
        <w:t xml:space="preserve"> </w:t>
      </w:r>
      <m:oMath>
        <m:acc>
          <m:accPr>
            <m:chr m:val="̂"/>
          </m:accPr>
          <m:e>
            <m:r>
              <m:t>F</m:t>
            </m:r>
          </m:e>
        </m:acc>
      </m:oMath>
      <w:r>
        <w:t xml:space="preserve"> </w:t>
      </w:r>
      <w:r>
        <w:t xml:space="preserve">be the rooted-tree cost reconstructed from</w:t>
      </w:r>
      <w:r>
        <w:t xml:space="preserve"> </w:t>
      </w:r>
      <m:oMath>
        <m:acc>
          <m:accPr>
            <m:chr m:val="̂"/>
          </m:accPr>
          <m:e>
            <m:r>
              <m:t>c</m:t>
            </m:r>
          </m:e>
        </m:acc>
        <m:r>
          <m:rPr>
            <m:sty m:val="p"/>
          </m:rPr>
          <m:t>,</m:t>
        </m:r>
        <m:acc>
          <m:accPr>
            <m:chr m:val="̂"/>
          </m:accPr>
          <m:e>
            <m:r>
              <m:t>o</m:t>
            </m:r>
          </m:e>
        </m:acc>
      </m:oMath>
      <w:r>
        <w:t xml:space="preserve">.</w:t>
      </w:r>
    </w:p>
    <w:p>
      <w:pPr>
        <w:pStyle w:val="BodyText"/>
        <w:keepNext/>
        <w:spacing w:before="180"/>
      </w:pPr>
      <w:r>
        <w:rPr>
          <w:bCs/>
          <w:b/>
        </w:rPr>
        <w:t xml:space="preserve">Proposition 3.3 — Feasibility and repair error.</w:t>
      </w:r>
      <w:r>
        <w:t xml:space="preserve"> </w:t>
      </w:r>
      <w:r>
        <w:t xml:space="preserve">The repaired table satisfies (2.3). For every nonempty</w:t>
      </w:r>
      <w:r>
        <w:t xml:space="preserve"> </w:t>
      </w:r>
      <m:oMath>
        <m:r>
          <m:t>S</m:t>
        </m:r>
      </m:oMath>
      <w:r>
        <w:t xml:space="preserve">,</w:t>
      </w:r>
    </w:p>
    <w:p>
      <w:pPr>
        <w:pStyle w:val="BodyText"/>
        <w:jc w:val="center"/>
      </w:pPr>
      <m:oMath>
        <m:d>
          <m:dPr>
            <m:begChr m:val="|"/>
            <m:endChr m:val="|"/>
            <m:sepChr m:val=""/>
            <m:grow/>
          </m:dPr>
          <m:e>
            <m:acc>
              <m:accPr>
                <m:chr m:val="̂"/>
              </m:accPr>
              <m:e>
                <m:r>
                  <m:t>F</m:t>
                </m:r>
              </m:e>
            </m:acc>
            <m:d>
              <m:dPr>
                <m:begChr m:val="("/>
                <m:endChr m:val=")"/>
                <m:sepChr m:val=""/>
                <m:grow/>
              </m:dPr>
              <m:e>
                <m:r>
                  <m:t>S</m:t>
                </m:r>
              </m:e>
            </m:d>
            <m:r>
              <m:rPr>
                <m:sty m:val="p"/>
              </m:rPr>
              <m:t>−</m:t>
            </m:r>
            <m:r>
              <m:t>F</m:t>
            </m:r>
            <m:d>
              <m:dPr>
                <m:begChr m:val="("/>
                <m:endChr m:val=")"/>
                <m:sepChr m:val=""/>
                <m:grow/>
              </m:dPr>
              <m:e>
                <m:r>
                  <m:t>S</m:t>
                </m:r>
              </m:e>
            </m:d>
          </m:e>
        </m:d>
        <m:r>
          <m:rPr>
            <m:sty m:val="p"/>
          </m:rPr>
          <m:t>≤</m:t>
        </m:r>
        <m:d>
          <m:dPr>
            <m:begChr m:val="("/>
            <m:endChr m:val=")"/>
            <m:sepChr m:val=""/>
            <m:grow/>
          </m:dPr>
          <m:e>
            <m:r>
              <m:t>4</m:t>
            </m:r>
            <m:d>
              <m:dPr>
                <m:begChr m:val="|"/>
                <m:endChr m:val="|"/>
                <m:sepChr m:val=""/>
                <m:grow/>
              </m:dPr>
              <m:e>
                <m:r>
                  <m:t>S</m:t>
                </m:r>
              </m:e>
            </m:d>
            <m:r>
              <m:rPr>
                <m:sty m:val="p"/>
              </m:rPr>
              <m:t>−</m:t>
            </m:r>
            <m:r>
              <m:t>3</m:t>
            </m:r>
          </m:e>
        </m:d>
        <m:r>
          <m:t>ε</m:t>
        </m:r>
        <m:r>
          <m:rPr>
            <m:sty m:val="p"/>
          </m:rPr>
          <m:t>.</m:t>
        </m:r>
      </m:oMath>
      <w:r>
        <w:t xml:space="preserve">     (3.6)</w:t>
      </w:r>
    </w:p>
    <w:p>
      <w:pPr>
        <w:pStyle w:val="BodyText"/>
      </w:pPr>
      <w:r>
        <w:rPr>
          <w:iCs/>
          <w:i/>
        </w:rPr>
        <w:t xml:space="preserve">Proof.</w:t>
      </w:r>
      <w:r>
        <w:t xml:space="preserve"> </w:t>
      </w:r>
      <w:r>
        <w:t xml:space="preserve">The closure is symmetric and nonnegative. Every path from</w:t>
      </w:r>
      <w:r>
        <w:t xml:space="preserve"> </w:t>
      </w:r>
      <m:oMath>
        <m:r>
          <m:t>i</m:t>
        </m:r>
      </m:oMath>
      <w:r>
        <w:t xml:space="preserve"> </w:t>
      </w:r>
      <w:r>
        <w:t xml:space="preserve">to</w:t>
      </w:r>
      <w:r>
        <w:t xml:space="preserve"> </w:t>
      </w:r>
      <m:oMath>
        <m:r>
          <m:t>j</m:t>
        </m:r>
      </m:oMath>
      <w:r>
        <w:t xml:space="preserve"> </w:t>
      </w:r>
      <w:r>
        <w:t xml:space="preserve">starts with an edge bounded by</w:t>
      </w:r>
      <w:r>
        <w:t xml:space="preserve"> </w:t>
      </w:r>
      <m:oMath>
        <m:sSub>
          <m:e>
            <m:acc>
              <m:accPr>
                <m:chr m:val="̂"/>
              </m:accPr>
              <m:e>
                <m:r>
                  <m:t>c</m:t>
                </m:r>
              </m:e>
            </m:acc>
          </m:e>
          <m:sub>
            <m:r>
              <m:t>i</m:t>
            </m:r>
          </m:sub>
        </m:sSub>
      </m:oMath>
      <w:r>
        <w:t xml:space="preserve"> </w:t>
      </w:r>
      <w:r>
        <w:t xml:space="preserve">and ends with one bounded by</w:t>
      </w:r>
      <w:r>
        <w:t xml:space="preserve"> </w:t>
      </w:r>
      <m:oMath>
        <m:sSub>
          <m:e>
            <m:acc>
              <m:accPr>
                <m:chr m:val="̂"/>
              </m:accPr>
              <m:e>
                <m:r>
                  <m:t>c</m:t>
                </m:r>
              </m:e>
            </m:acc>
          </m:e>
          <m:sub>
            <m:r>
              <m:t>j</m:t>
            </m:r>
          </m:sub>
        </m:sSub>
      </m:oMath>
      <w:r>
        <w:t xml:space="preserve">. Hence</w:t>
      </w:r>
    </w:p>
    <w:p>
      <w:pPr>
        <w:pStyle w:val="BodyText"/>
      </w:pPr>
      <m:oMathPara>
        <m:oMathParaPr>
          <m:jc m:val="center"/>
        </m:oMathParaPr>
        <m:oMath>
          <m:sSub>
            <m:e>
              <m:acc>
                <m:accPr>
                  <m:chr m:val="̂"/>
                </m:accPr>
                <m:e>
                  <m:r>
                    <m:t>o</m:t>
                  </m:r>
                </m:e>
              </m:acc>
            </m:e>
            <m:sub>
              <m:r>
                <m:t>i</m:t>
              </m:r>
              <m:r>
                <m:t>j</m:t>
              </m:r>
            </m:sub>
          </m:sSub>
          <m:r>
            <m:rPr>
              <m:sty m:val="p"/>
            </m:rPr>
            <m:t>≤</m:t>
          </m:r>
          <m:r>
            <m:rPr>
              <m:sty m:val="p"/>
            </m:rPr>
            <m:t>min</m:t>
          </m:r>
          <m:d>
            <m:dPr>
              <m:begChr m:val="("/>
              <m:endChr m:val=")"/>
              <m:sepChr m:val=""/>
              <m:grow/>
            </m:dPr>
            <m:e>
              <m:sSub>
                <m:e>
                  <m:acc>
                    <m:accPr>
                      <m:chr m:val="̂"/>
                    </m:accPr>
                    <m:e>
                      <m:r>
                        <m:t>c</m:t>
                      </m:r>
                    </m:e>
                  </m:acc>
                </m:e>
                <m:sub>
                  <m:r>
                    <m:t>i</m:t>
                  </m:r>
                </m:sub>
              </m:sSub>
              <m:r>
                <m:rPr>
                  <m:sty m:val="p"/>
                </m:rPr>
                <m:t>,</m:t>
              </m:r>
              <m:sSub>
                <m:e>
                  <m:acc>
                    <m:accPr>
                      <m:chr m:val="̂"/>
                    </m:accPr>
                    <m:e>
                      <m:r>
                        <m:t>c</m:t>
                      </m:r>
                    </m:e>
                  </m:acc>
                </m:e>
                <m:sub>
                  <m:r>
                    <m:t>j</m:t>
                  </m:r>
                </m:sub>
              </m:sSub>
            </m:e>
          </m:d>
          <m:r>
            <m:rPr>
              <m:sty m:val="p"/>
            </m:rPr>
            <m:t>.</m:t>
          </m:r>
        </m:oMath>
      </m:oMathPara>
    </w:p>
    <w:p>
      <w:pPr>
        <w:pStyle w:val="FirstParagraph"/>
      </w:pPr>
      <w:r>
        <w:t xml:space="preserve">Concatenating paths through</w:t>
      </w:r>
      <w:r>
        <w:t xml:space="preserve"> </w:t>
      </w:r>
      <m:oMath>
        <m:r>
          <m:t>k</m:t>
        </m:r>
      </m:oMath>
      <w:r>
        <w:t xml:space="preserve">, and removing loops without reducing the bottleneck, proves the final inequality in (2.3).</w:t>
      </w:r>
    </w:p>
    <w:p>
      <w:pPr>
        <w:pStyle w:val="BodyText"/>
      </w:pPr>
      <w:r>
        <w:t xml:space="preserve">Singleton clipping has error at most</w:t>
      </w:r>
      <w:r>
        <w:t xml:space="preserve"> </w:t>
      </w:r>
      <m:oMath>
        <m:r>
          <m:t>ε</m:t>
        </m:r>
      </m:oMath>
      <w:r>
        <w:t xml:space="preserve">. Raw overlap errors are at most</w:t>
      </w:r>
      <w:r>
        <w:t xml:space="preserve"> </w:t>
      </w:r>
      <m:oMath>
        <m:r>
          <m:t>3</m:t>
        </m:r>
        <m:r>
          <m:t>ε</m:t>
        </m:r>
      </m:oMath>
      <w:r>
        <w:t xml:space="preserve">. The clipping in (3.4) preserves this bound because minimum and maximum are nonexpansive in the sup norm.</w:t>
      </w:r>
    </w:p>
    <w:p>
      <w:pPr>
        <w:pStyle w:val="BodyText"/>
      </w:pPr>
      <w:r>
        <w:t xml:space="preserve">The maximum-bottleneck operation is also nonexpansive: perturbing every edge value by at most</w:t>
      </w:r>
      <w:r>
        <w:t xml:space="preserve"> </w:t>
      </w:r>
      <m:oMath>
        <m:r>
          <m:t>d</m:t>
        </m:r>
      </m:oMath>
      <w:r>
        <w:t xml:space="preserve"> </w:t>
      </w:r>
      <w:r>
        <w:t xml:space="preserve">perturbs each path bottleneck, and then their maximum, by at most</w:t>
      </w:r>
      <w:r>
        <w:t xml:space="preserve"> </w:t>
      </w:r>
      <m:oMath>
        <m:r>
          <m:t>d</m:t>
        </m:r>
      </m:oMath>
      <w:r>
        <w:t xml:space="preserve">. This operation fixes the true overlap matrix, because repeated application of (2.3) bounds every path bottleneck by the direct true overlap. Therefore,</w:t>
      </w:r>
    </w:p>
    <w:p>
      <w:pPr>
        <w:pStyle w:val="BodyText"/>
      </w:pPr>
      <m:oMathPara>
        <m:oMathParaPr>
          <m:jc m:val="center"/>
        </m:oMathParaPr>
        <m:oMath>
          <m:r>
            <m:rPr>
              <m:sty m:val="p"/>
            </m:rPr>
            <m:t>∥</m:t>
          </m:r>
          <m:acc>
            <m:accPr>
              <m:chr m:val="̂"/>
            </m:accPr>
            <m:e>
              <m:r>
                <m:t>o</m:t>
              </m:r>
            </m:e>
          </m:acc>
          <m:r>
            <m:rPr>
              <m:sty m:val="p"/>
            </m:rPr>
            <m:t>−</m:t>
          </m:r>
          <m:r>
            <m:t>o</m:t>
          </m:r>
          <m:sSub>
            <m:e>
              <m:r>
                <m:rPr>
                  <m:sty m:val="p"/>
                </m:rPr>
                <m:t>∥</m:t>
              </m:r>
            </m:e>
            <m:sub>
              <m:r>
                <m:rPr>
                  <m:sty m:val="p"/>
                </m:rPr>
                <m:t>∞</m:t>
              </m:r>
            </m:sub>
          </m:sSub>
          <m:r>
            <m:rPr>
              <m:sty m:val="p"/>
            </m:rPr>
            <m:t>≤</m:t>
          </m:r>
          <m:r>
            <m:t>3</m:t>
          </m:r>
          <m:r>
            <m:t>ε</m:t>
          </m:r>
          <m:r>
            <m:rPr>
              <m:sty m:val="p"/>
            </m:rPr>
            <m:t>.</m:t>
          </m:r>
        </m:oMath>
      </m:oMathPara>
    </w:p>
    <w:p>
      <w:pPr>
        <w:pStyle w:val="FirstParagraph"/>
      </w:pPr>
      <w:r>
        <w:t xml:space="preserve">In (2.5), the singleton sum changes by at most</w:t>
      </w:r>
      <w:r>
        <w:t xml:space="preserve"> </w:t>
      </w:r>
      <m:oMath>
        <m:d>
          <m:dPr>
            <m:begChr m:val="|"/>
            <m:endChr m:val="|"/>
            <m:sepChr m:val=""/>
            <m:grow/>
          </m:dPr>
          <m:e>
            <m:r>
              <m:t>S</m:t>
            </m:r>
          </m:e>
        </m:d>
        <m:r>
          <m:t>ε</m:t>
        </m:r>
      </m:oMath>
      <w:r>
        <w:t xml:space="preserve">, while the maximum spanning-tree weight changes by at most</w:t>
      </w:r>
      <w:r>
        <w:t xml:space="preserve"> </w:t>
      </w:r>
      <m:oMath>
        <m:r>
          <m:t>3</m:t>
        </m:r>
        <m:d>
          <m:dPr>
            <m:begChr m:val="("/>
            <m:endChr m:val=")"/>
            <m:sepChr m:val=""/>
            <m:grow/>
          </m:dPr>
          <m:e>
            <m:d>
              <m:dPr>
                <m:begChr m:val="|"/>
                <m:endChr m:val="|"/>
                <m:sepChr m:val=""/>
                <m:grow/>
              </m:dPr>
              <m:e>
                <m:r>
                  <m:t>S</m:t>
                </m:r>
              </m:e>
            </m:d>
            <m:r>
              <m:rPr>
                <m:sty m:val="p"/>
              </m:rPr>
              <m:t>−</m:t>
            </m:r>
            <m:r>
              <m:t>1</m:t>
            </m:r>
          </m:e>
        </m:d>
        <m:r>
          <m:t>ε</m:t>
        </m:r>
      </m:oMath>
      <w:r>
        <w:t xml:space="preserve">. Adding these bounds proves (3.6).</w:t>
      </w:r>
      <w:r>
        <w:t xml:space="preserve"> </w:t>
      </w:r>
      <m:oMath>
        <m:r>
          <m:rPr>
            <m:sty m:val="p"/>
          </m:rPr>
          <m:t>▫</m:t>
        </m:r>
      </m:oMath>
    </w:p>
    <w:p>
      <w:pPr>
        <w:pStyle w:val="BodyText"/>
      </w:pPr>
      <w:r>
        <w:t xml:space="preserve">The closure is a standard hierarchical operation related to single linkage [4,9]. A max-min version of Floyd’s algorithm computes it in</w:t>
      </w:r>
      <w:r>
        <w:t xml:space="preserve"> </w:t>
      </w:r>
      <m:oMath>
        <m:r>
          <m:t>O</m:t>
        </m:r>
        <m:d>
          <m:dPr>
            <m:begChr m:val="("/>
            <m:endChr m:val=")"/>
            <m:sepChr m:val=""/>
            <m:grow/>
          </m:dPr>
          <m:e>
            <m:sSup>
              <m:e>
                <m:r>
                  <m:t>n</m:t>
                </m:r>
              </m:e>
              <m:sup>
                <m:r>
                  <m:t>3</m:t>
                </m:r>
              </m:sup>
            </m:sSup>
          </m:e>
        </m:d>
      </m:oMath>
      <w:r>
        <w:t xml:space="preserve"> </w:t>
      </w:r>
      <w:r>
        <w:t xml:space="preserve">time. The constant in (3.6) is a conservative guarantee; its sharpness is not asserted. Repair supplies nonnegative, monotone physical set costs, while direct recovery has the sharper guarantee in (3.2).</w:t>
      </w:r>
    </w:p>
    <w:bookmarkEnd w:id="28"/>
    <w:bookmarkStart w:id="29" w:name="X9027cc72c40d1e07a9da97587026bf9f9ec3801"/>
    <w:p>
      <w:pPr>
        <w:pStyle w:val="Heading2"/>
      </w:pPr>
      <w:r>
        <w:t xml:space="preserve">3.3. Computable intervals with heterogeneous tolerances</w:t>
      </w:r>
    </w:p>
    <w:p>
      <w:pPr>
        <w:pStyle w:val="FirstParagraph"/>
      </w:pPr>
      <w:r>
        <w:t xml:space="preserve">Calibration may provide a different tolerance for each measurement. Write the measured values as</w:t>
      </w:r>
      <w:r>
        <w:t xml:space="preserve"> </w:t>
      </w:r>
      <m:oMath>
        <m:sSub>
          <m:e>
            <m:r>
              <m:t>z</m:t>
            </m:r>
          </m:e>
          <m:sub>
            <m:r>
              <m:t>i</m:t>
            </m:r>
          </m:sub>
        </m:sSub>
        <m:r>
          <m:rPr>
            <m:sty m:val="p"/>
          </m:rPr>
          <m:t>,</m:t>
        </m:r>
        <m:sSub>
          <m:e>
            <m:r>
              <m:t>z</m:t>
            </m:r>
          </m:e>
          <m:sub>
            <m:r>
              <m:t>i</m:t>
            </m:r>
            <m:r>
              <m:t>j</m:t>
            </m:r>
          </m:sub>
        </m:sSub>
      </m:oMath>
      <w:r>
        <w:t xml:space="preserve"> </w:t>
      </w:r>
      <w:r>
        <w:t xml:space="preserve">and suppose</w:t>
      </w:r>
    </w:p>
    <w:p>
      <w:pPr>
        <w:pStyle w:val="BodyText"/>
      </w:pPr>
      <m:oMathPara>
        <m:oMathParaPr>
          <m:jc m:val="center"/>
        </m:oMathParaPr>
        <m:oMath>
          <m:d>
            <m:dPr>
              <m:begChr m:val="|"/>
              <m:endChr m:val="|"/>
              <m:sepChr m:val=""/>
              <m:grow/>
            </m:dPr>
            <m:e>
              <m:sSub>
                <m:e>
                  <m:r>
                    <m:t>z</m:t>
                  </m:r>
                </m:e>
                <m:sub>
                  <m:r>
                    <m:t>i</m:t>
                  </m:r>
                </m:sub>
              </m:sSub>
              <m:r>
                <m:rPr>
                  <m:sty m:val="p"/>
                </m:rPr>
                <m:t>−</m:t>
              </m:r>
              <m:sSub>
                <m:e>
                  <m:r>
                    <m:t>c</m:t>
                  </m:r>
                </m:e>
                <m:sub>
                  <m:r>
                    <m:t>i</m:t>
                  </m:r>
                </m:sub>
              </m:sSub>
            </m:e>
          </m:d>
          <m:r>
            <m:rPr>
              <m:sty m:val="p"/>
            </m:rPr>
            <m:t>≤</m:t>
          </m:r>
          <m:sSub>
            <m:e>
              <m:r>
                <m:t>e</m:t>
              </m:r>
            </m:e>
            <m:sub>
              <m:r>
                <m:t>i</m:t>
              </m:r>
            </m:sub>
          </m:sSub>
          <m:r>
            <m:rPr>
              <m:sty m:val="p"/>
            </m:rPr>
            <m:t>,</m:t>
          </m:r>
          <m:r>
            <m:t>  </m:t>
          </m:r>
          <m:d>
            <m:dPr>
              <m:begChr m:val="|"/>
              <m:endChr m:val="|"/>
              <m:sepChr m:val=""/>
              <m:grow/>
            </m:dPr>
            <m:e>
              <m:sSub>
                <m:e>
                  <m:r>
                    <m:t>z</m:t>
                  </m:r>
                </m:e>
                <m:sub>
                  <m:r>
                    <m:t>i</m:t>
                  </m:r>
                  <m:r>
                    <m:t>j</m:t>
                  </m:r>
                </m:sub>
              </m:sSub>
              <m:r>
                <m:rPr>
                  <m:sty m:val="p"/>
                </m:rPr>
                <m:t>−</m:t>
              </m:r>
              <m:sSub>
                <m:e>
                  <m:r>
                    <m:t>c</m:t>
                  </m:r>
                </m:e>
                <m:sub>
                  <m:r>
                    <m:t>i</m:t>
                  </m:r>
                  <m:r>
                    <m:t>j</m:t>
                  </m:r>
                </m:sub>
              </m:sSub>
            </m:e>
          </m:d>
          <m:r>
            <m:rPr>
              <m:sty m:val="p"/>
            </m:rPr>
            <m:t>≤</m:t>
          </m:r>
          <m:sSub>
            <m:e>
              <m:r>
                <m:t>e</m:t>
              </m:r>
            </m:e>
            <m:sub>
              <m:r>
                <m:t>i</m:t>
              </m:r>
              <m:r>
                <m:t>j</m:t>
              </m:r>
            </m:sub>
          </m:sSub>
          <m:r>
            <m:rPr>
              <m:sty m:val="p"/>
            </m:rPr>
            <m:t>,</m:t>
          </m:r>
          <m:r>
            <m:t>  </m:t>
          </m:r>
          <m:sSub>
            <m:e>
              <m:r>
                <m:t>e</m:t>
              </m:r>
            </m:e>
            <m:sub>
              <m:r>
                <m:t>i</m:t>
              </m:r>
            </m:sub>
          </m:sSub>
          <m:r>
            <m:rPr>
              <m:sty m:val="p"/>
            </m:rPr>
            <m:t>,</m:t>
          </m:r>
          <m:sSub>
            <m:e>
              <m:r>
                <m:t>e</m:t>
              </m:r>
            </m:e>
            <m:sub>
              <m:r>
                <m:t>i</m:t>
              </m:r>
              <m:r>
                <m:t>j</m:t>
              </m:r>
            </m:sub>
          </m:sSub>
          <m:r>
            <m:rPr>
              <m:sty m:val="p"/>
            </m:rPr>
            <m:t>≥</m:t>
          </m:r>
          <m:r>
            <m:t>0</m:t>
          </m:r>
          <m:r>
            <m:rPr>
              <m:sty m:val="p"/>
            </m:rPr>
            <m:t>.</m:t>
          </m:r>
        </m:oMath>
      </m:oMathPara>
    </w:p>
    <w:p>
      <w:pPr>
        <w:pStyle w:val="FirstParagraph"/>
      </w:pPr>
      <w:r>
        <w:t xml:space="preserve">For a spanning tree</w:t>
      </w:r>
      <w:r>
        <w:t xml:space="preserve"> </w:t>
      </w:r>
      <m:oMath>
        <m:r>
          <m:t>M</m:t>
        </m:r>
      </m:oMath>
      <w:r>
        <w:t xml:space="preserve"> </w:t>
      </w:r>
      <w:r>
        <w:t xml:space="preserve">on</w:t>
      </w:r>
      <w:r>
        <w:t xml:space="preserve"> </w:t>
      </w:r>
      <m:oMath>
        <m:r>
          <m:t>S</m:t>
        </m:r>
      </m:oMath>
      <w:r>
        <w:t xml:space="preserve">,</w:t>
      </w:r>
      <w:r>
        <w:t xml:space="preserve"> </w:t>
      </w:r>
      <m:oMath>
        <m:d>
          <m:dPr>
            <m:begChr m:val="|"/>
            <m:endChr m:val="|"/>
            <m:sepChr m:val=""/>
            <m:grow/>
          </m:dPr>
          <m:e>
            <m:r>
              <m:t>S</m:t>
            </m:r>
          </m:e>
        </m:d>
        <m:r>
          <m:rPr>
            <m:sty m:val="p"/>
          </m:rPr>
          <m:t>≥</m:t>
        </m:r>
        <m:r>
          <m:t>2</m:t>
        </m:r>
      </m:oMath>
      <w:r>
        <w:t xml:space="preserve">, put</w:t>
      </w:r>
    </w:p>
    <w:p>
      <w:pPr>
        <w:pStyle w:val="BodyText"/>
      </w:pPr>
      <m:oMathPara>
        <m:oMathParaPr>
          <m:jc m:val="center"/>
        </m:oMathParaPr>
        <m:oMath>
          <m:sSub>
            <m:e>
              <m:r>
                <m:t>A</m:t>
              </m:r>
            </m:e>
            <m:sub>
              <m:r>
                <m:t>M</m:t>
              </m:r>
            </m:sub>
          </m:sSub>
          <m:d>
            <m:dPr>
              <m:begChr m:val="("/>
              <m:endChr m:val=")"/>
              <m:sepChr m:val=""/>
              <m:grow/>
            </m:dPr>
            <m:e>
              <m:r>
                <m:t>z</m:t>
              </m:r>
            </m:e>
          </m:d>
          <m:r>
            <m:rPr>
              <m:sty m:val="p"/>
            </m:rPr>
            <m:t>=</m:t>
          </m:r>
          <m:nary>
            <m:naryPr>
              <m:chr m:val="∑"/>
              <m:limLoc m:val="undOvr"/>
              <m:subHide m:val="off"/>
              <m:supHide m:val="on"/>
            </m:naryPr>
            <m:sub>
              <m:r>
                <m:rPr>
                  <m:sty m:val="p"/>
                </m:rPr>
                <m:t>{</m:t>
              </m:r>
              <m:r>
                <m:t>i</m:t>
              </m:r>
              <m:r>
                <m:rPr>
                  <m:sty m:val="p"/>
                </m:rPr>
                <m:t>,</m:t>
              </m:r>
              <m:r>
                <m:t>j</m:t>
              </m:r>
              <m:r>
                <m:rPr>
                  <m:sty m:val="p"/>
                </m:rPr>
                <m:t>}</m:t>
              </m:r>
              <m:r>
                <m:rPr>
                  <m:sty m:val="p"/>
                </m:rPr>
                <m:t>∈</m:t>
              </m:r>
              <m:r>
                <m:t>E</m:t>
              </m:r>
              <m:d>
                <m:dPr>
                  <m:begChr m:val="("/>
                  <m:endChr m:val=")"/>
                  <m:sepChr m:val=""/>
                  <m:grow/>
                </m:dPr>
                <m:e>
                  <m:r>
                    <m:t>M</m:t>
                  </m:r>
                </m:e>
              </m:d>
            </m:sub>
            <m:sup>
              <m:r>
                <m:t>​</m:t>
              </m:r>
            </m:sup>
            <m:e>
              <m:sSub>
                <m:e>
                  <m:r>
                    <m:t>z</m:t>
                  </m:r>
                </m:e>
                <m:sub>
                  <m:r>
                    <m:t>i</m:t>
                  </m:r>
                  <m:r>
                    <m:t>j</m:t>
                  </m:r>
                </m:sub>
              </m:sSub>
            </m:e>
          </m:nary>
          <m:r>
            <m:rPr>
              <m:sty m:val="p"/>
            </m:rPr>
            <m:t>−</m:t>
          </m:r>
          <m:nary>
            <m:naryPr>
              <m:chr m:val="∑"/>
              <m:limLoc m:val="undOvr"/>
              <m:subHide m:val="off"/>
              <m:supHide m:val="on"/>
            </m:naryPr>
            <m:sub>
              <m:r>
                <m:t>i</m:t>
              </m:r>
              <m:r>
                <m:rPr>
                  <m:sty m:val="p"/>
                </m:rPr>
                <m:t>∈</m:t>
              </m:r>
              <m:r>
                <m:t>S</m:t>
              </m:r>
            </m:sub>
            <m:sup>
              <m:r>
                <m:t>​</m:t>
              </m:r>
            </m:sup>
            <m:e>
              <m:d>
                <m:dPr>
                  <m:begChr m:val="("/>
                  <m:endChr m:val=")"/>
                  <m:sepChr m:val=""/>
                  <m:grow/>
                </m:dPr>
                <m:e>
                  <m:sSub>
                    <m:e>
                      <m:r>
                        <m:rPr>
                          <m:sty m:val="p"/>
                        </m:rPr>
                        <m:t>deg</m:t>
                      </m:r>
                    </m:e>
                    <m:sub>
                      <m:r>
                        <m:t>M</m:t>
                      </m:r>
                    </m:sub>
                  </m:sSub>
                  <m:d>
                    <m:dPr>
                      <m:begChr m:val="("/>
                      <m:endChr m:val=")"/>
                      <m:sepChr m:val=""/>
                      <m:grow/>
                    </m:dPr>
                    <m:e>
                      <m:r>
                        <m:t>i</m:t>
                      </m:r>
                    </m:e>
                  </m:d>
                  <m:r>
                    <m:rPr>
                      <m:sty m:val="p"/>
                    </m:rPr>
                    <m:t>−</m:t>
                  </m:r>
                  <m:r>
                    <m:t>1</m:t>
                  </m:r>
                </m:e>
              </m:d>
            </m:e>
          </m:nary>
          <m:sSub>
            <m:e>
              <m:r>
                <m:t>z</m:t>
              </m:r>
            </m:e>
            <m:sub>
              <m:r>
                <m:t>i</m:t>
              </m:r>
            </m:sub>
          </m:sSub>
          <m:r>
            <m:rPr>
              <m:sty m:val="p"/>
            </m:rPr>
            <m:t>,</m:t>
          </m:r>
        </m:oMath>
      </m:oMathPara>
    </w:p>
    <w:p>
      <w:pPr>
        <w:pStyle w:val="FirstParagraph"/>
      </w:pPr>
      <m:oMathPara>
        <m:oMathParaPr>
          <m:jc m:val="center"/>
        </m:oMathParaPr>
        <m:oMath>
          <m:sSub>
            <m:e>
              <m:r>
                <m:t>d</m:t>
              </m:r>
            </m:e>
            <m:sub>
              <m:r>
                <m:t>M</m:t>
              </m:r>
            </m:sub>
          </m:sSub>
          <m:r>
            <m:rPr>
              <m:sty m:val="p"/>
            </m:rPr>
            <m:t>=</m:t>
          </m:r>
          <m:nary>
            <m:naryPr>
              <m:chr m:val="∑"/>
              <m:limLoc m:val="undOvr"/>
              <m:subHide m:val="off"/>
              <m:supHide m:val="on"/>
            </m:naryPr>
            <m:sub>
              <m:r>
                <m:rPr>
                  <m:sty m:val="p"/>
                </m:rPr>
                <m:t>{</m:t>
              </m:r>
              <m:r>
                <m:t>i</m:t>
              </m:r>
              <m:r>
                <m:rPr>
                  <m:sty m:val="p"/>
                </m:rPr>
                <m:t>,</m:t>
              </m:r>
              <m:r>
                <m:t>j</m:t>
              </m:r>
              <m:r>
                <m:rPr>
                  <m:sty m:val="p"/>
                </m:rPr>
                <m:t>}</m:t>
              </m:r>
              <m:r>
                <m:rPr>
                  <m:sty m:val="p"/>
                </m:rPr>
                <m:t>∈</m:t>
              </m:r>
              <m:r>
                <m:t>E</m:t>
              </m:r>
              <m:d>
                <m:dPr>
                  <m:begChr m:val="("/>
                  <m:endChr m:val=")"/>
                  <m:sepChr m:val=""/>
                  <m:grow/>
                </m:dPr>
                <m:e>
                  <m:r>
                    <m:t>M</m:t>
                  </m:r>
                </m:e>
              </m:d>
            </m:sub>
            <m:sup>
              <m:r>
                <m:t>​</m:t>
              </m:r>
            </m:sup>
            <m:e>
              <m:sSub>
                <m:e>
                  <m:r>
                    <m:t>e</m:t>
                  </m:r>
                </m:e>
                <m:sub>
                  <m:r>
                    <m:t>i</m:t>
                  </m:r>
                  <m:r>
                    <m:t>j</m:t>
                  </m:r>
                </m:sub>
              </m:sSub>
            </m:e>
          </m:nary>
          <m:r>
            <m:rPr>
              <m:sty m:val="p"/>
            </m:rPr>
            <m:t>+</m:t>
          </m:r>
          <m:nary>
            <m:naryPr>
              <m:chr m:val="∑"/>
              <m:limLoc m:val="undOvr"/>
              <m:subHide m:val="off"/>
              <m:supHide m:val="on"/>
            </m:naryPr>
            <m:sub>
              <m:r>
                <m:t>i</m:t>
              </m:r>
              <m:r>
                <m:rPr>
                  <m:sty m:val="p"/>
                </m:rPr>
                <m:t>∈</m:t>
              </m:r>
              <m:r>
                <m:t>S</m:t>
              </m:r>
            </m:sub>
            <m:sup>
              <m:r>
                <m:t>​</m:t>
              </m:r>
            </m:sup>
            <m:e>
              <m:d>
                <m:dPr>
                  <m:begChr m:val="("/>
                  <m:endChr m:val=")"/>
                  <m:sepChr m:val=""/>
                  <m:grow/>
                </m:dPr>
                <m:e>
                  <m:sSub>
                    <m:e>
                      <m:r>
                        <m:rPr>
                          <m:sty m:val="p"/>
                        </m:rPr>
                        <m:t>deg</m:t>
                      </m:r>
                    </m:e>
                    <m:sub>
                      <m:r>
                        <m:t>M</m:t>
                      </m:r>
                    </m:sub>
                  </m:sSub>
                  <m:d>
                    <m:dPr>
                      <m:begChr m:val="("/>
                      <m:endChr m:val=")"/>
                      <m:sepChr m:val=""/>
                      <m:grow/>
                    </m:dPr>
                    <m:e>
                      <m:r>
                        <m:t>i</m:t>
                      </m:r>
                    </m:e>
                  </m:d>
                  <m:r>
                    <m:rPr>
                      <m:sty m:val="p"/>
                    </m:rPr>
                    <m:t>−</m:t>
                  </m:r>
                  <m:r>
                    <m:t>1</m:t>
                  </m:r>
                </m:e>
              </m:d>
            </m:e>
          </m:nary>
          <m:sSub>
            <m:e>
              <m:r>
                <m:t>e</m:t>
              </m:r>
            </m:e>
            <m:sub>
              <m:r>
                <m:t>i</m:t>
              </m:r>
            </m:sub>
          </m:sSub>
          <m:r>
            <m:rPr>
              <m:sty m:val="p"/>
            </m:rPr>
            <m:t>.</m:t>
          </m:r>
        </m:oMath>
      </m:oMathPara>
    </w:p>
    <w:p>
      <w:pPr>
        <w:pStyle w:val="FirstParagraph"/>
      </w:pPr>
      <w:r>
        <w:t xml:space="preserve">Define the preliminary endpoints</w:t>
      </w:r>
    </w:p>
    <w:p>
      <w:pPr>
        <w:pStyle w:val="BodyText"/>
      </w:pPr>
      <m:oMathPara>
        <m:oMathParaPr>
          <m:jc m:val="center"/>
        </m:oMathParaPr>
        <m:oMath>
          <m:sSub>
            <m:e>
              <m:r>
                <m:t>L</m:t>
              </m:r>
            </m:e>
            <m:sub>
              <m:r>
                <m:t>0</m:t>
              </m:r>
            </m:sub>
          </m:sSub>
          <m:d>
            <m:dPr>
              <m:begChr m:val="("/>
              <m:endChr m:val=")"/>
              <m:sepChr m:val=""/>
              <m:grow/>
            </m:dPr>
            <m:e>
              <m:r>
                <m:t>S</m:t>
              </m:r>
            </m:e>
          </m:d>
          <m:r>
            <m:rPr>
              <m:sty m:val="p"/>
            </m:rPr>
            <m:t>=</m:t>
          </m:r>
          <m:limLow>
            <m:e>
              <m:r>
                <m:rPr>
                  <m:sty m:val="p"/>
                </m:rPr>
                <m:t>min</m:t>
              </m:r>
            </m:e>
            <m:lim>
              <m:r>
                <m:t>M</m:t>
              </m:r>
              <m:r>
                <m:rPr>
                  <m:sty m:val="p"/>
                </m:rPr>
                <m:t>∈</m:t>
              </m:r>
              <m:r>
                <m:rPr>
                  <m:sty m:val="p"/>
                  <m:scr m:val="script"/>
                </m:rPr>
                <m:t>T</m:t>
              </m:r>
              <m:d>
                <m:dPr>
                  <m:begChr m:val="("/>
                  <m:endChr m:val=")"/>
                  <m:sepChr m:val=""/>
                  <m:grow/>
                </m:dPr>
                <m:e>
                  <m:r>
                    <m:t>S</m:t>
                  </m:r>
                </m:e>
              </m:d>
            </m:lim>
          </m:limLow>
          <m:r>
            <m:rPr>
              <m:sty m:val="p"/>
            </m:rPr>
            <m:t>{</m:t>
          </m:r>
          <m:sSub>
            <m:e>
              <m:r>
                <m:t>A</m:t>
              </m:r>
            </m:e>
            <m:sub>
              <m:r>
                <m:t>M</m:t>
              </m:r>
            </m:sub>
          </m:sSub>
          <m:d>
            <m:dPr>
              <m:begChr m:val="("/>
              <m:endChr m:val=")"/>
              <m:sepChr m:val=""/>
              <m:grow/>
            </m:dPr>
            <m:e>
              <m:r>
                <m:t>z</m:t>
              </m:r>
            </m:e>
          </m:d>
          <m:r>
            <m:rPr>
              <m:sty m:val="p"/>
            </m:rPr>
            <m:t>−</m:t>
          </m:r>
          <m:sSub>
            <m:e>
              <m:r>
                <m:t>d</m:t>
              </m:r>
            </m:e>
            <m:sub>
              <m:r>
                <m:t>M</m:t>
              </m:r>
            </m:sub>
          </m:sSub>
          <m:r>
            <m:rPr>
              <m:sty m:val="p"/>
            </m:rPr>
            <m:t>}</m:t>
          </m:r>
          <m:r>
            <m:rPr>
              <m:sty m:val="p"/>
            </m:rPr>
            <m:t>,</m:t>
          </m:r>
          <m:r>
            <m:t>  </m:t>
          </m:r>
          <m:sSub>
            <m:e>
              <m:r>
                <m:t>U</m:t>
              </m:r>
            </m:e>
            <m:sub>
              <m:r>
                <m:t>0</m:t>
              </m:r>
            </m:sub>
          </m:sSub>
          <m:d>
            <m:dPr>
              <m:begChr m:val="("/>
              <m:endChr m:val=")"/>
              <m:sepChr m:val=""/>
              <m:grow/>
            </m:dPr>
            <m:e>
              <m:r>
                <m:t>S</m:t>
              </m:r>
            </m:e>
          </m:d>
          <m:r>
            <m:rPr>
              <m:sty m:val="p"/>
            </m:rPr>
            <m:t>=</m:t>
          </m:r>
          <m:limLow>
            <m:e>
              <m:r>
                <m:rPr>
                  <m:sty m:val="p"/>
                </m:rPr>
                <m:t>min</m:t>
              </m:r>
            </m:e>
            <m:lim>
              <m:r>
                <m:t>M</m:t>
              </m:r>
              <m:r>
                <m:rPr>
                  <m:sty m:val="p"/>
                </m:rPr>
                <m:t>∈</m:t>
              </m:r>
              <m:r>
                <m:rPr>
                  <m:sty m:val="p"/>
                  <m:scr m:val="script"/>
                </m:rPr>
                <m:t>T</m:t>
              </m:r>
              <m:d>
                <m:dPr>
                  <m:begChr m:val="("/>
                  <m:endChr m:val=")"/>
                  <m:sepChr m:val=""/>
                  <m:grow/>
                </m:dPr>
                <m:e>
                  <m:r>
                    <m:t>S</m:t>
                  </m:r>
                </m:e>
              </m:d>
            </m:lim>
          </m:limLow>
          <m:r>
            <m:rPr>
              <m:sty m:val="p"/>
            </m:rPr>
            <m:t>{</m:t>
          </m:r>
          <m:sSub>
            <m:e>
              <m:r>
                <m:t>A</m:t>
              </m:r>
            </m:e>
            <m:sub>
              <m:r>
                <m:t>M</m:t>
              </m:r>
            </m:sub>
          </m:sSub>
          <m:d>
            <m:dPr>
              <m:begChr m:val="("/>
              <m:endChr m:val=")"/>
              <m:sepChr m:val=""/>
              <m:grow/>
            </m:dPr>
            <m:e>
              <m:r>
                <m:t>z</m:t>
              </m:r>
            </m:e>
          </m:d>
          <m:r>
            <m:rPr>
              <m:sty m:val="p"/>
            </m:rPr>
            <m:t>+</m:t>
          </m:r>
          <m:sSub>
            <m:e>
              <m:r>
                <m:t>d</m:t>
              </m:r>
            </m:e>
            <m:sub>
              <m:r>
                <m:t>M</m:t>
              </m:r>
            </m:sub>
          </m:sSub>
          <m:r>
            <m:rPr>
              <m:sty m:val="p"/>
            </m:rPr>
            <m:t>}</m:t>
          </m:r>
          <m:r>
            <m:rPr>
              <m:sty m:val="p"/>
            </m:rPr>
            <m:t>.</m:t>
          </m:r>
        </m:oMath>
      </m:oMathPara>
    </w:p>
    <w:p>
      <w:pPr>
        <w:pStyle w:val="FirstParagraph"/>
        <w:keepNext/>
        <w:spacing w:before="180"/>
      </w:pPr>
      <w:r>
        <w:rPr>
          <w:bCs/>
          <w:b/>
        </w:rPr>
        <w:t xml:space="preserve">Proposition 3.4 — Certified cost intervals.</w:t>
      </w:r>
      <w:r>
        <w:t xml:space="preserve"> </w:t>
      </w:r>
      <w:r>
        <w:t xml:space="preserve">For</w:t>
      </w:r>
      <w:r>
        <w:t xml:space="preserve"> </w:t>
      </w:r>
      <m:oMath>
        <m:d>
          <m:dPr>
            <m:begChr m:val="|"/>
            <m:endChr m:val="|"/>
            <m:sepChr m:val=""/>
            <m:grow/>
          </m:dPr>
          <m:e>
            <m:r>
              <m:t>S</m:t>
            </m:r>
          </m:e>
        </m:d>
        <m:r>
          <m:rPr>
            <m:sty m:val="p"/>
          </m:rPr>
          <m:t>≥</m:t>
        </m:r>
        <m:r>
          <m:t>2</m:t>
        </m:r>
      </m:oMath>
      <w:r>
        <w:t xml:space="preserve">, define</w:t>
      </w:r>
    </w:p>
    <w:p>
      <w:pPr>
        <w:pStyle w:val="BodyText"/>
      </w:pPr>
      <m:oMathPara>
        <m:oMathParaPr>
          <m:jc m:val="center"/>
        </m:oMathParaPr>
        <m:oMath>
          <m:r>
            <m:t>L</m:t>
          </m:r>
          <m:d>
            <m:dPr>
              <m:begChr m:val="("/>
              <m:endChr m:val=")"/>
              <m:sepChr m:val=""/>
              <m:grow/>
            </m:dPr>
            <m:e>
              <m:r>
                <m:t>S</m:t>
              </m:r>
            </m:e>
          </m:d>
          <m:r>
            <m:rPr>
              <m:sty m:val="p"/>
            </m:rPr>
            <m:t>=</m:t>
          </m:r>
          <m:r>
            <m:rPr>
              <m:sty m:val="p"/>
            </m:rPr>
            <m:t>max</m:t>
          </m:r>
          <m:d>
            <m:dPr>
              <m:begChr m:val="{"/>
              <m:endChr m:val="}"/>
              <m:sepChr m:val=""/>
              <m:grow/>
            </m:dPr>
            <m:e>
              <m:r>
                <m:t>0</m:t>
              </m:r>
              <m:r>
                <m:rPr>
                  <m:sty m:val="p"/>
                </m:rPr>
                <m:t>,</m:t>
              </m:r>
              <m:sSub>
                <m:e>
                  <m:r>
                    <m:t>L</m:t>
                  </m:r>
                </m:e>
                <m:sub>
                  <m:r>
                    <m:t>0</m:t>
                  </m:r>
                </m:sub>
              </m:sSub>
              <m:d>
                <m:dPr>
                  <m:begChr m:val="("/>
                  <m:endChr m:val=")"/>
                  <m:sepChr m:val=""/>
                  <m:grow/>
                </m:dPr>
                <m:e>
                  <m:r>
                    <m:t>S</m:t>
                  </m:r>
                </m:e>
              </m:d>
              <m:r>
                <m:rPr>
                  <m:sty m:val="p"/>
                </m:rPr>
                <m:t>,</m:t>
              </m:r>
              <m:limLow>
                <m:e>
                  <m:r>
                    <m:rPr>
                      <m:sty m:val="p"/>
                    </m:rPr>
                    <m:t>max</m:t>
                  </m:r>
                </m:e>
                <m:lim>
                  <m:r>
                    <m:t>i</m:t>
                  </m:r>
                  <m:r>
                    <m:rPr>
                      <m:sty m:val="p"/>
                    </m:rPr>
                    <m:t>∈</m:t>
                  </m:r>
                  <m:r>
                    <m:t>S</m:t>
                  </m:r>
                </m:lim>
              </m:limLow>
              <m:d>
                <m:dPr>
                  <m:begChr m:val="("/>
                  <m:endChr m:val=")"/>
                  <m:sepChr m:val=""/>
                  <m:grow/>
                </m:dPr>
                <m:e>
                  <m:sSub>
                    <m:e>
                      <m:r>
                        <m:t>z</m:t>
                      </m:r>
                    </m:e>
                    <m:sub>
                      <m:r>
                        <m:t>i</m:t>
                      </m:r>
                    </m:sub>
                  </m:sSub>
                  <m:r>
                    <m:rPr>
                      <m:sty m:val="p"/>
                    </m:rPr>
                    <m:t>−</m:t>
                  </m:r>
                  <m:sSub>
                    <m:e>
                      <m:r>
                        <m:t>e</m:t>
                      </m:r>
                    </m:e>
                    <m:sub>
                      <m:r>
                        <m:t>i</m:t>
                      </m:r>
                    </m:sub>
                  </m:sSub>
                </m:e>
              </m:d>
              <m:r>
                <m:rPr>
                  <m:sty m:val="p"/>
                </m:rPr>
                <m:t>,</m:t>
              </m:r>
              <m:limLow>
                <m:e>
                  <m:r>
                    <m:rPr>
                      <m:sty m:val="p"/>
                    </m:rPr>
                    <m:t>max</m:t>
                  </m:r>
                </m:e>
                <m:lim>
                  <m:r>
                    <m:rPr>
                      <m:sty m:val="p"/>
                    </m:rPr>
                    <m:t>{</m:t>
                  </m:r>
                  <m:r>
                    <m:t>i</m:t>
                  </m:r>
                  <m:r>
                    <m:rPr>
                      <m:sty m:val="p"/>
                    </m:rPr>
                    <m:t>,</m:t>
                  </m:r>
                  <m:r>
                    <m:t>j</m:t>
                  </m:r>
                  <m:r>
                    <m:rPr>
                      <m:sty m:val="p"/>
                    </m:rPr>
                    <m:t>}</m:t>
                  </m:r>
                  <m:r>
                    <m:rPr>
                      <m:sty m:val="p"/>
                    </m:rPr>
                    <m:t>⊆</m:t>
                  </m:r>
                  <m:r>
                    <m:t>S</m:t>
                  </m:r>
                </m:lim>
              </m:limLow>
              <m:d>
                <m:dPr>
                  <m:begChr m:val="("/>
                  <m:endChr m:val=")"/>
                  <m:sepChr m:val=""/>
                  <m:grow/>
                </m:dPr>
                <m:e>
                  <m:sSub>
                    <m:e>
                      <m:r>
                        <m:t>z</m:t>
                      </m:r>
                    </m:e>
                    <m:sub>
                      <m:r>
                        <m:t>i</m:t>
                      </m:r>
                      <m:r>
                        <m:t>j</m:t>
                      </m:r>
                    </m:sub>
                  </m:sSub>
                  <m:r>
                    <m:rPr>
                      <m:sty m:val="p"/>
                    </m:rPr>
                    <m:t>−</m:t>
                  </m:r>
                  <m:sSub>
                    <m:e>
                      <m:r>
                        <m:t>e</m:t>
                      </m:r>
                    </m:e>
                    <m:sub>
                      <m:r>
                        <m:t>i</m:t>
                      </m:r>
                      <m:r>
                        <m:t>j</m:t>
                      </m:r>
                    </m:sub>
                  </m:sSub>
                </m:e>
              </m:d>
            </m:e>
          </m:d>
          <m:r>
            <m:rPr>
              <m:sty m:val="p"/>
            </m:rPr>
            <m:t>,</m:t>
          </m:r>
        </m:oMath>
      </m:oMathPara>
    </w:p>
    <w:p>
      <w:pPr>
        <w:pStyle w:val="FirstParagraph"/>
      </w:pPr>
      <m:oMathPara>
        <m:oMathParaPr>
          <m:jc m:val="center"/>
        </m:oMathParaPr>
        <m:oMath>
          <m:r>
            <m:t>U</m:t>
          </m:r>
          <m:d>
            <m:dPr>
              <m:begChr m:val="("/>
              <m:endChr m:val=")"/>
              <m:sepChr m:val=""/>
              <m:grow/>
            </m:dPr>
            <m:e>
              <m:r>
                <m:t>S</m:t>
              </m:r>
            </m:e>
          </m:d>
          <m:r>
            <m:rPr>
              <m:sty m:val="p"/>
            </m:rPr>
            <m:t>=</m:t>
          </m:r>
          <m:r>
            <m:rPr>
              <m:sty m:val="p"/>
            </m:rPr>
            <m:t>min</m:t>
          </m:r>
          <m:d>
            <m:dPr>
              <m:begChr m:val="{"/>
              <m:endChr m:val="}"/>
              <m:sepChr m:val=""/>
              <m:grow/>
            </m:dPr>
            <m:e>
              <m:sSub>
                <m:e>
                  <m:r>
                    <m:t>U</m:t>
                  </m:r>
                </m:e>
                <m:sub>
                  <m:r>
                    <m:t>0</m:t>
                  </m:r>
                </m:sub>
              </m:sSub>
              <m:d>
                <m:dPr>
                  <m:begChr m:val="("/>
                  <m:endChr m:val=")"/>
                  <m:sepChr m:val=""/>
                  <m:grow/>
                </m:dPr>
                <m:e>
                  <m:r>
                    <m:t>S</m:t>
                  </m:r>
                </m:e>
              </m:d>
              <m:r>
                <m:rPr>
                  <m:sty m:val="p"/>
                </m:rPr>
                <m:t>,</m:t>
              </m:r>
              <m:nary>
                <m:naryPr>
                  <m:chr m:val="∑"/>
                  <m:limLoc m:val="undOvr"/>
                  <m:subHide m:val="off"/>
                  <m:supHide m:val="on"/>
                </m:naryPr>
                <m:sub>
                  <m:r>
                    <m:t>i</m:t>
                  </m:r>
                  <m:r>
                    <m:rPr>
                      <m:sty m:val="p"/>
                    </m:rPr>
                    <m:t>∈</m:t>
                  </m:r>
                  <m:r>
                    <m:t>S</m:t>
                  </m:r>
                </m:sub>
                <m:sup>
                  <m:r>
                    <m:t>​</m:t>
                  </m:r>
                </m:sup>
                <m:e>
                  <m:d>
                    <m:dPr>
                      <m:begChr m:val="("/>
                      <m:endChr m:val=")"/>
                      <m:sepChr m:val=""/>
                      <m:grow/>
                    </m:dPr>
                    <m:e>
                      <m:sSub>
                        <m:e>
                          <m:r>
                            <m:t>z</m:t>
                          </m:r>
                        </m:e>
                        <m:sub>
                          <m:r>
                            <m:t>i</m:t>
                          </m:r>
                        </m:sub>
                      </m:sSub>
                      <m:r>
                        <m:rPr>
                          <m:sty m:val="p"/>
                        </m:rPr>
                        <m:t>+</m:t>
                      </m:r>
                      <m:sSub>
                        <m:e>
                          <m:r>
                            <m:t>e</m:t>
                          </m:r>
                        </m:e>
                        <m:sub>
                          <m:r>
                            <m:t>i</m:t>
                          </m:r>
                        </m:sub>
                      </m:sSub>
                    </m:e>
                  </m:d>
                </m:e>
              </m:nary>
            </m:e>
          </m:d>
          <m:r>
            <m:rPr>
              <m:sty m:val="p"/>
            </m:rPr>
            <m:t>.</m:t>
          </m:r>
        </m:oMath>
      </m:oMathPara>
    </w:p>
    <w:p>
      <w:pPr>
        <w:pStyle w:val="FirstParagraph"/>
      </w:pPr>
      <w:r>
        <w:t xml:space="preserve">For singletons set</w:t>
      </w:r>
      <w:r>
        <w:t xml:space="preserve"> </w:t>
      </w:r>
      <m:oMath>
        <m:r>
          <m:t>L</m:t>
        </m:r>
        <m:d>
          <m:dPr>
            <m:begChr m:val="("/>
            <m:endChr m:val=")"/>
            <m:sepChr m:val=""/>
            <m:grow/>
          </m:dPr>
          <m:e>
            <m:r>
              <m:rPr>
                <m:sty m:val="p"/>
              </m:rPr>
              <m:t>{</m:t>
            </m:r>
            <m:r>
              <m:t>i</m:t>
            </m:r>
            <m:r>
              <m:rPr>
                <m:sty m:val="p"/>
              </m:rPr>
              <m:t>}</m:t>
            </m:r>
          </m:e>
        </m:d>
        <m:r>
          <m:rPr>
            <m:sty m:val="p"/>
          </m:rPr>
          <m:t>=</m:t>
        </m:r>
        <m:r>
          <m:rPr>
            <m:sty m:val="p"/>
          </m:rPr>
          <m:t>max</m:t>
        </m:r>
        <m:r>
          <m:rPr>
            <m:sty m:val="p"/>
          </m:rPr>
          <m:t>{</m:t>
        </m:r>
        <m:r>
          <m:t>0</m:t>
        </m:r>
        <m:r>
          <m:rPr>
            <m:sty m:val="p"/>
          </m:rPr>
          <m:t>,</m:t>
        </m:r>
        <m:sSub>
          <m:e>
            <m:r>
              <m:t>z</m:t>
            </m:r>
          </m:e>
          <m:sub>
            <m:r>
              <m:t>i</m:t>
            </m:r>
          </m:sub>
        </m:sSub>
        <m:r>
          <m:rPr>
            <m:sty m:val="p"/>
          </m:rPr>
          <m:t>−</m:t>
        </m:r>
        <m:sSub>
          <m:e>
            <m:r>
              <m:t>e</m:t>
            </m:r>
          </m:e>
          <m:sub>
            <m:r>
              <m:t>i</m:t>
            </m:r>
          </m:sub>
        </m:sSub>
        <m:r>
          <m:rPr>
            <m:sty m:val="p"/>
          </m:rPr>
          <m:t>}</m:t>
        </m:r>
      </m:oMath>
      <w:r>
        <w:t xml:space="preserve"> </w:t>
      </w:r>
      <w:r>
        <w:t xml:space="preserve">and</w:t>
      </w:r>
      <w:r>
        <w:t xml:space="preserve"> </w:t>
      </w:r>
      <m:oMath>
        <m:r>
          <m:t>U</m:t>
        </m:r>
        <m:d>
          <m:dPr>
            <m:begChr m:val="("/>
            <m:endChr m:val=")"/>
            <m:sepChr m:val=""/>
            <m:grow/>
          </m:dPr>
          <m:e>
            <m:r>
              <m:rPr>
                <m:sty m:val="p"/>
              </m:rPr>
              <m:t>{</m:t>
            </m:r>
            <m:r>
              <m:t>i</m:t>
            </m:r>
            <m:r>
              <m:rPr>
                <m:sty m:val="p"/>
              </m:rPr>
              <m:t>}</m:t>
            </m:r>
          </m:e>
        </m:d>
        <m:r>
          <m:rPr>
            <m:sty m:val="p"/>
          </m:rPr>
          <m:t>=</m:t>
        </m:r>
        <m:sSub>
          <m:e>
            <m:r>
              <m:t>z</m:t>
            </m:r>
          </m:e>
          <m:sub>
            <m:r>
              <m:t>i</m:t>
            </m:r>
          </m:sub>
        </m:sSub>
        <m:r>
          <m:rPr>
            <m:sty m:val="p"/>
          </m:rPr>
          <m:t>+</m:t>
        </m:r>
        <m:sSub>
          <m:e>
            <m:r>
              <m:t>e</m:t>
            </m:r>
          </m:e>
          <m:sub>
            <m:r>
              <m:t>i</m:t>
            </m:r>
          </m:sub>
        </m:sSub>
      </m:oMath>
      <w:r>
        <w:t xml:space="preserve">, and set</w:t>
      </w:r>
      <w:r>
        <w:t xml:space="preserve"> </w:t>
      </w:r>
      <m:oMath>
        <m:r>
          <m:t>L</m:t>
        </m:r>
        <m:d>
          <m:dPr>
            <m:begChr m:val="("/>
            <m:endChr m:val=")"/>
            <m:sepChr m:val=""/>
            <m:grow/>
          </m:dPr>
          <m:e>
            <m:r>
              <m:rPr>
                <m:sty m:val="p"/>
              </m:rPr>
              <m:t>⌀</m:t>
            </m:r>
          </m:e>
        </m:d>
        <m:r>
          <m:rPr>
            <m:sty m:val="p"/>
          </m:rPr>
          <m:t>=</m:t>
        </m:r>
        <m:r>
          <m:t>U</m:t>
        </m:r>
        <m:d>
          <m:dPr>
            <m:begChr m:val="("/>
            <m:endChr m:val=")"/>
            <m:sepChr m:val=""/>
            <m:grow/>
          </m:dPr>
          <m:e>
            <m:r>
              <m:rPr>
                <m:sty m:val="p"/>
              </m:rPr>
              <m:t>⌀</m:t>
            </m:r>
          </m:e>
        </m:d>
        <m:r>
          <m:rPr>
            <m:sty m:val="p"/>
          </m:rPr>
          <m:t>=</m:t>
        </m:r>
        <m:r>
          <m:t>0</m:t>
        </m:r>
      </m:oMath>
      <w:r>
        <w:t xml:space="preserve">. Every rooted-tree cost consistent with the measurements satisfies</w:t>
      </w:r>
    </w:p>
    <w:p>
      <w:pPr>
        <w:pStyle w:val="BodyText"/>
      </w:pPr>
      <m:oMathPara>
        <m:oMathParaPr>
          <m:jc m:val="center"/>
        </m:oMathParaPr>
        <m:oMath>
          <m:r>
            <m:t>L</m:t>
          </m:r>
          <m:d>
            <m:dPr>
              <m:begChr m:val="("/>
              <m:endChr m:val=")"/>
              <m:sepChr m:val=""/>
              <m:grow/>
            </m:dPr>
            <m:e>
              <m:r>
                <m:t>S</m:t>
              </m:r>
            </m:e>
          </m:d>
          <m:r>
            <m:rPr>
              <m:sty m:val="p"/>
            </m:rPr>
            <m:t>≤</m:t>
          </m:r>
          <m:r>
            <m:t>F</m:t>
          </m:r>
          <m:d>
            <m:dPr>
              <m:begChr m:val="("/>
              <m:endChr m:val=")"/>
              <m:sepChr m:val=""/>
              <m:grow/>
            </m:dPr>
            <m:e>
              <m:r>
                <m:t>S</m:t>
              </m:r>
            </m:e>
          </m:d>
          <m:r>
            <m:rPr>
              <m:sty m:val="p"/>
            </m:rPr>
            <m:t>≤</m:t>
          </m:r>
          <m:r>
            <m:t>U</m:t>
          </m:r>
          <m:d>
            <m:dPr>
              <m:begChr m:val="("/>
              <m:endChr m:val=")"/>
              <m:sepChr m:val=""/>
              <m:grow/>
            </m:dPr>
            <m:e>
              <m:r>
                <m:t>S</m:t>
              </m:r>
            </m:e>
          </m:d>
          <m:r>
            <m:rPr>
              <m:sty m:val="p"/>
            </m:rPr>
            <m:t>.</m:t>
          </m:r>
        </m:oMath>
      </m:oMathPara>
    </w:p>
    <w:p>
      <w:pPr>
        <w:pStyle w:val="FirstParagraph"/>
      </w:pPr>
      <w:r>
        <w:t xml:space="preserve">Each endpoint for a specified set of</w:t>
      </w:r>
      <w:r>
        <w:t xml:space="preserve"> </w:t>
      </w:r>
      <m:oMath>
        <m:r>
          <m:t>m</m:t>
        </m:r>
      </m:oMath>
      <w:r>
        <w:t xml:space="preserve"> </w:t>
      </w:r>
      <w:r>
        <w:t xml:space="preserve">sources can be evaluated in</w:t>
      </w:r>
      <w:r>
        <w:t xml:space="preserve"> </w:t>
      </w:r>
      <m:oMath>
        <m:r>
          <m:t>O</m:t>
        </m:r>
        <m:d>
          <m:dPr>
            <m:begChr m:val="("/>
            <m:endChr m:val=")"/>
            <m:sepChr m:val=""/>
            <m:grow/>
          </m:dPr>
          <m:e>
            <m:sSup>
              <m:e>
                <m:r>
                  <m:t>m</m:t>
                </m:r>
              </m:e>
              <m:sup>
                <m:r>
                  <m:t>2</m:t>
                </m:r>
              </m:sup>
            </m:sSup>
          </m:e>
        </m:d>
      </m:oMath>
      <w:r>
        <w:t xml:space="preserve"> </w:t>
      </w:r>
      <w:r>
        <w:t xml:space="preserve">arithmetic operations. The endpoints need not themselves be rooted-tree cost functions.</w:t>
      </w:r>
    </w:p>
    <w:p>
      <w:pPr>
        <w:pStyle w:val="BodyText"/>
      </w:pPr>
      <w:r>
        <w:rPr>
          <w:iCs/>
          <w:i/>
        </w:rPr>
        <w:t xml:space="preserve">Proof.</w:t>
      </w:r>
      <w:r>
        <w:t xml:space="preserve"> </w:t>
      </w:r>
      <w:r>
        <w:t xml:space="preserve">For every</w:t>
      </w:r>
      <w:r>
        <w:t xml:space="preserve"> </w:t>
      </w:r>
      <m:oMath>
        <m:r>
          <m:t>M</m:t>
        </m:r>
      </m:oMath>
      <w:r>
        <w:t xml:space="preserve">, the coefficient signs give</w:t>
      </w:r>
      <w:r>
        <w:t xml:space="preserve"> </w:t>
      </w:r>
      <m:oMath>
        <m:d>
          <m:dPr>
            <m:begChr m:val="|"/>
            <m:endChr m:val="|"/>
            <m:sepChr m:val=""/>
            <m:grow/>
          </m:dPr>
          <m:e>
            <m:sSub>
              <m:e>
                <m:r>
                  <m:t>A</m:t>
                </m:r>
              </m:e>
              <m:sub>
                <m:r>
                  <m:t>M</m:t>
                </m:r>
              </m:sub>
            </m:sSub>
            <m:d>
              <m:dPr>
                <m:begChr m:val="("/>
                <m:endChr m:val=")"/>
                <m:sepChr m:val=""/>
                <m:grow/>
              </m:dPr>
              <m:e>
                <m:r>
                  <m:t>z</m:t>
                </m:r>
              </m:e>
            </m:d>
            <m:r>
              <m:rPr>
                <m:sty m:val="p"/>
              </m:rPr>
              <m:t>−</m:t>
            </m:r>
            <m:sSub>
              <m:e>
                <m:r>
                  <m:t>A</m:t>
                </m:r>
              </m:e>
              <m:sub>
                <m:r>
                  <m:t>M</m:t>
                </m:r>
              </m:sub>
            </m:sSub>
            <m:d>
              <m:dPr>
                <m:begChr m:val="("/>
                <m:endChr m:val=")"/>
                <m:sepChr m:val=""/>
                <m:grow/>
              </m:dPr>
              <m:e>
                <m:r>
                  <m:t>c</m:t>
                </m:r>
              </m:e>
            </m:d>
          </m:e>
        </m:d>
        <m:r>
          <m:rPr>
            <m:sty m:val="p"/>
          </m:rPr>
          <m:t>≤</m:t>
        </m:r>
        <m:sSub>
          <m:e>
            <m:r>
              <m:t>d</m:t>
            </m:r>
          </m:e>
          <m:sub>
            <m:r>
              <m:t>M</m:t>
            </m:r>
          </m:sub>
        </m:sSub>
      </m:oMath>
      <w:r>
        <w:t xml:space="preserve">. Taking minima and using (2.6) proves</w:t>
      </w:r>
      <w:r>
        <w:t xml:space="preserve"> </w:t>
      </w:r>
      <m:oMath>
        <m:sSub>
          <m:e>
            <m:r>
              <m:t>L</m:t>
            </m:r>
          </m:e>
          <m:sub>
            <m:r>
              <m:t>0</m:t>
            </m:r>
          </m:sub>
        </m:sSub>
        <m:d>
          <m:dPr>
            <m:begChr m:val="("/>
            <m:endChr m:val=")"/>
            <m:sepChr m:val=""/>
            <m:grow/>
          </m:dPr>
          <m:e>
            <m:r>
              <m:t>S</m:t>
            </m:r>
          </m:e>
        </m:d>
        <m:r>
          <m:rPr>
            <m:sty m:val="p"/>
          </m:rPr>
          <m:t>≤</m:t>
        </m:r>
        <m:r>
          <m:t>F</m:t>
        </m:r>
        <m:d>
          <m:dPr>
            <m:begChr m:val="("/>
            <m:endChr m:val=")"/>
            <m:sepChr m:val=""/>
            <m:grow/>
          </m:dPr>
          <m:e>
            <m:r>
              <m:t>S</m:t>
            </m:r>
          </m:e>
        </m:d>
        <m:r>
          <m:rPr>
            <m:sty m:val="p"/>
          </m:rPr>
          <m:t>≤</m:t>
        </m:r>
        <m:sSub>
          <m:e>
            <m:r>
              <m:t>U</m:t>
            </m:r>
          </m:e>
          <m:sub>
            <m:r>
              <m:t>0</m:t>
            </m:r>
          </m:sub>
        </m:sSub>
        <m:d>
          <m:dPr>
            <m:begChr m:val="("/>
            <m:endChr m:val=")"/>
            <m:sepChr m:val=""/>
            <m:grow/>
          </m:dPr>
          <m:e>
            <m:r>
              <m:t>S</m:t>
            </m:r>
          </m:e>
        </m:d>
      </m:oMath>
      <w:r>
        <w:t xml:space="preserve">. Nonnegativity and monotonicity imply all the additional lower bounds, while</w:t>
      </w:r>
      <w:r>
        <w:t xml:space="preserve"> </w:t>
      </w:r>
      <m:oMath>
        <m:r>
          <m:t>F</m:t>
        </m:r>
        <m:d>
          <m:dPr>
            <m:begChr m:val="("/>
            <m:endChr m:val=")"/>
            <m:sepChr m:val=""/>
            <m:grow/>
          </m:dPr>
          <m:e>
            <m:r>
              <m:t>S</m:t>
            </m:r>
          </m:e>
        </m:d>
        <m:r>
          <m:rPr>
            <m:sty m:val="p"/>
          </m:rPr>
          <m:t>≤</m:t>
        </m:r>
        <m:nary>
          <m:naryPr>
            <m:chr m:val="∑"/>
            <m:limLoc m:val="undOvr"/>
            <m:subHide m:val="off"/>
            <m:supHide m:val="on"/>
          </m:naryPr>
          <m:sub>
            <m:r>
              <m:t>i</m:t>
            </m:r>
            <m:r>
              <m:rPr>
                <m:sty m:val="p"/>
              </m:rPr>
              <m:t>∈</m:t>
            </m:r>
            <m:r>
              <m:t>S</m:t>
            </m:r>
          </m:sub>
          <m:sup>
            <m:r>
              <m:t>​</m:t>
            </m:r>
          </m:sup>
          <m:e>
            <m:sSub>
              <m:e>
                <m:r>
                  <m:t>c</m:t>
                </m:r>
              </m:e>
              <m:sub>
                <m:r>
                  <m:t>i</m:t>
                </m:r>
              </m:sub>
            </m:sSub>
          </m:e>
        </m:nary>
      </m:oMath>
      <w:r>
        <w:t xml:space="preserve"> </w:t>
      </w:r>
      <w:r>
        <w:t xml:space="preserve">gives the upper bound. Singleton and empty-set bounds are immediate.</w:t>
      </w:r>
    </w:p>
    <w:p>
      <w:pPr>
        <w:pStyle w:val="BodyText"/>
      </w:pPr>
      <w:r>
        <w:t xml:space="preserve">For computation,</w:t>
      </w:r>
      <w:r>
        <w:t xml:space="preserve"> </w:t>
      </w:r>
      <m:oMath>
        <m:sSub>
          <m:e>
            <m:r>
              <m:t>A</m:t>
            </m:r>
          </m:e>
          <m:sub>
            <m:r>
              <m:t>M</m:t>
            </m:r>
          </m:sub>
        </m:sSub>
        <m:d>
          <m:dPr>
            <m:begChr m:val="("/>
            <m:endChr m:val=")"/>
            <m:sepChr m:val=""/>
            <m:grow/>
          </m:dPr>
          <m:e>
            <m:r>
              <m:t>z</m:t>
            </m:r>
          </m:e>
        </m:d>
        <m:r>
          <m:rPr>
            <m:sty m:val="p"/>
          </m:rPr>
          <m:t>−</m:t>
        </m:r>
        <m:sSub>
          <m:e>
            <m:r>
              <m:t>d</m:t>
            </m:r>
          </m:e>
          <m:sub>
            <m:r>
              <m:t>M</m:t>
            </m:r>
          </m:sub>
        </m:sSub>
      </m:oMath>
      <w:r>
        <w:t xml:space="preserve"> </w:t>
      </w:r>
      <w:r>
        <w:t xml:space="preserve">is the expression (2.6) with singleton entries</w:t>
      </w:r>
      <w:r>
        <w:t xml:space="preserve"> </w:t>
      </w:r>
      <m:oMath>
        <m:sSub>
          <m:e>
            <m:r>
              <m:t>z</m:t>
            </m:r>
          </m:e>
          <m:sub>
            <m:r>
              <m:t>i</m:t>
            </m:r>
          </m:sub>
        </m:sSub>
        <m:r>
          <m:rPr>
            <m:sty m:val="p"/>
          </m:rPr>
          <m:t>+</m:t>
        </m:r>
        <m:sSub>
          <m:e>
            <m:r>
              <m:t>e</m:t>
            </m:r>
          </m:e>
          <m:sub>
            <m:r>
              <m:t>i</m:t>
            </m:r>
          </m:sub>
        </m:sSub>
      </m:oMath>
      <w:r>
        <w:t xml:space="preserve"> </w:t>
      </w:r>
      <w:r>
        <w:t xml:space="preserve">and pair entries</w:t>
      </w:r>
      <w:r>
        <w:t xml:space="preserve"> </w:t>
      </w:r>
      <m:oMath>
        <m:sSub>
          <m:e>
            <m:r>
              <m:t>z</m:t>
            </m:r>
          </m:e>
          <m:sub>
            <m:r>
              <m:t>i</m:t>
            </m:r>
            <m:r>
              <m:t>j</m:t>
            </m:r>
          </m:sub>
        </m:sSub>
        <m:r>
          <m:rPr>
            <m:sty m:val="p"/>
          </m:rPr>
          <m:t>−</m:t>
        </m:r>
        <m:sSub>
          <m:e>
            <m:r>
              <m:t>e</m:t>
            </m:r>
          </m:e>
          <m:sub>
            <m:r>
              <m:t>i</m:t>
            </m:r>
            <m:r>
              <m:t>j</m:t>
            </m:r>
          </m:sub>
        </m:sSub>
      </m:oMath>
      <w:r>
        <w:t xml:space="preserve">. The expression</w:t>
      </w:r>
      <w:r>
        <w:t xml:space="preserve"> </w:t>
      </w:r>
      <m:oMath>
        <m:sSub>
          <m:e>
            <m:r>
              <m:t>A</m:t>
            </m:r>
          </m:e>
          <m:sub>
            <m:r>
              <m:t>M</m:t>
            </m:r>
          </m:sub>
        </m:sSub>
        <m:d>
          <m:dPr>
            <m:begChr m:val="("/>
            <m:endChr m:val=")"/>
            <m:sepChr m:val=""/>
            <m:grow/>
          </m:dPr>
          <m:e>
            <m:r>
              <m:t>z</m:t>
            </m:r>
          </m:e>
        </m:d>
        <m:r>
          <m:rPr>
            <m:sty m:val="p"/>
          </m:rPr>
          <m:t>+</m:t>
        </m:r>
        <m:sSub>
          <m:e>
            <m:r>
              <m:t>d</m:t>
            </m:r>
          </m:e>
          <m:sub>
            <m:r>
              <m:t>M</m:t>
            </m:r>
          </m:sub>
        </m:sSub>
      </m:oMath>
      <w:r>
        <w:t xml:space="preserve"> </w:t>
      </w:r>
      <w:r>
        <w:t xml:space="preserve">uses singleton entries</w:t>
      </w:r>
      <w:r>
        <w:t xml:space="preserve"> </w:t>
      </w:r>
      <m:oMath>
        <m:sSub>
          <m:e>
            <m:r>
              <m:t>z</m:t>
            </m:r>
          </m:e>
          <m:sub>
            <m:r>
              <m:t>i</m:t>
            </m:r>
          </m:sub>
        </m:sSub>
        <m:r>
          <m:rPr>
            <m:sty m:val="p"/>
          </m:rPr>
          <m:t>−</m:t>
        </m:r>
        <m:sSub>
          <m:e>
            <m:r>
              <m:t>e</m:t>
            </m:r>
          </m:e>
          <m:sub>
            <m:r>
              <m:t>i</m:t>
            </m:r>
          </m:sub>
        </m:sSub>
      </m:oMath>
      <w:r>
        <w:t xml:space="preserve"> </w:t>
      </w:r>
      <w:r>
        <w:t xml:space="preserve">and pair entries</w:t>
      </w:r>
      <w:r>
        <w:t xml:space="preserve"> </w:t>
      </w:r>
      <m:oMath>
        <m:sSub>
          <m:e>
            <m:r>
              <m:t>z</m:t>
            </m:r>
          </m:e>
          <m:sub>
            <m:r>
              <m:t>i</m:t>
            </m:r>
            <m:r>
              <m:t>j</m:t>
            </m:r>
          </m:sub>
        </m:sSub>
        <m:r>
          <m:rPr>
            <m:sty m:val="p"/>
          </m:rPr>
          <m:t>+</m:t>
        </m:r>
        <m:sSub>
          <m:e>
            <m:r>
              <m:t>e</m:t>
            </m:r>
          </m:e>
          <m:sub>
            <m:r>
              <m:t>i</m:t>
            </m:r>
            <m:r>
              <m:t>j</m:t>
            </m:r>
          </m:sub>
        </m:sSub>
      </m:oMath>
      <w:r>
        <w:t xml:space="preserve">. Each minimum therefore requires one spanning-tree calculation, irrespective of compatibility of the shifted table.</w:t>
      </w:r>
      <w:r>
        <w:t xml:space="preserve"> </w:t>
      </w:r>
      <m:oMath>
        <m:r>
          <m:rPr>
            <m:sty m:val="p"/>
          </m:rPr>
          <m:t>▫</m:t>
        </m:r>
      </m:oMath>
    </w:p>
    <w:p>
      <w:pPr>
        <w:pStyle w:val="BodyText"/>
      </w:pPr>
      <w:r>
        <w:t xml:space="preserve">These are computable outer bounds, not a claim of exact pointwise identification limits or heterogeneous minimax optimality. A negative interval width detects inconsistency with the assumptions, but nonempty intervals do not certify the physical rooted-path model. Under a common tolerance</w:t>
      </w:r>
      <w:r>
        <w:t xml:space="preserve"> </w:t>
      </w:r>
      <m:oMath>
        <m:r>
          <m:t>ε</m:t>
        </m:r>
      </m:oMath>
      <w:r>
        <w:t xml:space="preserve">,</w:t>
      </w:r>
      <w:r>
        <w:t xml:space="preserve"> </w:t>
      </w:r>
      <m:oMath>
        <m:sSub>
          <m:e>
            <m:r>
              <m:t>d</m:t>
            </m:r>
          </m:e>
          <m:sub>
            <m:r>
              <m:t>M</m:t>
            </m:r>
          </m:sub>
        </m:sSub>
        <m:r>
          <m:rPr>
            <m:sty m:val="p"/>
          </m:rPr>
          <m:t>=</m:t>
        </m:r>
        <m:d>
          <m:dPr>
            <m:begChr m:val="("/>
            <m:endChr m:val=")"/>
            <m:sepChr m:val=""/>
            <m:grow/>
          </m:dPr>
          <m:e>
            <m:r>
              <m:t>2</m:t>
            </m:r>
            <m:r>
              <m:t>m</m:t>
            </m:r>
            <m:r>
              <m:rPr>
                <m:sty m:val="p"/>
              </m:rPr>
              <m:t>−</m:t>
            </m:r>
            <m:r>
              <m:t>3</m:t>
            </m:r>
          </m:e>
        </m:d>
        <m:r>
          <m:t>ε</m:t>
        </m:r>
      </m:oMath>
      <w:r>
        <w:t xml:space="preserve"> </w:t>
      </w:r>
      <w:r>
        <w:t xml:space="preserve">for every</w:t>
      </w:r>
      <w:r>
        <w:t xml:space="preserve"> </w:t>
      </w:r>
      <m:oMath>
        <m:r>
          <m:t>M</m:t>
        </m:r>
      </m:oMath>
      <w:r>
        <w:t xml:space="preserve">, so</w:t>
      </w:r>
      <w:r>
        <w:t xml:space="preserve"> </w:t>
      </w:r>
      <m:oMath>
        <m:sSub>
          <m:e>
            <m:r>
              <m:t>L</m:t>
            </m:r>
          </m:e>
          <m:sub>
            <m:r>
              <m:t>0</m:t>
            </m:r>
          </m:sub>
        </m:sSub>
        <m:d>
          <m:dPr>
            <m:begChr m:val="("/>
            <m:endChr m:val=")"/>
            <m:sepChr m:val=""/>
            <m:grow/>
          </m:dPr>
          <m:e>
            <m:r>
              <m:t>S</m:t>
            </m:r>
          </m:e>
        </m:d>
        <m:r>
          <m:rPr>
            <m:sty m:val="p"/>
          </m:rPr>
          <m:t>=</m:t>
        </m:r>
        <m:r>
          <m:t>H</m:t>
        </m:r>
        <m:d>
          <m:dPr>
            <m:begChr m:val="("/>
            <m:endChr m:val=")"/>
            <m:sepChr m:val=""/>
            <m:grow/>
          </m:dPr>
          <m:e>
            <m:r>
              <m:t>S</m:t>
            </m:r>
          </m:e>
        </m:d>
        <m:r>
          <m:rPr>
            <m:sty m:val="p"/>
          </m:rPr>
          <m:t>−</m:t>
        </m:r>
        <m:d>
          <m:dPr>
            <m:begChr m:val="("/>
            <m:endChr m:val=")"/>
            <m:sepChr m:val=""/>
            <m:grow/>
          </m:dPr>
          <m:e>
            <m:r>
              <m:t>2</m:t>
            </m:r>
            <m:r>
              <m:t>m</m:t>
            </m:r>
            <m:r>
              <m:rPr>
                <m:sty m:val="p"/>
              </m:rPr>
              <m:t>−</m:t>
            </m:r>
            <m:r>
              <m:t>3</m:t>
            </m:r>
          </m:e>
        </m:d>
        <m:r>
          <m:t>ε</m:t>
        </m:r>
      </m:oMath>
      <w:r>
        <w:t xml:space="preserve"> </w:t>
      </w:r>
      <w:r>
        <w:t xml:space="preserve">and</w:t>
      </w:r>
      <w:r>
        <w:t xml:space="preserve"> </w:t>
      </w:r>
      <m:oMath>
        <m:sSub>
          <m:e>
            <m:r>
              <m:t>U</m:t>
            </m:r>
          </m:e>
          <m:sub>
            <m:r>
              <m:t>0</m:t>
            </m:r>
          </m:sub>
        </m:sSub>
        <m:d>
          <m:dPr>
            <m:begChr m:val="("/>
            <m:endChr m:val=")"/>
            <m:sepChr m:val=""/>
            <m:grow/>
          </m:dPr>
          <m:e>
            <m:r>
              <m:t>S</m:t>
            </m:r>
          </m:e>
        </m:d>
        <m:r>
          <m:rPr>
            <m:sty m:val="p"/>
          </m:rPr>
          <m:t>=</m:t>
        </m:r>
        <m:r>
          <m:t>H</m:t>
        </m:r>
        <m:d>
          <m:dPr>
            <m:begChr m:val="("/>
            <m:endChr m:val=")"/>
            <m:sepChr m:val=""/>
            <m:grow/>
          </m:dPr>
          <m:e>
            <m:r>
              <m:t>S</m:t>
            </m:r>
          </m:e>
        </m:d>
        <m:r>
          <m:rPr>
            <m:sty m:val="p"/>
          </m:rPr>
          <m:t>+</m:t>
        </m:r>
        <m:d>
          <m:dPr>
            <m:begChr m:val="("/>
            <m:endChr m:val=")"/>
            <m:sepChr m:val=""/>
            <m:grow/>
          </m:dPr>
          <m:e>
            <m:r>
              <m:t>2</m:t>
            </m:r>
            <m:r>
              <m:t>m</m:t>
            </m:r>
            <m:r>
              <m:rPr>
                <m:sty m:val="p"/>
              </m:rPr>
              <m:t>−</m:t>
            </m:r>
            <m:r>
              <m:t>3</m:t>
            </m:r>
          </m:e>
        </m:d>
        <m:r>
          <m:t>ε</m:t>
        </m:r>
      </m:oMath>
      <w:r>
        <w:t xml:space="preserve">.</w:t>
      </w:r>
    </w:p>
    <w:bookmarkEnd w:id="29"/>
    <w:bookmarkEnd w:id="30"/>
    <w:bookmarkStart w:id="34" w:name="sequential-bayesian-decisions"/>
    <w:p>
      <w:pPr>
        <w:pStyle w:val="Heading1"/>
      </w:pPr>
      <w:r>
        <w:t xml:space="preserve">4. Sequential Bayesian decisions</w:t>
      </w:r>
    </w:p>
    <w:bookmarkStart w:id="31" w:name="exact-finite-horizon-solution"/>
    <w:p>
      <w:pPr>
        <w:pStyle w:val="Heading2"/>
      </w:pPr>
      <w:r>
        <w:t xml:space="preserve">4.1. Exact finite-horizon solution</w:t>
      </w:r>
    </w:p>
    <w:p>
      <w:pPr>
        <w:pStyle w:val="FirstParagraph"/>
      </w:pPr>
      <w:r>
        <w:t xml:space="preserve">Let the latent state</w:t>
      </w:r>
      <w:r>
        <w:t xml:space="preserve"> </w:t>
      </w:r>
      <m:oMath>
        <m:r>
          <m:t>X</m:t>
        </m:r>
      </m:oMath>
      <w:r>
        <w:t xml:space="preserve"> </w:t>
      </w:r>
      <w:r>
        <w:t xml:space="preserve">take values in a finite set</w:t>
      </w:r>
      <w:r>
        <w:t xml:space="preserve"> </w:t>
      </w:r>
      <m:oMath>
        <m:r>
          <m:rPr>
            <m:sty m:val="p"/>
            <m:scr m:val="script"/>
          </m:rPr>
          <m:t>X</m:t>
        </m:r>
      </m:oMath>
      <w:r>
        <w:t xml:space="preserve">, with prior</w:t>
      </w:r>
      <w:r>
        <w:t xml:space="preserve"> </w:t>
      </w:r>
      <m:oMath>
        <m:r>
          <m:t>p</m:t>
        </m:r>
      </m:oMath>
      <w:r>
        <w:t xml:space="preserve">. Source</w:t>
      </w:r>
      <w:r>
        <w:t xml:space="preserve"> </w:t>
      </w:r>
      <m:oMath>
        <m:r>
          <m:t>i</m:t>
        </m:r>
      </m:oMath>
      <w:r>
        <w:t xml:space="preserve"> </w:t>
      </w:r>
      <w:r>
        <w:t xml:space="preserve">returns an observation in a finite set</w:t>
      </w:r>
      <w:r>
        <w:t xml:space="preserve"> </w:t>
      </w:r>
      <m:oMath>
        <m:sSub>
          <m:e>
            <m:r>
              <m:rPr>
                <m:sty m:val="p"/>
                <m:scr m:val="script"/>
              </m:rPr>
              <m:t>Y</m:t>
            </m:r>
          </m:e>
          <m:sub>
            <m:r>
              <m:t>i</m:t>
            </m:r>
          </m:sub>
        </m:sSub>
      </m:oMath>
      <w:r>
        <w:t xml:space="preserve">, according to a known likelihood</w:t>
      </w:r>
      <w:r>
        <w:t xml:space="preserve"> </w:t>
      </w:r>
      <m:oMath>
        <m:sSub>
          <m:e>
            <m:r>
              <m:t>L</m:t>
            </m:r>
          </m:e>
          <m:sub>
            <m:r>
              <m:t>i</m:t>
            </m:r>
          </m:sub>
        </m:sSub>
        <m:d>
          <m:dPr>
            <m:begChr m:val="("/>
            <m:endChr m:val=")"/>
            <m:sepChr m:val=""/>
            <m:grow/>
          </m:dPr>
          <m:e>
            <m:r>
              <m:t>y</m:t>
            </m:r>
            <m:r>
              <m:rPr>
                <m:sty m:val="p"/>
              </m:rPr>
              <m:t>∣</m:t>
            </m:r>
            <m:r>
              <m:t>x</m:t>
            </m:r>
          </m:e>
        </m:d>
      </m:oMath>
      <w:r>
        <w:t xml:space="preserve">. Source observations are conditionally independent given</w:t>
      </w:r>
      <w:r>
        <w:t xml:space="preserve"> </w:t>
      </w:r>
      <m:oMath>
        <m:r>
          <m:t>X</m:t>
        </m:r>
      </m:oMath>
      <w:r>
        <w:t xml:space="preserve">.</w:t>
      </w:r>
    </w:p>
    <w:p>
      <w:pPr>
        <w:pStyle w:val="BodyText"/>
      </w:pPr>
      <w:r>
        <w:t xml:space="preserve">A final decision</w:t>
      </w:r>
      <w:r>
        <w:t xml:space="preserve"> </w:t>
      </w:r>
      <m:oMath>
        <m:r>
          <m:t>d</m:t>
        </m:r>
      </m:oMath>
      <w:r>
        <w:t xml:space="preserve"> </w:t>
      </w:r>
      <w:r>
        <w:t xml:space="preserve">belongs to a finite set</w:t>
      </w:r>
      <w:r>
        <w:t xml:space="preserve"> </w:t>
      </w:r>
      <m:oMath>
        <m:r>
          <m:rPr>
            <m:sty m:val="p"/>
            <m:scr m:val="script"/>
          </m:rPr>
          <m:t>D</m:t>
        </m:r>
      </m:oMath>
      <w:r>
        <w:t xml:space="preserve">, with loss</w:t>
      </w:r>
      <w:r>
        <w:t xml:space="preserve"> </w:t>
      </w:r>
      <m:oMath>
        <m:r>
          <m:t>0</m:t>
        </m:r>
        <m:r>
          <m:rPr>
            <m:sty m:val="p"/>
          </m:rPr>
          <m:t>≤</m:t>
        </m:r>
        <m:r>
          <m:rPr>
            <m:sty m:val="p"/>
          </m:rPr>
          <m:t>ℓ</m:t>
        </m:r>
        <m:d>
          <m:dPr>
            <m:begChr m:val="("/>
            <m:endChr m:val=")"/>
            <m:sepChr m:val=""/>
            <m:grow/>
          </m:dPr>
          <m:e>
            <m:r>
              <m:t>d</m:t>
            </m:r>
            <m:r>
              <m:rPr>
                <m:sty m:val="p"/>
              </m:rPr>
              <m:t>,</m:t>
            </m:r>
            <m:r>
              <m:t>x</m:t>
            </m:r>
          </m:e>
        </m:d>
        <m:r>
          <m:rPr>
            <m:sty m:val="p"/>
          </m:rPr>
          <m:t>≤</m:t>
        </m:r>
        <m:r>
          <m:t>1</m:t>
        </m:r>
      </m:oMath>
      <w:r>
        <w:t xml:space="preserve">. A policy may stop or query an unqueried source, with at most</w:t>
      </w:r>
      <w:r>
        <w:t xml:space="preserve"> </w:t>
      </w:r>
      <m:oMath>
        <m:r>
          <m:t>B</m:t>
        </m:r>
        <m:r>
          <m:rPr>
            <m:sty m:val="p"/>
          </m:rPr>
          <m:t>≤</m:t>
        </m:r>
        <m:r>
          <m:t>n</m:t>
        </m:r>
      </m:oMath>
      <w:r>
        <w:t xml:space="preserve"> </w:t>
      </w:r>
      <w:r>
        <w:t xml:space="preserve">queries. If its final queried set is</w:t>
      </w:r>
      <w:r>
        <w:t xml:space="preserve"> </w:t>
      </w:r>
      <m:oMath>
        <m:sSub>
          <m:e>
            <m:r>
              <m:t>S</m:t>
            </m:r>
          </m:e>
          <m:sub>
            <m:r>
              <m:t>τ</m:t>
            </m:r>
          </m:sub>
        </m:sSub>
      </m:oMath>
      <w:r>
        <w:t xml:space="preserve">, its objective is</w:t>
      </w:r>
    </w:p>
    <w:p>
      <w:pPr>
        <w:pStyle w:val="BodyText"/>
        <w:jc w:val="center"/>
      </w:pPr>
      <m:oMath>
        <m:sSub>
          <m:e>
            <m:r>
              <m:t>J</m:t>
            </m:r>
          </m:e>
          <m:sub>
            <m:r>
              <m:t>F</m:t>
            </m:r>
          </m:sub>
        </m:sSub>
        <m:d>
          <m:dPr>
            <m:begChr m:val="("/>
            <m:endChr m:val=")"/>
            <m:sepChr m:val=""/>
            <m:grow/>
          </m:dPr>
          <m:e>
            <m:r>
              <m:t>π</m:t>
            </m:r>
          </m:e>
        </m:d>
        <m:r>
          <m:rPr>
            <m:sty m:val="p"/>
          </m:rPr>
          <m:t>=</m:t>
        </m:r>
        <m:sSup>
          <m:e>
            <m:r>
              <m:rPr>
                <m:sty m:val="p"/>
                <m:scr m:val="double-struck"/>
              </m:rPr>
              <m:t>E</m:t>
            </m:r>
          </m:e>
          <m:sup>
            <m:r>
              <m:t>π</m:t>
            </m:r>
          </m:sup>
        </m:sSup>
        <m:r>
          <m:rPr>
            <m:sty m:val="p"/>
          </m:rPr>
          <m:t>[</m:t>
        </m:r>
        <m:r>
          <m:rPr>
            <m:sty m:val="p"/>
          </m:rPr>
          <m:t>ℓ</m:t>
        </m:r>
        <m:d>
          <m:dPr>
            <m:begChr m:val="("/>
            <m:endChr m:val=")"/>
            <m:sepChr m:val=""/>
            <m:grow/>
          </m:dPr>
          <m:e>
            <m:sSub>
              <m:e>
                <m:r>
                  <m:t>d</m:t>
                </m:r>
              </m:e>
              <m:sub>
                <m:r>
                  <m:t>τ</m:t>
                </m:r>
              </m:sub>
            </m:sSub>
            <m:r>
              <m:rPr>
                <m:sty m:val="p"/>
              </m:rPr>
              <m:t>,</m:t>
            </m:r>
            <m:r>
              <m:t>X</m:t>
            </m:r>
          </m:e>
        </m:d>
        <m:r>
          <m:rPr>
            <m:sty m:val="p"/>
          </m:rPr>
          <m:t>+</m:t>
        </m:r>
        <m:r>
          <m:t>λ</m:t>
        </m:r>
        <m:r>
          <m:t>F</m:t>
        </m:r>
        <m:d>
          <m:dPr>
            <m:begChr m:val="("/>
            <m:endChr m:val=")"/>
            <m:sepChr m:val=""/>
            <m:grow/>
          </m:dPr>
          <m:e>
            <m:sSub>
              <m:e>
                <m:r>
                  <m:t>S</m:t>
                </m:r>
              </m:e>
              <m:sub>
                <m:r>
                  <m:t>τ</m:t>
                </m:r>
              </m:sub>
            </m:sSub>
          </m:e>
        </m:d>
        <m:r>
          <m:rPr>
            <m:sty m:val="p"/>
          </m:rPr>
          <m:t>]</m:t>
        </m:r>
        <m:r>
          <m:rPr>
            <m:sty m:val="p"/>
          </m:rPr>
          <m:t>,</m:t>
        </m:r>
        <m:r>
          <m:t> </m:t>
        </m:r>
        <m:r>
          <m:t> </m:t>
        </m:r>
        <m:r>
          <m:t>λ</m:t>
        </m:r>
        <m:r>
          <m:rPr>
            <m:sty m:val="p"/>
          </m:rPr>
          <m:t>&gt;</m:t>
        </m:r>
        <m:r>
          <m:t>0</m:t>
        </m:r>
        <m:r>
          <m:rPr>
            <m:sty m:val="p"/>
          </m:rPr>
          <m:t>.</m:t>
        </m:r>
      </m:oMath>
      <w:r>
        <w:t xml:space="preserve">     (4.1)</w:t>
      </w:r>
    </w:p>
    <w:p>
      <w:pPr>
        <w:pStyle w:val="BodyText"/>
      </w:pPr>
      <w:r>
        <w:t xml:space="preserve">The query limit is a call budget; monetary cost appears as a penalty. A hard monetary constraint would make the admissible policy class depend on the estimated cost and requires separate treatment.</w:t>
      </w:r>
    </w:p>
    <w:p>
      <w:pPr>
        <w:pStyle w:val="BodyText"/>
      </w:pPr>
      <w:r>
        <w:t xml:space="preserve">For posterior</w:t>
      </w:r>
      <w:r>
        <w:t xml:space="preserve"> </w:t>
      </w:r>
      <m:oMath>
        <m:r>
          <m:t>p</m:t>
        </m:r>
      </m:oMath>
      <w:r>
        <w:t xml:space="preserve">, define</w:t>
      </w:r>
    </w:p>
    <w:p>
      <w:pPr>
        <w:pStyle w:val="BodyText"/>
      </w:pPr>
      <m:oMathPara>
        <m:oMathParaPr>
          <m:jc m:val="center"/>
        </m:oMathParaPr>
        <m:oMath>
          <m:r>
            <m:t>r</m:t>
          </m:r>
          <m:d>
            <m:dPr>
              <m:begChr m:val="("/>
              <m:endChr m:val=")"/>
              <m:sepChr m:val=""/>
              <m:grow/>
            </m:dPr>
            <m:e>
              <m:r>
                <m:t>p</m:t>
              </m:r>
            </m:e>
          </m:d>
          <m:r>
            <m:rPr>
              <m:sty m:val="p"/>
            </m:rPr>
            <m:t>=</m:t>
          </m:r>
          <m:limLow>
            <m:e>
              <m:r>
                <m:rPr>
                  <m:sty m:val="p"/>
                </m:rPr>
                <m:t>min</m:t>
              </m:r>
            </m:e>
            <m:lim>
              <m:r>
                <m:t>d</m:t>
              </m:r>
              <m:r>
                <m:rPr>
                  <m:sty m:val="p"/>
                </m:rPr>
                <m:t>∈</m:t>
              </m:r>
              <m:r>
                <m:rPr>
                  <m:sty m:val="p"/>
                  <m:scr m:val="script"/>
                </m:rPr>
                <m:t>D</m:t>
              </m:r>
            </m:lim>
          </m:limLow>
          <m:nary>
            <m:naryPr>
              <m:chr m:val="∑"/>
              <m:limLoc m:val="undOvr"/>
              <m:subHide m:val="off"/>
              <m:supHide m:val="on"/>
            </m:naryPr>
            <m:sub>
              <m:r>
                <m:t>x</m:t>
              </m:r>
            </m:sub>
            <m:sup>
              <m:r>
                <m:t>​</m:t>
              </m:r>
            </m:sup>
            <m:e>
              <m:r>
                <m:t>p</m:t>
              </m:r>
            </m:e>
          </m:nary>
          <m:d>
            <m:dPr>
              <m:begChr m:val="("/>
              <m:endChr m:val=")"/>
              <m:sepChr m:val=""/>
              <m:grow/>
            </m:dPr>
            <m:e>
              <m:r>
                <m:t>x</m:t>
              </m:r>
            </m:e>
          </m:d>
          <m:r>
            <m:rPr>
              <m:sty m:val="p"/>
            </m:rPr>
            <m:t>ℓ</m:t>
          </m:r>
          <m:d>
            <m:dPr>
              <m:begChr m:val="("/>
              <m:endChr m:val=")"/>
              <m:sepChr m:val=""/>
              <m:grow/>
            </m:dPr>
            <m:e>
              <m:r>
                <m:t>d</m:t>
              </m:r>
              <m:r>
                <m:rPr>
                  <m:sty m:val="p"/>
                </m:rPr>
                <m:t>,</m:t>
              </m:r>
              <m:r>
                <m:t>x</m:t>
              </m:r>
            </m:e>
          </m:d>
          <m:r>
            <m:rPr>
              <m:sty m:val="p"/>
            </m:rPr>
            <m:t>,</m:t>
          </m:r>
        </m:oMath>
      </m:oMathPara>
    </w:p>
    <w:p>
      <w:pPr>
        <w:pStyle w:val="FirstParagraph"/>
        <w:jc w:val="center"/>
      </w:pPr>
      <m:oMath>
        <m:sSub>
          <m:e>
            <m:r>
              <m:t>q</m:t>
            </m:r>
          </m:e>
          <m:sub>
            <m:r>
              <m:t>i</m:t>
            </m:r>
          </m:sub>
        </m:sSub>
        <m:d>
          <m:dPr>
            <m:begChr m:val="("/>
            <m:endChr m:val=")"/>
            <m:sepChr m:val=""/>
            <m:grow/>
          </m:dPr>
          <m:e>
            <m:r>
              <m:t>y</m:t>
            </m:r>
            <m:r>
              <m:rPr>
                <m:sty m:val="p"/>
              </m:rPr>
              <m:t>∣</m:t>
            </m:r>
            <m:r>
              <m:t>p</m:t>
            </m:r>
          </m:e>
        </m:d>
        <m:r>
          <m:rPr>
            <m:sty m:val="p"/>
          </m:rPr>
          <m:t>=</m:t>
        </m:r>
        <m:nary>
          <m:naryPr>
            <m:chr m:val="∑"/>
            <m:limLoc m:val="undOvr"/>
            <m:subHide m:val="off"/>
            <m:supHide m:val="on"/>
          </m:naryPr>
          <m:sub>
            <m:r>
              <m:t>x</m:t>
            </m:r>
          </m:sub>
          <m:sup>
            <m:r>
              <m:t>​</m:t>
            </m:r>
          </m:sup>
          <m:e>
            <m:r>
              <m:t>p</m:t>
            </m:r>
          </m:e>
        </m:nary>
        <m:d>
          <m:dPr>
            <m:begChr m:val="("/>
            <m:endChr m:val=")"/>
            <m:sepChr m:val=""/>
            <m:grow/>
          </m:dPr>
          <m:e>
            <m:r>
              <m:t>x</m:t>
            </m:r>
          </m:e>
        </m:d>
        <m:sSub>
          <m:e>
            <m:r>
              <m:t>L</m:t>
            </m:r>
          </m:e>
          <m:sub>
            <m:r>
              <m:t>i</m:t>
            </m:r>
          </m:sub>
        </m:sSub>
        <m:d>
          <m:dPr>
            <m:begChr m:val="("/>
            <m:endChr m:val=")"/>
            <m:sepChr m:val=""/>
            <m:grow/>
          </m:dPr>
          <m:e>
            <m:r>
              <m:t>y</m:t>
            </m:r>
            <m:r>
              <m:rPr>
                <m:sty m:val="p"/>
              </m:rPr>
              <m:t>∣</m:t>
            </m:r>
            <m:r>
              <m:t>x</m:t>
            </m:r>
          </m:e>
        </m:d>
        <m:r>
          <m:rPr>
            <m:sty m:val="p"/>
          </m:rPr>
          <m:t>,</m:t>
        </m:r>
        <m:r>
          <m:t> </m:t>
        </m:r>
        <m:r>
          <m:t> </m:t>
        </m:r>
        <m:sSub>
          <m:e>
            <m:r>
              <m:t>T</m:t>
            </m:r>
          </m:e>
          <m:sub>
            <m:r>
              <m:t>i</m:t>
            </m:r>
          </m:sub>
        </m:sSub>
        <m:d>
          <m:dPr>
            <m:begChr m:val="("/>
            <m:endChr m:val=")"/>
            <m:sepChr m:val=""/>
            <m:grow/>
          </m:dPr>
          <m:e>
            <m:r>
              <m:t>p</m:t>
            </m:r>
            <m:r>
              <m:rPr>
                <m:sty m:val="p"/>
              </m:rPr>
              <m:t>,</m:t>
            </m:r>
            <m:r>
              <m:t>y</m:t>
            </m:r>
          </m:e>
        </m:d>
        <m:d>
          <m:dPr>
            <m:begChr m:val="("/>
            <m:endChr m:val=")"/>
            <m:sepChr m:val=""/>
            <m:grow/>
          </m:dPr>
          <m:e>
            <m:r>
              <m:t>x</m:t>
            </m:r>
          </m:e>
        </m:d>
        <m:r>
          <m:rPr>
            <m:sty m:val="p"/>
          </m:rPr>
          <m:t>=</m:t>
        </m:r>
        <m:f>
          <m:fPr>
            <m:type m:val="bar"/>
          </m:fPr>
          <m:num>
            <m:r>
              <m:t>p</m:t>
            </m:r>
            <m:d>
              <m:dPr>
                <m:begChr m:val="("/>
                <m:endChr m:val=")"/>
                <m:sepChr m:val=""/>
                <m:grow/>
              </m:dPr>
              <m:e>
                <m:r>
                  <m:t>x</m:t>
                </m:r>
              </m:e>
            </m:d>
            <m:sSub>
              <m:e>
                <m:r>
                  <m:t>L</m:t>
                </m:r>
              </m:e>
              <m:sub>
                <m:r>
                  <m:t>i</m:t>
                </m:r>
              </m:sub>
            </m:sSub>
            <m:d>
              <m:dPr>
                <m:begChr m:val="("/>
                <m:endChr m:val=")"/>
                <m:sepChr m:val=""/>
                <m:grow/>
              </m:dPr>
              <m:e>
                <m:r>
                  <m:t>y</m:t>
                </m:r>
                <m:r>
                  <m:rPr>
                    <m:sty m:val="p"/>
                  </m:rPr>
                  <m:t>∣</m:t>
                </m:r>
                <m:r>
                  <m:t>x</m:t>
                </m:r>
              </m:e>
            </m:d>
          </m:num>
          <m:den>
            <m:sSub>
              <m:e>
                <m:r>
                  <m:t>q</m:t>
                </m:r>
              </m:e>
              <m:sub>
                <m:r>
                  <m:t>i</m:t>
                </m:r>
              </m:sub>
            </m:sSub>
            <m:d>
              <m:dPr>
                <m:begChr m:val="("/>
                <m:endChr m:val=")"/>
                <m:sepChr m:val=""/>
                <m:grow/>
              </m:dPr>
              <m:e>
                <m:r>
                  <m:t>y</m:t>
                </m:r>
                <m:r>
                  <m:rPr>
                    <m:sty m:val="p"/>
                  </m:rPr>
                  <m:t>∣</m:t>
                </m:r>
                <m:r>
                  <m:t>p</m:t>
                </m:r>
              </m:e>
            </m:d>
          </m:den>
        </m:f>
        <m:r>
          <m:rPr>
            <m:sty m:val="p"/>
          </m:rPr>
          <m:t>.</m:t>
        </m:r>
      </m:oMath>
      <w:r>
        <w:t xml:space="preserve">     (4.2)</w:t>
      </w:r>
    </w:p>
    <w:p>
      <w:pPr>
        <w:pStyle w:val="BodyText"/>
      </w:pPr>
      <w:r>
        <w:t xml:space="preserve">Outcomes of zero predictive probability are omitted.</w:t>
      </w:r>
    </w:p>
    <w:p>
      <w:pPr>
        <w:pStyle w:val="BodyText"/>
        <w:keepNext/>
        <w:spacing w:before="180"/>
      </w:pPr>
      <w:r>
        <w:rPr>
          <w:bCs/>
          <w:b/>
        </w:rPr>
        <w:t xml:space="preserve">Proposition 4.1 — Bellman recursion.</w:t>
      </w:r>
      <w:r>
        <w:t xml:space="preserve"> </w:t>
      </w:r>
      <w:r>
        <w:t xml:space="preserve">The minimum expected remaining loss and future acquisition cost, after querying</w:t>
      </w:r>
      <w:r>
        <w:t xml:space="preserve"> </w:t>
      </w:r>
      <m:oMath>
        <m:r>
          <m:t>A</m:t>
        </m:r>
      </m:oMath>
      <w:r>
        <w:t xml:space="preserve"> </w:t>
      </w:r>
      <w:r>
        <w:t xml:space="preserve">and with</w:t>
      </w:r>
      <w:r>
        <w:t xml:space="preserve"> </w:t>
      </w:r>
      <m:oMath>
        <m:r>
          <m:t>b</m:t>
        </m:r>
      </m:oMath>
      <w:r>
        <w:t xml:space="preserve"> </w:t>
      </w:r>
      <w:r>
        <w:t xml:space="preserve">calls remaining, is</w:t>
      </w:r>
    </w:p>
    <w:p>
      <w:pPr>
        <w:pStyle w:val="BodyText"/>
        <w:jc w:val="center"/>
      </w:pPr>
      <m:oMath>
        <m:sSub>
          <m:e>
            <m:r>
              <m:t>V</m:t>
            </m:r>
          </m:e>
          <m:sub>
            <m:r>
              <m:t>0</m:t>
            </m:r>
          </m:sub>
        </m:sSub>
        <m:d>
          <m:dPr>
            <m:begChr m:val="("/>
            <m:endChr m:val=")"/>
            <m:sepChr m:val=""/>
            <m:grow/>
          </m:dPr>
          <m:e>
            <m:r>
              <m:t>p</m:t>
            </m:r>
            <m:r>
              <m:rPr>
                <m:sty m:val="p"/>
              </m:rPr>
              <m:t>,</m:t>
            </m:r>
            <m:r>
              <m:t>A</m:t>
            </m:r>
          </m:e>
        </m:d>
        <m:r>
          <m:rPr>
            <m:sty m:val="p"/>
          </m:rPr>
          <m:t>=</m:t>
        </m:r>
        <m:r>
          <m:t>r</m:t>
        </m:r>
        <m:d>
          <m:dPr>
            <m:begChr m:val="("/>
            <m:endChr m:val=")"/>
            <m:sepChr m:val=""/>
            <m:grow/>
          </m:dPr>
          <m:e>
            <m:r>
              <m:t>p</m:t>
            </m:r>
          </m:e>
        </m:d>
        <m:r>
          <m:rPr>
            <m:sty m:val="p"/>
          </m:rPr>
          <m:t>,</m:t>
        </m:r>
      </m:oMath>
      <w:r>
        <w:t xml:space="preserve">     (4.3)</w:t>
      </w:r>
    </w:p>
    <w:p>
      <w:pPr>
        <w:pStyle w:val="BodyText"/>
      </w:pPr>
      <w:r>
        <w:t xml:space="preserve">and, for</w:t>
      </w:r>
      <w:r>
        <w:t xml:space="preserve"> </w:t>
      </w:r>
      <m:oMath>
        <m:r>
          <m:t>b</m:t>
        </m:r>
        <m:r>
          <m:rPr>
            <m:sty m:val="p"/>
          </m:rPr>
          <m:t>≥</m:t>
        </m:r>
        <m:r>
          <m:t>1</m:t>
        </m:r>
      </m:oMath>
      <w:r>
        <w:t xml:space="preserve">,</w:t>
      </w:r>
    </w:p>
    <w:p>
      <w:pPr>
        <w:pStyle w:val="BodyText"/>
        <w:jc w:val="center"/>
      </w:pPr>
      <m:oMath>
        <m:m>
          <m:mPr>
            <m:baseJc m:val="center"/>
            <m:plcHide m:val="on"/>
            <m:mcs>
              <m:mc>
                <m:mcPr>
                  <m:mcJc m:val="right"/>
                  <m:count m:val="1"/>
                </m:mcPr>
              </m:mc>
            </m:mcs>
          </m:mPr>
          <m:mr>
            <m:e>
              <m:sSub>
                <m:e>
                  <m:r>
                    <m:t>V</m:t>
                  </m:r>
                </m:e>
                <m:sub>
                  <m:r>
                    <m:t>b</m:t>
                  </m:r>
                </m:sub>
              </m:sSub>
              <m:d>
                <m:dPr>
                  <m:begChr m:val="("/>
                  <m:endChr m:val=")"/>
                  <m:sepChr m:val=""/>
                  <m:grow/>
                </m:dPr>
                <m:e>
                  <m:r>
                    <m:t>p</m:t>
                  </m:r>
                  <m:r>
                    <m:rPr>
                      <m:sty m:val="p"/>
                    </m:rPr>
                    <m:t>,</m:t>
                  </m:r>
                  <m:r>
                    <m:t>A</m:t>
                  </m:r>
                </m:e>
              </m:d>
              <m:r>
                <m:rPr>
                  <m:sty m:val="p"/>
                </m:rPr>
                <m:t>=</m:t>
              </m:r>
              <m:r>
                <m:rPr>
                  <m:sty m:val="p"/>
                </m:rPr>
                <m:t>min</m:t>
              </m:r>
              <m:r>
                <m:rPr>
                  <m:sty m:val="p"/>
                </m:rPr>
                <m:t>{</m:t>
              </m:r>
              <m:r>
                <m:t>r</m:t>
              </m:r>
              <m:d>
                <m:dPr>
                  <m:begChr m:val="("/>
                  <m:endChr m:val=")"/>
                  <m:sepChr m:val=""/>
                  <m:grow/>
                </m:dPr>
                <m:e>
                  <m:r>
                    <m:t>p</m:t>
                  </m:r>
                </m:e>
              </m:d>
              <m:r>
                <m:rPr>
                  <m:sty m:val="p"/>
                </m:rPr>
                <m:t>,</m:t>
              </m:r>
              <m:r>
                <m:t> </m:t>
              </m:r>
              <m:limLow>
                <m:e>
                  <m:r>
                    <m:rPr>
                      <m:sty m:val="p"/>
                    </m:rPr>
                    <m:t>min</m:t>
                  </m:r>
                </m:e>
                <m:lim>
                  <m:r>
                    <m:t>i</m:t>
                  </m:r>
                  <m:r>
                    <m:rPr>
                      <m:sty m:val="p"/>
                    </m:rPr>
                    <m:t>∉</m:t>
                  </m:r>
                  <m:r>
                    <m:t>A</m:t>
                  </m:r>
                </m:lim>
              </m:limLow>
              <m:r>
                <m:rPr>
                  <m:sty m:val="p"/>
                </m:rPr>
                <m:t>[</m:t>
              </m:r>
              <m:r>
                <m:t>λ</m:t>
              </m:r>
              <m:d>
                <m:dPr>
                  <m:begChr m:val="("/>
                  <m:endChr m:val=")"/>
                  <m:sepChr m:val=""/>
                  <m:grow/>
                </m:dPr>
                <m:e>
                  <m:r>
                    <m:t>F</m:t>
                  </m:r>
                  <m:d>
                    <m:dPr>
                      <m:begChr m:val="("/>
                      <m:endChr m:val=")"/>
                      <m:sepChr m:val=""/>
                      <m:grow/>
                    </m:dPr>
                    <m:e>
                      <m:r>
                        <m:t>A</m:t>
                      </m:r>
                      <m:r>
                        <m:rPr>
                          <m:sty m:val="p"/>
                        </m:rPr>
                        <m:t>∪</m:t>
                      </m:r>
                      <m:r>
                        <m:rPr>
                          <m:sty m:val="p"/>
                        </m:rPr>
                        <m:t>{</m:t>
                      </m:r>
                      <m:r>
                        <m:t>i</m:t>
                      </m:r>
                      <m:r>
                        <m:rPr>
                          <m:sty m:val="p"/>
                        </m:rPr>
                        <m:t>}</m:t>
                      </m:r>
                    </m:e>
                  </m:d>
                  <m:r>
                    <m:rPr>
                      <m:sty m:val="p"/>
                    </m:rPr>
                    <m:t>−</m:t>
                  </m:r>
                  <m:r>
                    <m:t>F</m:t>
                  </m:r>
                  <m:d>
                    <m:dPr>
                      <m:begChr m:val="("/>
                      <m:endChr m:val=")"/>
                      <m:sepChr m:val=""/>
                      <m:grow/>
                    </m:dPr>
                    <m:e>
                      <m:r>
                        <m:t>A</m:t>
                      </m:r>
                    </m:e>
                  </m:d>
                </m:e>
              </m:d>
            </m:e>
          </m:mr>
          <m:mr>
            <m:e>
              <m:r>
                <m:rPr>
                  <m:sty m:val="p"/>
                </m:rPr>
                <m:t>+</m:t>
              </m:r>
              <m:nary>
                <m:naryPr>
                  <m:chr m:val="∑"/>
                  <m:limLoc m:val="undOvr"/>
                  <m:subHide m:val="off"/>
                  <m:supHide m:val="on"/>
                </m:naryPr>
                <m:sub>
                  <m:r>
                    <m:t>y</m:t>
                  </m:r>
                </m:sub>
                <m:sup>
                  <m:r>
                    <m:t>​</m:t>
                  </m:r>
                </m:sup>
                <m:e>
                  <m:sSub>
                    <m:e>
                      <m:r>
                        <m:t>q</m:t>
                      </m:r>
                    </m:e>
                    <m:sub>
                      <m:r>
                        <m:t>i</m:t>
                      </m:r>
                    </m:sub>
                  </m:sSub>
                </m:e>
              </m:nary>
              <m:d>
                <m:dPr>
                  <m:begChr m:val="("/>
                  <m:endChr m:val=")"/>
                  <m:sepChr m:val=""/>
                  <m:grow/>
                </m:dPr>
                <m:e>
                  <m:r>
                    <m:t>y</m:t>
                  </m:r>
                  <m:r>
                    <m:rPr>
                      <m:sty m:val="p"/>
                    </m:rPr>
                    <m:t>∣</m:t>
                  </m:r>
                  <m:r>
                    <m:t>p</m:t>
                  </m:r>
                </m:e>
              </m:d>
              <m:sSub>
                <m:e>
                  <m:r>
                    <m:t>V</m:t>
                  </m:r>
                </m:e>
                <m:sub>
                  <m:r>
                    <m:t>b</m:t>
                  </m:r>
                  <m:r>
                    <m:rPr>
                      <m:sty m:val="p"/>
                    </m:rPr>
                    <m:t>−</m:t>
                  </m:r>
                  <m:r>
                    <m:t>1</m:t>
                  </m:r>
                </m:sub>
              </m:sSub>
              <m:d>
                <m:dPr>
                  <m:begChr m:val="("/>
                  <m:endChr m:val=")"/>
                  <m:sepChr m:val=""/>
                  <m:grow/>
                </m:dPr>
                <m:e>
                  <m:sSub>
                    <m:e>
                      <m:r>
                        <m:t>T</m:t>
                      </m:r>
                    </m:e>
                    <m:sub>
                      <m:r>
                        <m:t>i</m:t>
                      </m:r>
                    </m:sub>
                  </m:sSub>
                  <m:d>
                    <m:dPr>
                      <m:begChr m:val="("/>
                      <m:endChr m:val=")"/>
                      <m:sepChr m:val=""/>
                      <m:grow/>
                    </m:dPr>
                    <m:e>
                      <m:r>
                        <m:t>p</m:t>
                      </m:r>
                      <m:r>
                        <m:rPr>
                          <m:sty m:val="p"/>
                        </m:rPr>
                        <m:t>,</m:t>
                      </m:r>
                      <m:r>
                        <m:t>y</m:t>
                      </m:r>
                    </m:e>
                  </m:d>
                  <m:r>
                    <m:rPr>
                      <m:sty m:val="p"/>
                    </m:rPr>
                    <m:t>,</m:t>
                  </m:r>
                  <m:r>
                    <m:t>A</m:t>
                  </m:r>
                  <m:r>
                    <m:rPr>
                      <m:sty m:val="p"/>
                    </m:rPr>
                    <m:t>∪</m:t>
                  </m:r>
                  <m:r>
                    <m:rPr>
                      <m:sty m:val="p"/>
                    </m:rPr>
                    <m:t>{</m:t>
                  </m:r>
                  <m:r>
                    <m:t>i</m:t>
                  </m:r>
                  <m:r>
                    <m:rPr>
                      <m:sty m:val="p"/>
                    </m:rPr>
                    <m:t>}</m:t>
                  </m:r>
                </m:e>
              </m:d>
              <m:r>
                <m:rPr>
                  <m:sty m:val="p"/>
                </m:rPr>
                <m:t>]</m:t>
              </m:r>
              <m:r>
                <m:rPr>
                  <m:sty m:val="p"/>
                </m:rPr>
                <m:t>}</m:t>
              </m:r>
              <m:r>
                <m:rPr>
                  <m:sty m:val="p"/>
                </m:rPr>
                <m:t>.</m:t>
              </m:r>
            </m:e>
          </m:mr>
        </m:m>
      </m:oMath>
      <w:r>
        <w:t xml:space="preserve">     (4.4)</w:t>
      </w:r>
    </w:p>
    <w:p>
      <w:pPr>
        <w:pStyle w:val="BodyText"/>
      </w:pPr>
      <w:r>
        <w:t xml:space="preserve">If no source remains, only the stopping term is used. A deterministic optimal policy exists.</w:t>
      </w:r>
    </w:p>
    <w:p>
      <w:pPr>
        <w:pStyle w:val="BodyText"/>
      </w:pPr>
      <w:r>
        <w:rPr>
          <w:iCs/>
          <w:i/>
        </w:rPr>
        <w:t xml:space="preserve">Proof.</w:t>
      </w:r>
      <w:r>
        <w:t xml:space="preserve"> </w:t>
      </w:r>
      <w:r>
        <w:t xml:space="preserve">Conditional independence makes</w:t>
      </w:r>
      <w:r>
        <w:t xml:space="preserve"> </w:t>
      </w:r>
      <m:oMath>
        <m:d>
          <m:dPr>
            <m:begChr m:val="("/>
            <m:endChr m:val=")"/>
            <m:sepChr m:val=""/>
            <m:grow/>
          </m:dPr>
          <m:e>
            <m:r>
              <m:t>p</m:t>
            </m:r>
            <m:r>
              <m:rPr>
                <m:sty m:val="p"/>
              </m:rPr>
              <m:t>,</m:t>
            </m:r>
            <m:r>
              <m:t>A</m:t>
            </m:r>
            <m:r>
              <m:rPr>
                <m:sty m:val="p"/>
              </m:rPr>
              <m:t>,</m:t>
            </m:r>
            <m:r>
              <m:t>b</m:t>
            </m:r>
          </m:e>
        </m:d>
      </m:oMath>
      <w:r>
        <w:t xml:space="preserve"> </w:t>
      </w:r>
      <w:r>
        <w:t xml:space="preserve">sufficient for predicting every remaining observation. Stopping incurs Bayes risk</w:t>
      </w:r>
      <w:r>
        <w:t xml:space="preserve"> </w:t>
      </w:r>
      <m:oMath>
        <m:r>
          <m:t>r</m:t>
        </m:r>
        <m:d>
          <m:dPr>
            <m:begChr m:val="("/>
            <m:endChr m:val=")"/>
            <m:sepChr m:val=""/>
            <m:grow/>
          </m:dPr>
          <m:e>
            <m:r>
              <m:t>p</m:t>
            </m:r>
          </m:e>
        </m:d>
      </m:oMath>
      <w:r>
        <w:t xml:space="preserve">. Querying</w:t>
      </w:r>
      <w:r>
        <w:t xml:space="preserve"> </w:t>
      </w:r>
      <m:oMath>
        <m:r>
          <m:t>i</m:t>
        </m:r>
      </m:oMath>
      <w:r>
        <w:t xml:space="preserve"> </w:t>
      </w:r>
      <w:r>
        <w:t xml:space="preserve">incurs its marginal cost and the optimal continuation value under the updated posterior.</w:t>
      </w:r>
    </w:p>
    <w:p>
      <w:pPr>
        <w:pStyle w:val="BodyText"/>
      </w:pPr>
      <w:r>
        <w:t xml:space="preserve">Backward induction over</w:t>
      </w:r>
      <w:r>
        <w:t xml:space="preserve"> </w:t>
      </w:r>
      <m:oMath>
        <m:r>
          <m:t>b</m:t>
        </m:r>
      </m:oMath>
      <w:r>
        <w:t xml:space="preserve"> </w:t>
      </w:r>
      <w:r>
        <w:t xml:space="preserve">proves (4.3)–(4.4). The action and observation sets are finite, so every minimum is attained. Marginal costs telescope to</w:t>
      </w:r>
      <w:r>
        <w:t xml:space="preserve"> </w:t>
      </w:r>
      <m:oMath>
        <m:r>
          <m:t>F</m:t>
        </m:r>
        <m:d>
          <m:dPr>
            <m:begChr m:val="("/>
            <m:endChr m:val=")"/>
            <m:sepChr m:val=""/>
            <m:grow/>
          </m:dPr>
          <m:e>
            <m:sSub>
              <m:e>
                <m:r>
                  <m:t>S</m:t>
                </m:r>
              </m:e>
              <m:sub>
                <m:r>
                  <m:t>τ</m:t>
                </m:r>
              </m:sub>
            </m:sSub>
          </m:e>
        </m:d>
      </m:oMath>
      <w:r>
        <w:t xml:space="preserve">, giving (4.1) at the initial state.</w:t>
      </w:r>
      <w:r>
        <w:t xml:space="preserve"> </w:t>
      </w:r>
      <m:oMath>
        <m:r>
          <m:rPr>
            <m:sty m:val="p"/>
          </m:rPr>
          <m:t>▫</m:t>
        </m:r>
      </m:oMath>
    </w:p>
    <w:p>
      <w:pPr>
        <w:pStyle w:val="BodyText"/>
      </w:pPr>
      <w:r>
        <w:t xml:space="preserve">This specializes finite-horizon belief-state dynamic programming [12,22]. With at most</w:t>
      </w:r>
      <w:r>
        <w:t xml:space="preserve"> </w:t>
      </w:r>
      <m:oMath>
        <m:r>
          <m:t>q</m:t>
        </m:r>
      </m:oMath>
      <w:r>
        <w:t xml:space="preserve"> </w:t>
      </w:r>
      <w:r>
        <w:t xml:space="preserve">outcomes per source, there are at most</w:t>
      </w:r>
    </w:p>
    <w:p>
      <w:pPr>
        <w:pStyle w:val="BodyText"/>
      </w:pPr>
      <m:oMathPara>
        <m:oMathParaPr>
          <m:jc m:val="center"/>
        </m:oMathParaPr>
        <m:oMath>
          <m:nary>
            <m:naryPr>
              <m:chr m:val="∑"/>
              <m:limLoc m:val="undOvr"/>
              <m:subHide m:val="off"/>
              <m:supHide m:val="off"/>
            </m:naryPr>
            <m:sub>
              <m:r>
                <m:t>m</m:t>
              </m:r>
              <m:r>
                <m:rPr>
                  <m:sty m:val="p"/>
                </m:rPr>
                <m:t>=</m:t>
              </m:r>
              <m:r>
                <m:t>0</m:t>
              </m:r>
            </m:sub>
            <m:sup>
              <m:r>
                <m:t>B</m:t>
              </m:r>
            </m:sup>
            <m:e>
              <m:d>
                <m:dPr>
                  <m:begChr m:val="("/>
                  <m:endChr m:val=")"/>
                  <m:sepChr m:val=""/>
                  <m:grow/>
                </m:dPr>
                <m:e>
                  <m:f>
                    <m:fPr>
                      <m:type m:val="noBar"/>
                    </m:fPr>
                    <m:num>
                      <m:r>
                        <m:t>n</m:t>
                      </m:r>
                    </m:num>
                    <m:den>
                      <m:r>
                        <m:t>m</m:t>
                      </m:r>
                    </m:den>
                  </m:f>
                </m:e>
              </m:d>
            </m:e>
          </m:nary>
          <m:sSup>
            <m:e>
              <m:r>
                <m:t>q</m:t>
              </m:r>
            </m:e>
            <m:sup>
              <m:r>
                <m:t>m</m:t>
              </m:r>
            </m:sup>
          </m:sSup>
        </m:oMath>
      </m:oMathPara>
    </w:p>
    <w:p>
      <w:pPr>
        <w:pStyle w:val="FirstParagraph"/>
      </w:pPr>
      <w:r>
        <w:t xml:space="preserve">partial observation assignments from a fixed prior. Compact representation of acquisition costs therefore does not make exact adaptive optimization polynomial.</w:t>
      </w:r>
    </w:p>
    <w:p>
      <w:pPr>
        <w:pStyle w:val="BodyText"/>
      </w:pPr>
      <w:r>
        <w:t xml:space="preserve">The same recursion applies to</w:t>
      </w:r>
      <w:r>
        <w:t xml:space="preserve"> </w:t>
      </w:r>
      <m:oMath>
        <m:r>
          <m:t>H</m:t>
        </m:r>
      </m:oMath>
      <w:r>
        <w:t xml:space="preserve">, using differences</w:t>
      </w:r>
      <w:r>
        <w:t xml:space="preserve"> </w:t>
      </w:r>
      <m:oMath>
        <m:r>
          <m:t>H</m:t>
        </m:r>
        <m:d>
          <m:dPr>
            <m:begChr m:val="("/>
            <m:endChr m:val=")"/>
            <m:sepChr m:val=""/>
            <m:grow/>
          </m:dPr>
          <m:e>
            <m:r>
              <m:t>A</m:t>
            </m:r>
            <m:r>
              <m:rPr>
                <m:sty m:val="p"/>
              </m:rPr>
              <m:t>∪</m:t>
            </m:r>
            <m:r>
              <m:rPr>
                <m:sty m:val="p"/>
              </m:rPr>
              <m:t>{</m:t>
            </m:r>
            <m:r>
              <m:t>i</m:t>
            </m:r>
            <m:r>
              <m:rPr>
                <m:sty m:val="p"/>
              </m:rPr>
              <m:t>}</m:t>
            </m:r>
          </m:e>
        </m:d>
        <m:r>
          <m:rPr>
            <m:sty m:val="p"/>
          </m:rPr>
          <m:t>−</m:t>
        </m:r>
        <m:r>
          <m:t>H</m:t>
        </m:r>
        <m:d>
          <m:dPr>
            <m:begChr m:val="("/>
            <m:endChr m:val=")"/>
            <m:sepChr m:val=""/>
            <m:grow/>
          </m:dPr>
          <m:e>
            <m:r>
              <m:t>A</m:t>
            </m:r>
          </m:e>
        </m:d>
      </m:oMath>
      <w:r>
        <w:t xml:space="preserve">. When raw measurements are incompatible, these differences must be evaluated from the set estimate: formula (2.4) need not hold for noisy overlaps. Negative surrogate increments do not invalidate finite-horizon optimization, although they lack a physical activation-cost interpretation.</w:t>
      </w:r>
    </w:p>
    <w:bookmarkEnd w:id="31"/>
    <w:bookmarkStart w:id="32" w:name="stability-of-values-and-policies"/>
    <w:p>
      <w:pPr>
        <w:pStyle w:val="Heading2"/>
      </w:pPr>
      <w:r>
        <w:t xml:space="preserve">4.2. Stability of values and policies</w:t>
      </w:r>
    </w:p>
    <w:p>
      <w:pPr>
        <w:pStyle w:val="FirstParagraph"/>
      </w:pPr>
      <w:r>
        <w:t xml:space="preserve">Write</w:t>
      </w:r>
      <w:r>
        <w:t xml:space="preserve"> </w:t>
      </w:r>
      <m:oMath>
        <m:sSub>
          <m:e>
            <m:r>
              <m:t>V</m:t>
            </m:r>
          </m:e>
          <m:sub>
            <m:r>
              <m:t>F</m:t>
            </m:r>
          </m:sub>
        </m:sSub>
        <m:r>
          <m:rPr>
            <m:sty m:val="p"/>
          </m:rPr>
          <m:t>=</m:t>
        </m:r>
        <m:sSub>
          <m:e>
            <m:r>
              <m:rPr>
                <m:sty m:val="p"/>
              </m:rPr>
              <m:t>min</m:t>
            </m:r>
          </m:e>
          <m:sub>
            <m:r>
              <m:t>π</m:t>
            </m:r>
          </m:sub>
        </m:sSub>
        <m:sSub>
          <m:e>
            <m:r>
              <m:t>J</m:t>
            </m:r>
          </m:e>
          <m:sub>
            <m:r>
              <m:t>F</m:t>
            </m:r>
          </m:sub>
        </m:sSub>
        <m:d>
          <m:dPr>
            <m:begChr m:val="("/>
            <m:endChr m:val=")"/>
            <m:sepChr m:val=""/>
            <m:grow/>
          </m:dPr>
          <m:e>
            <m:r>
              <m:t>π</m:t>
            </m:r>
          </m:e>
        </m:d>
      </m:oMath>
      <w:r>
        <w:t xml:space="preserve">,</w:t>
      </w:r>
      <w:r>
        <w:t xml:space="preserve"> </w:t>
      </w:r>
      <m:oMath>
        <m:sSub>
          <m:e>
            <m:r>
              <m:t>V</m:t>
            </m:r>
          </m:e>
          <m:sub>
            <m:r>
              <m:t>H</m:t>
            </m:r>
          </m:sub>
        </m:sSub>
        <m:r>
          <m:rPr>
            <m:sty m:val="p"/>
          </m:rPr>
          <m:t>=</m:t>
        </m:r>
        <m:sSub>
          <m:e>
            <m:r>
              <m:rPr>
                <m:sty m:val="p"/>
              </m:rPr>
              <m:t>min</m:t>
            </m:r>
          </m:e>
          <m:sub>
            <m:r>
              <m:t>π</m:t>
            </m:r>
          </m:sub>
        </m:sSub>
        <m:sSub>
          <m:e>
            <m:r>
              <m:t>J</m:t>
            </m:r>
          </m:e>
          <m:sub>
            <m:r>
              <m:t>H</m:t>
            </m:r>
          </m:sub>
        </m:sSub>
        <m:d>
          <m:dPr>
            <m:begChr m:val="("/>
            <m:endChr m:val=")"/>
            <m:sepChr m:val=""/>
            <m:grow/>
          </m:dPr>
          <m:e>
            <m:r>
              <m:t>π</m:t>
            </m:r>
          </m:e>
        </m:d>
      </m:oMath>
      <w:r>
        <w:t xml:space="preserve">, and</w:t>
      </w:r>
    </w:p>
    <w:p>
      <w:pPr>
        <w:pStyle w:val="BodyText"/>
        <w:jc w:val="center"/>
      </w:pPr>
      <m:oMath>
        <m:sSub>
          <m:e>
            <m:r>
              <m:t>β</m:t>
            </m:r>
          </m:e>
          <m:sub>
            <m:r>
              <m:t>B</m:t>
            </m:r>
          </m:sub>
        </m:sSub>
        <m:r>
          <m:rPr>
            <m:sty m:val="p"/>
          </m:rPr>
          <m:t>=</m:t>
        </m:r>
        <m:limLow>
          <m:e>
            <m:r>
              <m:rPr>
                <m:sty m:val="p"/>
              </m:rPr>
              <m:t>max</m:t>
            </m:r>
          </m:e>
          <m:lim>
            <m:r>
              <m:t>0</m:t>
            </m:r>
            <m:r>
              <m:rPr>
                <m:sty m:val="p"/>
              </m:rPr>
              <m:t>≤</m:t>
            </m:r>
            <m:r>
              <m:t>m</m:t>
            </m:r>
            <m:r>
              <m:rPr>
                <m:sty m:val="p"/>
              </m:rPr>
              <m:t>≤</m:t>
            </m:r>
            <m:r>
              <m:t>B</m:t>
            </m:r>
          </m:lim>
        </m:limLow>
        <m:sSub>
          <m:e>
            <m:r>
              <m:t>α</m:t>
            </m:r>
          </m:e>
          <m:sub>
            <m:r>
              <m:t>m</m:t>
            </m:r>
          </m:sub>
        </m:sSub>
        <m:r>
          <m:rPr>
            <m:sty m:val="p"/>
          </m:rPr>
          <m:t>=</m:t>
        </m:r>
        <m:d>
          <m:dPr>
            <m:begChr m:val="{"/>
            <m:endChr m:val=""/>
            <m:sepChr m:val=""/>
            <m:grow/>
          </m:dPr>
          <m:e>
            <m:m>
              <m:mPr>
                <m:baseJc m:val="center"/>
                <m:plcHide m:val="on"/>
                <m:mcs>
                  <m:mc>
                    <m:mcPr>
                      <m:mcJc m:val="left"/>
                      <m:count m:val="1"/>
                    </m:mcPr>
                  </m:mc>
                  <m:mc>
                    <m:mcPr>
                      <m:mcJc m:val="left"/>
                      <m:count m:val="1"/>
                    </m:mcPr>
                  </m:mc>
                </m:mcs>
              </m:mPr>
              <m:mr>
                <m:e>
                  <m:r>
                    <m:t>0</m:t>
                  </m:r>
                  <m:r>
                    <m:rPr>
                      <m:sty m:val="p"/>
                    </m:rPr>
                    <m:t>,</m:t>
                  </m:r>
                </m:e>
                <m:e>
                  <m:r>
                    <m:t>B</m:t>
                  </m:r>
                  <m:r>
                    <m:rPr>
                      <m:sty m:val="p"/>
                    </m:rPr>
                    <m:t>=</m:t>
                  </m:r>
                  <m:r>
                    <m:t>0</m:t>
                  </m:r>
                  <m:r>
                    <m:rPr>
                      <m:sty m:val="p"/>
                    </m:rPr>
                    <m:t>,</m:t>
                  </m:r>
                </m:e>
              </m:mr>
              <m:mr>
                <m:e>
                  <m:r>
                    <m:t>1</m:t>
                  </m:r>
                  <m:r>
                    <m:rPr>
                      <m:sty m:val="p"/>
                    </m:rPr>
                    <m:t>,</m:t>
                  </m:r>
                </m:e>
                <m:e>
                  <m:r>
                    <m:t>B</m:t>
                  </m:r>
                  <m:r>
                    <m:rPr>
                      <m:sty m:val="p"/>
                    </m:rPr>
                    <m:t>=</m:t>
                  </m:r>
                  <m:r>
                    <m:t>1</m:t>
                  </m:r>
                  <m:r>
                    <m:rPr>
                      <m:sty m:val="p"/>
                    </m:rPr>
                    <m:t>,</m:t>
                  </m:r>
                </m:e>
              </m:mr>
              <m:mr>
                <m:e>
                  <m:r>
                    <m:t>2</m:t>
                  </m:r>
                  <m:r>
                    <m:t>B</m:t>
                  </m:r>
                  <m:r>
                    <m:rPr>
                      <m:sty m:val="p"/>
                    </m:rPr>
                    <m:t>−</m:t>
                  </m:r>
                  <m:r>
                    <m:t>3</m:t>
                  </m:r>
                  <m:r>
                    <m:rPr>
                      <m:sty m:val="p"/>
                    </m:rPr>
                    <m:t>,</m:t>
                  </m:r>
                </m:e>
                <m:e>
                  <m:r>
                    <m:t>B</m:t>
                  </m:r>
                  <m:r>
                    <m:rPr>
                      <m:sty m:val="p"/>
                    </m:rPr>
                    <m:t>≥</m:t>
                  </m:r>
                  <m:r>
                    <m:t>2</m:t>
                  </m:r>
                  <m:r>
                    <m:rPr>
                      <m:sty m:val="p"/>
                    </m:rPr>
                    <m:t>.</m:t>
                  </m:r>
                </m:e>
              </m:mr>
            </m:m>
          </m:e>
        </m:d>
      </m:oMath>
      <w:r>
        <w:t xml:space="preserve">     (4.5)</w:t>
      </w:r>
    </w:p>
    <w:p>
      <w:pPr>
        <w:pStyle w:val="BodyText"/>
        <w:keepNext/>
        <w:spacing w:before="180"/>
      </w:pPr>
      <w:r>
        <w:rPr>
          <w:bCs/>
          <w:b/>
        </w:rPr>
        <w:t xml:space="preserve">Theorem 4.2 — Decision stability.</w:t>
      </w:r>
      <w:r>
        <w:t xml:space="preserve"> </w:t>
      </w:r>
      <w:r>
        <w:t xml:space="preserve">Under (3.1), for the same likelihoods, loss, prior, call budget, and penalty weight,</w:t>
      </w:r>
    </w:p>
    <w:p>
      <w:pPr>
        <w:pStyle w:val="BodyText"/>
        <w:jc w:val="center"/>
      </w:pPr>
      <m:oMath>
        <m:d>
          <m:dPr>
            <m:begChr m:val="|"/>
            <m:endChr m:val="|"/>
            <m:sepChr m:val=""/>
            <m:grow/>
          </m:dPr>
          <m:e>
            <m:sSub>
              <m:e>
                <m:r>
                  <m:t>V</m:t>
                </m:r>
              </m:e>
              <m:sub>
                <m:r>
                  <m:t>F</m:t>
                </m:r>
              </m:sub>
            </m:sSub>
            <m:r>
              <m:rPr>
                <m:sty m:val="p"/>
              </m:rPr>
              <m:t>−</m:t>
            </m:r>
            <m:sSub>
              <m:e>
                <m:r>
                  <m:t>V</m:t>
                </m:r>
              </m:e>
              <m:sub>
                <m:r>
                  <m:t>H</m:t>
                </m:r>
              </m:sub>
            </m:sSub>
          </m:e>
        </m:d>
        <m:r>
          <m:rPr>
            <m:sty m:val="p"/>
          </m:rPr>
          <m:t>≤</m:t>
        </m:r>
        <m:r>
          <m:t>λ</m:t>
        </m:r>
        <m:sSub>
          <m:e>
            <m:r>
              <m:t>β</m:t>
            </m:r>
          </m:e>
          <m:sub>
            <m:r>
              <m:t>B</m:t>
            </m:r>
          </m:sub>
        </m:sSub>
        <m:r>
          <m:t>ε</m:t>
        </m:r>
        <m:r>
          <m:rPr>
            <m:sty m:val="p"/>
          </m:rPr>
          <m:t>.</m:t>
        </m:r>
      </m:oMath>
      <w:r>
        <w:t xml:space="preserve">     (4.6)</w:t>
      </w:r>
    </w:p>
    <w:p>
      <w:pPr>
        <w:pStyle w:val="BodyText"/>
      </w:pPr>
      <w:r>
        <w:t xml:space="preserve">If</w:t>
      </w:r>
      <w:r>
        <w:t xml:space="preserve"> </w:t>
      </w:r>
      <m:oMath>
        <m:sSub>
          <m:e>
            <m:r>
              <m:t>π</m:t>
            </m:r>
          </m:e>
          <m:sub>
            <m:r>
              <m:t>H</m:t>
            </m:r>
          </m:sub>
        </m:sSub>
      </m:oMath>
      <w:r>
        <w:t xml:space="preserve"> </w:t>
      </w:r>
      <w:r>
        <w:t xml:space="preserve">minimizes the measured-cost objective, then</w:t>
      </w:r>
    </w:p>
    <w:p>
      <w:pPr>
        <w:pStyle w:val="BodyText"/>
        <w:jc w:val="center"/>
      </w:pPr>
      <m:oMath>
        <m:r>
          <m:t>0</m:t>
        </m:r>
        <m:r>
          <m:rPr>
            <m:sty m:val="p"/>
          </m:rPr>
          <m:t>≤</m:t>
        </m:r>
        <m:sSub>
          <m:e>
            <m:r>
              <m:t>J</m:t>
            </m:r>
          </m:e>
          <m:sub>
            <m:r>
              <m:t>F</m:t>
            </m:r>
          </m:sub>
        </m:sSub>
        <m:d>
          <m:dPr>
            <m:begChr m:val="("/>
            <m:endChr m:val=")"/>
            <m:sepChr m:val=""/>
            <m:grow/>
          </m:dPr>
          <m:e>
            <m:sSub>
              <m:e>
                <m:r>
                  <m:t>π</m:t>
                </m:r>
              </m:e>
              <m:sub>
                <m:r>
                  <m:t>H</m:t>
                </m:r>
              </m:sub>
            </m:sSub>
          </m:e>
        </m:d>
        <m:r>
          <m:rPr>
            <m:sty m:val="p"/>
          </m:rPr>
          <m:t>−</m:t>
        </m:r>
        <m:sSub>
          <m:e>
            <m:r>
              <m:t>V</m:t>
            </m:r>
          </m:e>
          <m:sub>
            <m:r>
              <m:t>F</m:t>
            </m:r>
          </m:sub>
        </m:sSub>
        <m:r>
          <m:rPr>
            <m:sty m:val="p"/>
          </m:rPr>
          <m:t>≤</m:t>
        </m:r>
        <m:r>
          <m:t>2</m:t>
        </m:r>
        <m:r>
          <m:t>λ</m:t>
        </m:r>
        <m:sSub>
          <m:e>
            <m:r>
              <m:t>β</m:t>
            </m:r>
          </m:e>
          <m:sub>
            <m:r>
              <m:t>B</m:t>
            </m:r>
          </m:sub>
        </m:sSub>
        <m:r>
          <m:t>ε</m:t>
        </m:r>
        <m:r>
          <m:rPr>
            <m:sty m:val="p"/>
          </m:rPr>
          <m:t>.</m:t>
        </m:r>
      </m:oMath>
      <w:r>
        <w:t xml:space="preserve">     (4.7)</w:t>
      </w:r>
    </w:p>
    <w:p>
      <w:pPr>
        <w:pStyle w:val="BodyText"/>
      </w:pPr>
      <w:r>
        <w:t xml:space="preserve">For</w:t>
      </w:r>
      <w:r>
        <w:t xml:space="preserve"> </w:t>
      </w:r>
      <m:oMath>
        <m:r>
          <m:t>B</m:t>
        </m:r>
        <m:r>
          <m:rPr>
            <m:sty m:val="p"/>
          </m:rPr>
          <m:t>≥</m:t>
        </m:r>
        <m:r>
          <m:t>2</m:t>
        </m:r>
      </m:oMath>
      <w:r>
        <w:t xml:space="preserve">, the coefficient in (4.6) is sharp over this decision-model class.</w:t>
      </w:r>
    </w:p>
    <w:p>
      <w:pPr>
        <w:pStyle w:val="BodyText"/>
      </w:pPr>
      <w:r>
        <w:rPr>
          <w:iCs/>
          <w:i/>
        </w:rPr>
        <w:t xml:space="preserve">Proof.</w:t>
      </w:r>
      <w:r>
        <w:t xml:space="preserve"> </w:t>
      </w:r>
      <w:r>
        <w:t xml:space="preserve">Fix any history-dependent policy</w:t>
      </w:r>
      <w:r>
        <w:t xml:space="preserve"> </w:t>
      </w:r>
      <m:oMath>
        <m:r>
          <m:t>π</m:t>
        </m:r>
      </m:oMath>
      <w:r>
        <w:t xml:space="preserve">. Holding this policy fixed, replacing the cost table does not change the observation law or its stopping decisions. Since</w:t>
      </w:r>
      <w:r>
        <w:t xml:space="preserve"> </w:t>
      </w:r>
      <m:oMath>
        <m:d>
          <m:dPr>
            <m:begChr m:val="|"/>
            <m:endChr m:val="|"/>
            <m:sepChr m:val=""/>
            <m:grow/>
          </m:dPr>
          <m:e>
            <m:sSub>
              <m:e>
                <m:r>
                  <m:t>S</m:t>
                </m:r>
              </m:e>
              <m:sub>
                <m:r>
                  <m:t>τ</m:t>
                </m:r>
              </m:sub>
            </m:sSub>
          </m:e>
        </m:d>
        <m:r>
          <m:rPr>
            <m:sty m:val="p"/>
          </m:rPr>
          <m:t>≤</m:t>
        </m:r>
        <m:r>
          <m:t>B</m:t>
        </m:r>
      </m:oMath>
      <w:r>
        <w:t xml:space="preserve">, Theorem 3.1 gives</w:t>
      </w:r>
    </w:p>
    <w:p>
      <w:pPr>
        <w:pStyle w:val="BodyText"/>
      </w:pPr>
      <m:oMathPara>
        <m:oMathParaPr>
          <m:jc m:val="center"/>
        </m:oMathParaPr>
        <m:oMath>
          <m:m>
            <m:mPr>
              <m:baseJc m:val="center"/>
              <m:plcHide m:val="on"/>
              <m:mcs>
                <m:mc>
                  <m:mcPr>
                    <m:mcJc m:val="right"/>
                    <m:count m:val="1"/>
                  </m:mcPr>
                </m:mc>
              </m:mcs>
            </m:mPr>
            <m:mr>
              <m:e>
                <m:d>
                  <m:dPr>
                    <m:begChr m:val="|"/>
                    <m:endChr m:val="|"/>
                    <m:sepChr m:val=""/>
                    <m:grow/>
                  </m:dPr>
                  <m:e>
                    <m:sSub>
                      <m:e>
                        <m:r>
                          <m:t>J</m:t>
                        </m:r>
                      </m:e>
                      <m:sub>
                        <m:r>
                          <m:t>F</m:t>
                        </m:r>
                      </m:sub>
                    </m:sSub>
                    <m:d>
                      <m:dPr>
                        <m:begChr m:val="("/>
                        <m:endChr m:val=")"/>
                        <m:sepChr m:val=""/>
                        <m:grow/>
                      </m:dPr>
                      <m:e>
                        <m:r>
                          <m:t>π</m:t>
                        </m:r>
                      </m:e>
                    </m:d>
                    <m:r>
                      <m:rPr>
                        <m:sty m:val="p"/>
                      </m:rPr>
                      <m:t>−</m:t>
                    </m:r>
                    <m:sSub>
                      <m:e>
                        <m:r>
                          <m:t>J</m:t>
                        </m:r>
                      </m:e>
                      <m:sub>
                        <m:r>
                          <m:t>H</m:t>
                        </m:r>
                      </m:sub>
                    </m:sSub>
                    <m:d>
                      <m:dPr>
                        <m:begChr m:val="("/>
                        <m:endChr m:val=")"/>
                        <m:sepChr m:val=""/>
                        <m:grow/>
                      </m:dPr>
                      <m:e>
                        <m:r>
                          <m:t>π</m:t>
                        </m:r>
                      </m:e>
                    </m:d>
                  </m:e>
                </m:d>
                <m:r>
                  <m:rPr>
                    <m:sty m:val="p"/>
                  </m:rPr>
                  <m:t>≤</m:t>
                </m:r>
                <m:r>
                  <m:t>λ</m:t>
                </m:r>
                <m:sSup>
                  <m:e>
                    <m:r>
                      <m:rPr>
                        <m:sty m:val="p"/>
                        <m:scr m:val="double-struck"/>
                      </m:rPr>
                      <m:t>E</m:t>
                    </m:r>
                  </m:e>
                  <m:sup>
                    <m:r>
                      <m:t>π</m:t>
                    </m:r>
                  </m:sup>
                </m:sSup>
                <m:d>
                  <m:dPr>
                    <m:begChr m:val="|"/>
                    <m:endChr m:val="|"/>
                    <m:sepChr m:val=""/>
                    <m:grow/>
                  </m:dPr>
                  <m:e>
                    <m:r>
                      <m:t>F</m:t>
                    </m:r>
                    <m:d>
                      <m:dPr>
                        <m:begChr m:val="("/>
                        <m:endChr m:val=")"/>
                        <m:sepChr m:val=""/>
                        <m:grow/>
                      </m:dPr>
                      <m:e>
                        <m:sSub>
                          <m:e>
                            <m:r>
                              <m:t>S</m:t>
                            </m:r>
                          </m:e>
                          <m:sub>
                            <m:r>
                              <m:t>τ</m:t>
                            </m:r>
                          </m:sub>
                        </m:sSub>
                      </m:e>
                    </m:d>
                    <m:r>
                      <m:rPr>
                        <m:sty m:val="p"/>
                      </m:rPr>
                      <m:t>−</m:t>
                    </m:r>
                    <m:r>
                      <m:t>H</m:t>
                    </m:r>
                    <m:d>
                      <m:dPr>
                        <m:begChr m:val="("/>
                        <m:endChr m:val=")"/>
                        <m:sepChr m:val=""/>
                        <m:grow/>
                      </m:dPr>
                      <m:e>
                        <m:sSub>
                          <m:e>
                            <m:r>
                              <m:t>S</m:t>
                            </m:r>
                          </m:e>
                          <m:sub>
                            <m:r>
                              <m:t>τ</m:t>
                            </m:r>
                          </m:sub>
                        </m:sSub>
                      </m:e>
                    </m:d>
                  </m:e>
                </m:d>
              </m:e>
            </m:mr>
            <m:mr>
              <m:e>
                <m:r>
                  <m:rPr>
                    <m:sty m:val="p"/>
                  </m:rPr>
                  <m:t>≤</m:t>
                </m:r>
                <m:r>
                  <m:t>λ</m:t>
                </m:r>
                <m:sSub>
                  <m:e>
                    <m:r>
                      <m:t>β</m:t>
                    </m:r>
                  </m:e>
                  <m:sub>
                    <m:r>
                      <m:t>B</m:t>
                    </m:r>
                  </m:sub>
                </m:sSub>
                <m:r>
                  <m:t>ε</m:t>
                </m:r>
                <m:r>
                  <m:rPr>
                    <m:sty m:val="p"/>
                  </m:rPr>
                  <m:t>.</m:t>
                </m:r>
              </m:e>
            </m:mr>
          </m:m>
        </m:oMath>
      </m:oMathPara>
    </w:p>
    <w:p>
      <w:pPr>
        <w:pStyle w:val="FirstParagraph"/>
      </w:pPr>
      <w:r>
        <w:t xml:space="preserve">Taking minima proves (4.6). If</w:t>
      </w:r>
      <w:r>
        <w:t xml:space="preserve"> </w:t>
      </w:r>
      <m:oMath>
        <m:sSub>
          <m:e>
            <m:r>
              <m:t>π</m:t>
            </m:r>
          </m:e>
          <m:sub>
            <m:r>
              <m:t>F</m:t>
            </m:r>
          </m:sub>
        </m:sSub>
      </m:oMath>
      <w:r>
        <w:t xml:space="preserve"> </w:t>
      </w:r>
      <w:r>
        <w:t xml:space="preserve">is optimal for</w:t>
      </w:r>
      <w:r>
        <w:t xml:space="preserve"> </w:t>
      </w:r>
      <m:oMath>
        <m:r>
          <m:t>F</m:t>
        </m:r>
      </m:oMath>
      <w:r>
        <w:t xml:space="preserve">, then</w:t>
      </w:r>
    </w:p>
    <w:p>
      <w:pPr>
        <w:pStyle w:val="BodyText"/>
      </w:pPr>
      <m:oMathPara>
        <m:oMathParaPr>
          <m:jc m:val="center"/>
        </m:oMathParaPr>
        <m:oMath>
          <m:m>
            <m:mPr>
              <m:baseJc m:val="center"/>
              <m:plcHide m:val="on"/>
              <m:mcs>
                <m:mc>
                  <m:mcPr>
                    <m:mcJc m:val="right"/>
                    <m:count m:val="1"/>
                  </m:mcPr>
                </m:mc>
              </m:mcs>
            </m:mPr>
            <m:mr>
              <m:e>
                <m:sSub>
                  <m:e>
                    <m:r>
                      <m:t>J</m:t>
                    </m:r>
                  </m:e>
                  <m:sub>
                    <m:r>
                      <m:t>F</m:t>
                    </m:r>
                  </m:sub>
                </m:sSub>
                <m:d>
                  <m:dPr>
                    <m:begChr m:val="("/>
                    <m:endChr m:val=")"/>
                    <m:sepChr m:val=""/>
                    <m:grow/>
                  </m:dPr>
                  <m:e>
                    <m:sSub>
                      <m:e>
                        <m:r>
                          <m:t>π</m:t>
                        </m:r>
                      </m:e>
                      <m:sub>
                        <m:r>
                          <m:t>H</m:t>
                        </m:r>
                      </m:sub>
                    </m:sSub>
                  </m:e>
                </m:d>
                <m:r>
                  <m:rPr>
                    <m:sty m:val="p"/>
                  </m:rPr>
                  <m:t>≤</m:t>
                </m:r>
                <m:sSub>
                  <m:e>
                    <m:r>
                      <m:t>J</m:t>
                    </m:r>
                  </m:e>
                  <m:sub>
                    <m:r>
                      <m:t>H</m:t>
                    </m:r>
                  </m:sub>
                </m:sSub>
                <m:d>
                  <m:dPr>
                    <m:begChr m:val="("/>
                    <m:endChr m:val=")"/>
                    <m:sepChr m:val=""/>
                    <m:grow/>
                  </m:dPr>
                  <m:e>
                    <m:sSub>
                      <m:e>
                        <m:r>
                          <m:t>π</m:t>
                        </m:r>
                      </m:e>
                      <m:sub>
                        <m:r>
                          <m:t>H</m:t>
                        </m:r>
                      </m:sub>
                    </m:sSub>
                  </m:e>
                </m:d>
                <m:r>
                  <m:rPr>
                    <m:sty m:val="p"/>
                  </m:rPr>
                  <m:t>+</m:t>
                </m:r>
                <m:r>
                  <m:t>λ</m:t>
                </m:r>
                <m:sSub>
                  <m:e>
                    <m:r>
                      <m:t>β</m:t>
                    </m:r>
                  </m:e>
                  <m:sub>
                    <m:r>
                      <m:t>B</m:t>
                    </m:r>
                  </m:sub>
                </m:sSub>
                <m:r>
                  <m:t>ε</m:t>
                </m:r>
              </m:e>
            </m:mr>
            <m:mr>
              <m:e>
                <m:r>
                  <m:rPr>
                    <m:sty m:val="p"/>
                  </m:rPr>
                  <m:t>≤</m:t>
                </m:r>
                <m:sSub>
                  <m:e>
                    <m:r>
                      <m:t>J</m:t>
                    </m:r>
                  </m:e>
                  <m:sub>
                    <m:r>
                      <m:t>H</m:t>
                    </m:r>
                  </m:sub>
                </m:sSub>
                <m:d>
                  <m:dPr>
                    <m:begChr m:val="("/>
                    <m:endChr m:val=")"/>
                    <m:sepChr m:val=""/>
                    <m:grow/>
                  </m:dPr>
                  <m:e>
                    <m:sSub>
                      <m:e>
                        <m:r>
                          <m:t>π</m:t>
                        </m:r>
                      </m:e>
                      <m:sub>
                        <m:r>
                          <m:t>F</m:t>
                        </m:r>
                      </m:sub>
                    </m:sSub>
                  </m:e>
                </m:d>
                <m:r>
                  <m:rPr>
                    <m:sty m:val="p"/>
                  </m:rPr>
                  <m:t>+</m:t>
                </m:r>
                <m:r>
                  <m:t>λ</m:t>
                </m:r>
                <m:sSub>
                  <m:e>
                    <m:r>
                      <m:t>β</m:t>
                    </m:r>
                  </m:e>
                  <m:sub>
                    <m:r>
                      <m:t>B</m:t>
                    </m:r>
                  </m:sub>
                </m:sSub>
                <m:r>
                  <m:t>ε</m:t>
                </m:r>
              </m:e>
            </m:mr>
            <m:mr>
              <m:e>
                <m:r>
                  <m:rPr>
                    <m:sty m:val="p"/>
                  </m:rPr>
                  <m:t>≤</m:t>
                </m:r>
                <m:sSub>
                  <m:e>
                    <m:r>
                      <m:t>V</m:t>
                    </m:r>
                  </m:e>
                  <m:sub>
                    <m:r>
                      <m:t>F</m:t>
                    </m:r>
                  </m:sub>
                </m:sSub>
                <m:r>
                  <m:rPr>
                    <m:sty m:val="p"/>
                  </m:rPr>
                  <m:t>+</m:t>
                </m:r>
                <m:r>
                  <m:t>2</m:t>
                </m:r>
                <m:r>
                  <m:t>λ</m:t>
                </m:r>
                <m:sSub>
                  <m:e>
                    <m:r>
                      <m:t>β</m:t>
                    </m:r>
                  </m:e>
                  <m:sub>
                    <m:r>
                      <m:t>B</m:t>
                    </m:r>
                  </m:sub>
                </m:sSub>
                <m:r>
                  <m:t>ε</m:t>
                </m:r>
                <m:r>
                  <m:rPr>
                    <m:sty m:val="p"/>
                  </m:rPr>
                  <m:t>,</m:t>
                </m:r>
              </m:e>
            </m:mr>
          </m:m>
        </m:oMath>
      </m:oMathPara>
    </w:p>
    <w:p>
      <w:pPr>
        <w:pStyle w:val="FirstParagraph"/>
      </w:pPr>
      <w:r>
        <w:t xml:space="preserve">which proves (4.7).</w:t>
      </w:r>
    </w:p>
    <w:p>
      <w:pPr>
        <w:pStyle w:val="BodyText"/>
      </w:pPr>
      <w:r>
        <w:t xml:space="preserve">For sharpness of (4.6), take</w:t>
      </w:r>
      <w:r>
        <w:t xml:space="preserve"> </w:t>
      </w:r>
      <m:oMath>
        <m:r>
          <m:t>B</m:t>
        </m:r>
      </m:oMath>
      <w:r>
        <w:t xml:space="preserve"> </w:t>
      </w:r>
      <w:r>
        <w:t xml:space="preserve">independent fair bits</w:t>
      </w:r>
      <w:r>
        <w:t xml:space="preserve"> </w:t>
      </w:r>
      <m:oMath>
        <m:sSub>
          <m:e>
            <m:r>
              <m:t>X</m:t>
            </m:r>
          </m:e>
          <m:sub>
            <m:r>
              <m:t>1</m:t>
            </m:r>
          </m:sub>
        </m:sSub>
        <m:r>
          <m:rPr>
            <m:sty m:val="p"/>
          </m:rPr>
          <m:t>,</m:t>
        </m:r>
        <m:r>
          <m:rPr>
            <m:sty m:val="p"/>
          </m:rPr>
          <m:t>…</m:t>
        </m:r>
        <m:r>
          <m:rPr>
            <m:sty m:val="p"/>
          </m:rPr>
          <m:t>,</m:t>
        </m:r>
        <m:sSub>
          <m:e>
            <m:r>
              <m:t>X</m:t>
            </m:r>
          </m:e>
          <m:sub>
            <m:r>
              <m:t>B</m:t>
            </m:r>
          </m:sub>
        </m:sSub>
      </m:oMath>
      <w:r>
        <w:t xml:space="preserve"> </w:t>
      </w:r>
      <w:r>
        <w:t xml:space="preserve">as the latent state. Source</w:t>
      </w:r>
      <w:r>
        <w:t xml:space="preserve"> </w:t>
      </w:r>
      <m:oMath>
        <m:r>
          <m:t>i</m:t>
        </m:r>
      </m:oMath>
      <w:r>
        <w:t xml:space="preserve"> </w:t>
      </w:r>
      <w:r>
        <w:t xml:space="preserve">reveals</w:t>
      </w:r>
      <w:r>
        <w:t xml:space="preserve"> </w:t>
      </w:r>
      <m:oMath>
        <m:sSub>
          <m:e>
            <m:r>
              <m:t>X</m:t>
            </m:r>
          </m:e>
          <m:sub>
            <m:r>
              <m:t>i</m:t>
            </m:r>
          </m:sub>
        </m:sSub>
      </m:oMath>
      <w:r>
        <w:t xml:space="preserve"> </w:t>
      </w:r>
      <w:r>
        <w:t xml:space="preserve">deterministically, and the final decision predicts their parity under zero-one loss. Conditional independence holds given the complete latent state. Every proper subset leaves parity uniformly distributed, while the full set determines it.</w:t>
      </w:r>
    </w:p>
    <w:p>
      <w:pPr>
        <w:pStyle w:val="BodyText"/>
      </w:pPr>
      <w:r>
        <w:t xml:space="preserve">For a nonnegative monotone cost function</w:t>
      </w:r>
      <w:r>
        <w:t xml:space="preserve"> </w:t>
      </w:r>
      <m:oMath>
        <m:r>
          <m:t>K</m:t>
        </m:r>
      </m:oMath>
      <w:r>
        <w:t xml:space="preserve">, a policy completing all queries with probability</w:t>
      </w:r>
      <w:r>
        <w:t xml:space="preserve"> </w:t>
      </w:r>
      <m:oMath>
        <m:r>
          <m:t>u</m:t>
        </m:r>
      </m:oMath>
      <w:r>
        <w:t xml:space="preserve"> </w:t>
      </w:r>
      <w:r>
        <w:t xml:space="preserve">has objective at least</w:t>
      </w:r>
    </w:p>
    <w:p>
      <w:pPr>
        <w:pStyle w:val="BodyText"/>
      </w:pPr>
      <m:oMathPara>
        <m:oMathParaPr>
          <m:jc m:val="center"/>
        </m:oMathParaPr>
        <m:oMath>
          <m:r>
            <m:t>u</m:t>
          </m:r>
          <m:r>
            <m:t>λ</m:t>
          </m:r>
          <m:r>
            <m:t>K</m:t>
          </m:r>
          <m:d>
            <m:dPr>
              <m:begChr m:val="("/>
              <m:endChr m:val=")"/>
              <m:sepChr m:val=""/>
              <m:grow/>
            </m:dPr>
            <m:e>
              <m:r>
                <m:t>N</m:t>
              </m:r>
            </m:e>
          </m:d>
          <m:r>
            <m:rPr>
              <m:sty m:val="p"/>
            </m:rPr>
            <m:t>+</m:t>
          </m:r>
          <m:d>
            <m:dPr>
              <m:begChr m:val="("/>
              <m:endChr m:val=")"/>
              <m:sepChr m:val=""/>
              <m:grow/>
            </m:dPr>
            <m:e>
              <m:r>
                <m:t>1</m:t>
              </m:r>
              <m:r>
                <m:rPr>
                  <m:sty m:val="p"/>
                </m:rPr>
                <m:t>−</m:t>
              </m:r>
              <m:r>
                <m:t>u</m:t>
              </m:r>
            </m:e>
          </m:d>
          <m:r>
            <m:rPr>
              <m:sty m:val="p"/>
            </m:rPr>
            <m:t>/</m:t>
          </m:r>
          <m:r>
            <m:t>2</m:t>
          </m:r>
          <m:r>
            <m:rPr>
              <m:sty m:val="p"/>
            </m:rPr>
            <m:t>.</m:t>
          </m:r>
        </m:oMath>
      </m:oMathPara>
    </w:p>
    <w:p>
      <w:pPr>
        <w:pStyle w:val="FirstParagraph"/>
      </w:pPr>
      <w:r>
        <w:t xml:space="preserve">Always stopping or always completing attains the two endpoints. The optimal value is consequently</w:t>
      </w:r>
    </w:p>
    <w:p>
      <w:pPr>
        <w:pStyle w:val="BodyText"/>
      </w:pPr>
      <m:oMathPara>
        <m:oMathParaPr>
          <m:jc m:val="center"/>
        </m:oMathParaPr>
        <m:oMath>
          <m:r>
            <m:rPr>
              <m:sty m:val="p"/>
            </m:rPr>
            <m:t>min</m:t>
          </m:r>
          <m:r>
            <m:rPr>
              <m:sty m:val="p"/>
            </m:rPr>
            <m:t>{</m:t>
          </m:r>
          <m:r>
            <m:t>1</m:t>
          </m:r>
          <m:r>
            <m:rPr>
              <m:sty m:val="p"/>
            </m:rPr>
            <m:t>/</m:t>
          </m:r>
          <m:r>
            <m:t>2</m:t>
          </m:r>
          <m:r>
            <m:rPr>
              <m:sty m:val="p"/>
            </m:rPr>
            <m:t>,</m:t>
          </m:r>
          <m:r>
            <m:t>λ</m:t>
          </m:r>
          <m:r>
            <m:t>K</m:t>
          </m:r>
          <m:d>
            <m:dPr>
              <m:begChr m:val="("/>
              <m:endChr m:val=")"/>
              <m:sepChr m:val=""/>
              <m:grow/>
            </m:dPr>
            <m:e>
              <m:r>
                <m:t>N</m:t>
              </m:r>
            </m:e>
          </m:d>
          <m:r>
            <m:rPr>
              <m:sty m:val="p"/>
            </m:rPr>
            <m:t>}</m:t>
          </m:r>
          <m:r>
            <m:rPr>
              <m:sty m:val="p"/>
            </m:rPr>
            <m:t>.</m:t>
          </m:r>
        </m:oMath>
      </m:oMathPara>
    </w:p>
    <w:p>
      <w:pPr>
        <w:pStyle w:val="FirstParagraph"/>
      </w:pPr>
      <w:r>
        <w:t xml:space="preserve">Use the central tree and the plus perturbation from Theorem 3.1, choosing</w:t>
      </w:r>
      <w:r>
        <w:t xml:space="preserve"> </w:t>
      </w:r>
      <m:oMath>
        <m:r>
          <m:t>λ</m:t>
        </m:r>
      </m:oMath>
      <w:r>
        <w:t xml:space="preserve"> </w:t>
      </w:r>
      <w:r>
        <w:t xml:space="preserve">small enough that full acquisition is optimal for both. Their values differ by exactly</w:t>
      </w:r>
    </w:p>
    <w:p>
      <w:pPr>
        <w:pStyle w:val="BodyText"/>
      </w:pPr>
      <m:oMathPara>
        <m:oMathParaPr>
          <m:jc m:val="center"/>
        </m:oMathParaPr>
        <m:oMath>
          <m:r>
            <m:t>λ</m:t>
          </m:r>
          <m:d>
            <m:dPr>
              <m:begChr m:val="("/>
              <m:endChr m:val=")"/>
              <m:sepChr m:val=""/>
              <m:grow/>
            </m:dPr>
            <m:e>
              <m:r>
                <m:t>2</m:t>
              </m:r>
              <m:r>
                <m:t>B</m:t>
              </m:r>
              <m:r>
                <m:rPr>
                  <m:sty m:val="p"/>
                </m:rPr>
                <m:t>−</m:t>
              </m:r>
              <m:r>
                <m:t>3</m:t>
              </m:r>
            </m:e>
          </m:d>
          <m:r>
            <m:t>ε</m:t>
          </m:r>
          <m:r>
            <m:rPr>
              <m:sty m:val="p"/>
            </m:rPr>
            <m:t>.</m:t>
          </m:r>
        </m:oMath>
      </m:oMathPara>
    </w:p>
    <w:p>
      <w:pPr>
        <w:pStyle w:val="FirstParagraph"/>
      </w:pPr>
      <w:r>
        <w:t xml:space="preserve">This proves sharpness.</w:t>
      </w:r>
      <w:r>
        <w:t xml:space="preserve"> </w:t>
      </w:r>
      <m:oMath>
        <m:r>
          <m:rPr>
            <m:sty m:val="p"/>
          </m:rPr>
          <m:t>▫</m:t>
        </m:r>
      </m:oMath>
    </w:p>
    <w:p>
      <w:pPr>
        <w:pStyle w:val="BodyText"/>
      </w:pPr>
      <w:r>
        <w:t xml:space="preserve">The factor two in (4.7) is an upper bound; its sharpness is not asserted. Replacing</w:t>
      </w:r>
      <w:r>
        <w:t xml:space="preserve"> </w:t>
      </w:r>
      <m:oMath>
        <m:r>
          <m:t>H</m:t>
        </m:r>
      </m:oMath>
      <w:r>
        <w:t xml:space="preserve"> </w:t>
      </w:r>
      <w:r>
        <w:t xml:space="preserve">by the repaired estimate gives corresponding value and excess-loss bounds with</w:t>
      </w:r>
      <w:r>
        <w:t xml:space="preserve"> </w:t>
      </w:r>
      <m:oMath>
        <m:r>
          <m:t>4</m:t>
        </m:r>
        <m:r>
          <m:t>B</m:t>
        </m:r>
        <m:r>
          <m:rPr>
            <m:sty m:val="p"/>
          </m:rPr>
          <m:t>−</m:t>
        </m:r>
        <m:r>
          <m:t>3</m:t>
        </m:r>
      </m:oMath>
      <w:r>
        <w:t xml:space="preserve">, for</w:t>
      </w:r>
      <w:r>
        <w:t xml:space="preserve"> </w:t>
      </w:r>
      <m:oMath>
        <m:r>
          <m:t>B</m:t>
        </m:r>
        <m:r>
          <m:rPr>
            <m:sty m:val="p"/>
          </m:rPr>
          <m:t>≥</m:t>
        </m:r>
        <m:r>
          <m:t>1</m:t>
        </m:r>
      </m:oMath>
      <w:r>
        <w:t xml:space="preserve">.</w:t>
      </w:r>
    </w:p>
    <w:p>
      <w:pPr>
        <w:pStyle w:val="BodyText"/>
      </w:pPr>
      <w:r>
        <w:t xml:space="preserve">The parity example also shows a limitation of one-step policies. If every initial acquisition has positive cost, a policy comparing only immediate Bayes-risk reduction with acquisition cost stops without querying. Its value remains</w:t>
      </w:r>
      <w:r>
        <w:t xml:space="preserve"> </w:t>
      </w:r>
      <m:oMath>
        <m:r>
          <m:t>1</m:t>
        </m:r>
        <m:r>
          <m:rPr>
            <m:sty m:val="p"/>
          </m:rPr>
          <m:t>/</m:t>
        </m:r>
        <m:r>
          <m:t>2</m:t>
        </m:r>
      </m:oMath>
      <w:r>
        <w:t xml:space="preserve">, while the optimum is</w:t>
      </w:r>
      <w:r>
        <w:t xml:space="preserve"> </w:t>
      </w:r>
      <m:oMath>
        <m:r>
          <m:t>λ</m:t>
        </m:r>
        <m:r>
          <m:t>F</m:t>
        </m:r>
        <m:d>
          <m:dPr>
            <m:begChr m:val="("/>
            <m:endChr m:val=")"/>
            <m:sepChr m:val=""/>
            <m:grow/>
          </m:dPr>
          <m:e>
            <m:r>
              <m:t>N</m:t>
            </m:r>
          </m:e>
        </m:d>
      </m:oMath>
      <w:r>
        <w:t xml:space="preserve"> </w:t>
      </w:r>
      <w:r>
        <w:t xml:space="preserve">for sufficiently small</w:t>
      </w:r>
      <w:r>
        <w:t xml:space="preserve"> </w:t>
      </w:r>
      <m:oMath>
        <m:r>
          <m:t>λ</m:t>
        </m:r>
      </m:oMath>
      <w:r>
        <w:t xml:space="preserve">. Their ratio is unbounded as</w:t>
      </w:r>
      <w:r>
        <w:t xml:space="preserve"> </w:t>
      </w:r>
      <m:oMath>
        <m:r>
          <m:t>λ</m:t>
        </m:r>
      </m:oMath>
      <w:r>
        <w:t xml:space="preserve"> </w:t>
      </w:r>
      <w:r>
        <w:t xml:space="preserve">approaches zero. Thus tree structure alone does not provide a general one-step approximation guarantee; assumptions on information value are also required [8].</w:t>
      </w:r>
    </w:p>
    <w:p>
      <w:pPr>
        <w:pStyle w:val="BodyText"/>
      </w:pPr>
      <w:r>
        <w:t xml:space="preserve">The stability question here differs from optimization over uncertain transition laws. Iyengar [11] and Nilim and El Ghaoui [19] develop robust dynamic programming for transition uncertainty. In Theorem 4.2 the likelihoods and admissible policies are common to the true-cost and measured-cost problems; only the acquisition objective changes. Extending the result to uncertain likelihoods would therefore require an additional argument.</w:t>
      </w:r>
    </w:p>
    <w:bookmarkEnd w:id="32"/>
    <w:bookmarkStart w:id="33" w:name="certificates-for-a-recovered-cost-policy"/>
    <w:p>
      <w:pPr>
        <w:pStyle w:val="Heading2"/>
      </w:pPr>
      <w:r>
        <w:t xml:space="preserve">4.3. Certificates for a recovered-cost policy</w:t>
      </w:r>
    </w:p>
    <w:p>
      <w:pPr>
        <w:pStyle w:val="FirstParagraph"/>
      </w:pPr>
      <w:r>
        <w:t xml:space="preserve">The intervals in Proposition 3.4 can be used directly in a finite decision problem. Let</w:t>
      </w:r>
      <w:r>
        <w:t xml:space="preserve"> </w:t>
      </w:r>
      <m:oMath>
        <m:sSub>
          <m:e>
            <m:r>
              <m:rPr>
                <m:sty m:val="p"/>
                <m:scr m:val="script"/>
              </m:rPr>
              <m:t>P</m:t>
            </m:r>
          </m:e>
          <m:sub>
            <m:r>
              <m:t>B</m:t>
            </m:r>
          </m:sub>
        </m:sSub>
      </m:oMath>
      <w:r>
        <w:t xml:space="preserve"> </w:t>
      </w:r>
      <w:r>
        <w:t xml:space="preserve">be the common policy class, and suppose</w:t>
      </w:r>
      <w:r>
        <w:t xml:space="preserve"> </w:t>
      </w:r>
      <m:oMath>
        <m:r>
          <m:t>L</m:t>
        </m:r>
        <m:d>
          <m:dPr>
            <m:begChr m:val="("/>
            <m:endChr m:val=")"/>
            <m:sepChr m:val=""/>
            <m:grow/>
          </m:dPr>
          <m:e>
            <m:r>
              <m:t>S</m:t>
            </m:r>
          </m:e>
        </m:d>
        <m:r>
          <m:rPr>
            <m:sty m:val="p"/>
          </m:rPr>
          <m:t>≤</m:t>
        </m:r>
        <m:r>
          <m:t>F</m:t>
        </m:r>
        <m:d>
          <m:dPr>
            <m:begChr m:val="("/>
            <m:endChr m:val=")"/>
            <m:sepChr m:val=""/>
            <m:grow/>
          </m:dPr>
          <m:e>
            <m:r>
              <m:t>S</m:t>
            </m:r>
          </m:e>
        </m:d>
        <m:r>
          <m:rPr>
            <m:sty m:val="p"/>
          </m:rPr>
          <m:t>≤</m:t>
        </m:r>
        <m:r>
          <m:t>U</m:t>
        </m:r>
        <m:d>
          <m:dPr>
            <m:begChr m:val="("/>
            <m:endChr m:val=")"/>
            <m:sepChr m:val=""/>
            <m:grow/>
          </m:dPr>
          <m:e>
            <m:r>
              <m:t>S</m:t>
            </m:r>
          </m:e>
        </m:d>
      </m:oMath>
      <w:r>
        <w:t xml:space="preserve"> </w:t>
      </w:r>
      <w:r>
        <w:t xml:space="preserve">for every</w:t>
      </w:r>
      <w:r>
        <w:t xml:space="preserve"> </w:t>
      </w:r>
      <m:oMath>
        <m:d>
          <m:dPr>
            <m:begChr m:val="|"/>
            <m:endChr m:val="|"/>
            <m:sepChr m:val=""/>
            <m:grow/>
          </m:dPr>
          <m:e>
            <m:r>
              <m:t>S</m:t>
            </m:r>
          </m:e>
        </m:d>
        <m:r>
          <m:rPr>
            <m:sty m:val="p"/>
          </m:rPr>
          <m:t>≤</m:t>
        </m:r>
        <m:r>
          <m:t>B</m:t>
        </m:r>
      </m:oMath>
      <w:r>
        <w:t xml:space="preserve">, with</w:t>
      </w:r>
      <w:r>
        <w:t xml:space="preserve"> </w:t>
      </w:r>
      <m:oMath>
        <m:r>
          <m:t>L</m:t>
        </m:r>
        <m:d>
          <m:dPr>
            <m:begChr m:val="("/>
            <m:endChr m:val=")"/>
            <m:sepChr m:val=""/>
            <m:grow/>
          </m:dPr>
          <m:e>
            <m:r>
              <m:rPr>
                <m:sty m:val="p"/>
              </m:rPr>
              <m:t>⌀</m:t>
            </m:r>
          </m:e>
        </m:d>
        <m:r>
          <m:rPr>
            <m:sty m:val="p"/>
          </m:rPr>
          <m:t>=</m:t>
        </m:r>
        <m:r>
          <m:t>U</m:t>
        </m:r>
        <m:d>
          <m:dPr>
            <m:begChr m:val="("/>
            <m:endChr m:val=")"/>
            <m:sepChr m:val=""/>
            <m:grow/>
          </m:dPr>
          <m:e>
            <m:r>
              <m:rPr>
                <m:sty m:val="p"/>
              </m:rPr>
              <m:t>⌀</m:t>
            </m:r>
          </m:e>
        </m:d>
        <m:r>
          <m:rPr>
            <m:sty m:val="p"/>
          </m:rPr>
          <m:t>=</m:t>
        </m:r>
        <m:r>
          <m:t>0</m:t>
        </m:r>
      </m:oMath>
      <w:r>
        <w:t xml:space="preserve">. Define</w:t>
      </w:r>
      <w:r>
        <w:t xml:space="preserve"> </w:t>
      </w:r>
      <m:oMath>
        <m:sSub>
          <m:e>
            <m:r>
              <m:t>J</m:t>
            </m:r>
          </m:e>
          <m:sub>
            <m:r>
              <m:t>K</m:t>
            </m:r>
          </m:sub>
        </m:sSub>
      </m:oMath>
      <w:r>
        <w:t xml:space="preserve"> </w:t>
      </w:r>
      <w:r>
        <w:t xml:space="preserve">by (4.1) for</w:t>
      </w:r>
      <w:r>
        <w:t xml:space="preserve"> </w:t>
      </w:r>
      <m:oMath>
        <m:r>
          <m:t>K</m:t>
        </m:r>
        <m:r>
          <m:rPr>
            <m:sty m:val="p"/>
          </m:rPr>
          <m:t>=</m:t>
        </m:r>
        <m:r>
          <m:t>L</m:t>
        </m:r>
        <m:r>
          <m:rPr>
            <m:sty m:val="p"/>
          </m:rPr>
          <m:t>,</m:t>
        </m:r>
        <m:r>
          <m:t>U</m:t>
        </m:r>
      </m:oMath>
      <w:r>
        <w:t xml:space="preserve"> </w:t>
      </w:r>
      <w:r>
        <w:t xml:space="preserve">and put</w:t>
      </w:r>
      <w:r>
        <w:t xml:space="preserve"> </w:t>
      </w:r>
      <m:oMath>
        <m:sSub>
          <m:e>
            <m:r>
              <m:t>V</m:t>
            </m:r>
          </m:e>
          <m:sub>
            <m:r>
              <m:t>K</m:t>
            </m:r>
          </m:sub>
        </m:sSub>
        <m:r>
          <m:rPr>
            <m:sty m:val="p"/>
          </m:rPr>
          <m:t>=</m:t>
        </m:r>
        <m:sSub>
          <m:e>
            <m:r>
              <m:rPr>
                <m:sty m:val="p"/>
              </m:rPr>
              <m:t>min</m:t>
            </m:r>
          </m:e>
          <m:sub>
            <m:r>
              <m:t>π</m:t>
            </m:r>
            <m:r>
              <m:rPr>
                <m:sty m:val="p"/>
              </m:rPr>
              <m:t>∈</m:t>
            </m:r>
            <m:sSub>
              <m:e>
                <m:r>
                  <m:rPr>
                    <m:sty m:val="p"/>
                    <m:scr m:val="script"/>
                  </m:rPr>
                  <m:t>P</m:t>
                </m:r>
              </m:e>
              <m:sub>
                <m:r>
                  <m:t>B</m:t>
                </m:r>
              </m:sub>
            </m:sSub>
          </m:sub>
        </m:sSub>
        <m:sSub>
          <m:e>
            <m:r>
              <m:t>J</m:t>
            </m:r>
          </m:e>
          <m:sub>
            <m:r>
              <m:t>K</m:t>
            </m:r>
          </m:sub>
        </m:sSub>
        <m:d>
          <m:dPr>
            <m:begChr m:val="("/>
            <m:endChr m:val=")"/>
            <m:sepChr m:val=""/>
            <m:grow/>
          </m:dPr>
          <m:e>
            <m:r>
              <m:t>π</m:t>
            </m:r>
          </m:e>
        </m:d>
      </m:oMath>
      <w:r>
        <w:t xml:space="preserve">. These surrogate set functions may be nonmonotone; their differences can still be used in the finite-horizon recursion.</w:t>
      </w:r>
    </w:p>
    <w:p>
      <w:pPr>
        <w:pStyle w:val="BodyText"/>
        <w:keepNext/>
        <w:spacing w:before="180"/>
      </w:pPr>
      <w:r>
        <w:rPr>
          <w:bCs/>
          <w:b/>
        </w:rPr>
        <w:t xml:space="preserve">Proposition 4.3 — Policy and initial-action certificates.</w:t>
      </w:r>
      <w:r>
        <w:t xml:space="preserve"> </w:t>
      </w:r>
      <w:r>
        <w:t xml:space="preserve">Let</w:t>
      </w:r>
      <w:r>
        <w:t xml:space="preserve"> </w:t>
      </w:r>
      <m:oMath>
        <m:sSub>
          <m:e>
            <m:r>
              <m:t>π</m:t>
            </m:r>
          </m:e>
          <m:sub>
            <m:r>
              <m:t>U</m:t>
            </m:r>
          </m:sub>
        </m:sSub>
      </m:oMath>
      <w:r>
        <w:t xml:space="preserve"> </w:t>
      </w:r>
      <w:r>
        <w:t xml:space="preserve">minimize</w:t>
      </w:r>
      <w:r>
        <w:t xml:space="preserve"> </w:t>
      </w:r>
      <m:oMath>
        <m:sSub>
          <m:e>
            <m:r>
              <m:t>J</m:t>
            </m:r>
          </m:e>
          <m:sub>
            <m:r>
              <m:t>U</m:t>
            </m:r>
          </m:sub>
        </m:sSub>
      </m:oMath>
      <w:r>
        <w:t xml:space="preserve">. Then</w:t>
      </w:r>
    </w:p>
    <w:p>
      <w:pPr>
        <w:pStyle w:val="BodyText"/>
      </w:pPr>
      <m:oMathPara>
        <m:oMathParaPr>
          <m:jc m:val="center"/>
        </m:oMathParaPr>
        <m:oMath>
          <m:sSub>
            <m:e>
              <m:r>
                <m:t>V</m:t>
              </m:r>
            </m:e>
            <m:sub>
              <m:r>
                <m:t>L</m:t>
              </m:r>
            </m:sub>
          </m:sSub>
          <m:r>
            <m:rPr>
              <m:sty m:val="p"/>
            </m:rPr>
            <m:t>≤</m:t>
          </m:r>
          <m:sSub>
            <m:e>
              <m:r>
                <m:t>V</m:t>
              </m:r>
            </m:e>
            <m:sub>
              <m:r>
                <m:t>F</m:t>
              </m:r>
            </m:sub>
          </m:sSub>
          <m:r>
            <m:rPr>
              <m:sty m:val="p"/>
            </m:rPr>
            <m:t>≤</m:t>
          </m:r>
          <m:sSub>
            <m:e>
              <m:r>
                <m:t>V</m:t>
              </m:r>
            </m:e>
            <m:sub>
              <m:r>
                <m:t>U</m:t>
              </m:r>
            </m:sub>
          </m:sSub>
          <m:r>
            <m:rPr>
              <m:sty m:val="p"/>
            </m:rPr>
            <m:t>,</m:t>
          </m:r>
          <m:r>
            <m:t>  </m:t>
          </m:r>
          <m:r>
            <m:t>0</m:t>
          </m:r>
          <m:r>
            <m:rPr>
              <m:sty m:val="p"/>
            </m:rPr>
            <m:t>≤</m:t>
          </m:r>
          <m:sSub>
            <m:e>
              <m:r>
                <m:t>J</m:t>
              </m:r>
            </m:e>
            <m:sub>
              <m:r>
                <m:t>F</m:t>
              </m:r>
            </m:sub>
          </m:sSub>
          <m:d>
            <m:dPr>
              <m:begChr m:val="("/>
              <m:endChr m:val=")"/>
              <m:sepChr m:val=""/>
              <m:grow/>
            </m:dPr>
            <m:e>
              <m:sSub>
                <m:e>
                  <m:r>
                    <m:t>π</m:t>
                  </m:r>
                </m:e>
                <m:sub>
                  <m:r>
                    <m:t>U</m:t>
                  </m:r>
                </m:sub>
              </m:sSub>
            </m:e>
          </m:d>
          <m:r>
            <m:rPr>
              <m:sty m:val="p"/>
            </m:rPr>
            <m:t>−</m:t>
          </m:r>
          <m:sSub>
            <m:e>
              <m:r>
                <m:t>V</m:t>
              </m:r>
            </m:e>
            <m:sub>
              <m:r>
                <m:t>F</m:t>
              </m:r>
            </m:sub>
          </m:sSub>
          <m:r>
            <m:rPr>
              <m:sty m:val="p"/>
            </m:rPr>
            <m:t>≤</m:t>
          </m:r>
          <m:sSub>
            <m:e>
              <m:r>
                <m:t>V</m:t>
              </m:r>
            </m:e>
            <m:sub>
              <m:r>
                <m:t>U</m:t>
              </m:r>
            </m:sub>
          </m:sSub>
          <m:r>
            <m:rPr>
              <m:sty m:val="p"/>
            </m:rPr>
            <m:t>−</m:t>
          </m:r>
          <m:sSub>
            <m:e>
              <m:r>
                <m:t>V</m:t>
              </m:r>
            </m:e>
            <m:sub>
              <m:r>
                <m:t>L</m:t>
              </m:r>
            </m:sub>
          </m:sSub>
          <m:r>
            <m:rPr>
              <m:sty m:val="p"/>
            </m:rPr>
            <m:t>,</m:t>
          </m:r>
        </m:oMath>
      </m:oMathPara>
    </w:p>
    <w:p>
      <w:pPr>
        <w:pStyle w:val="FirstParagraph"/>
      </w:pPr>
      <w:r>
        <w:t xml:space="preserve">and</w:t>
      </w:r>
    </w:p>
    <w:p>
      <w:pPr>
        <w:pStyle w:val="BodyText"/>
      </w:pPr>
      <m:oMathPara>
        <m:oMathParaPr>
          <m:jc m:val="center"/>
        </m:oMathParaPr>
        <m:oMath>
          <m:sSub>
            <m:e>
              <m:r>
                <m:t>V</m:t>
              </m:r>
            </m:e>
            <m:sub>
              <m:r>
                <m:t>U</m:t>
              </m:r>
            </m:sub>
          </m:sSub>
          <m:r>
            <m:rPr>
              <m:sty m:val="p"/>
            </m:rPr>
            <m:t>−</m:t>
          </m:r>
          <m:sSub>
            <m:e>
              <m:r>
                <m:t>V</m:t>
              </m:r>
            </m:e>
            <m:sub>
              <m:r>
                <m:t>L</m:t>
              </m:r>
            </m:sub>
          </m:sSub>
          <m:r>
            <m:rPr>
              <m:sty m:val="p"/>
            </m:rPr>
            <m:t>≤</m:t>
          </m:r>
          <m:r>
            <m:t>λ</m:t>
          </m:r>
          <m:limLow>
            <m:e>
              <m:r>
                <m:rPr>
                  <m:sty m:val="p"/>
                </m:rPr>
                <m:t>max</m:t>
              </m:r>
            </m:e>
            <m:lim>
              <m:d>
                <m:dPr>
                  <m:begChr m:val="|"/>
                  <m:endChr m:val="|"/>
                  <m:sepChr m:val=""/>
                  <m:grow/>
                </m:dPr>
                <m:e>
                  <m:r>
                    <m:t>S</m:t>
                  </m:r>
                </m:e>
              </m:d>
              <m:r>
                <m:rPr>
                  <m:sty m:val="p"/>
                </m:rPr>
                <m:t>≤</m:t>
              </m:r>
              <m:r>
                <m:t>B</m:t>
              </m:r>
            </m:lim>
          </m:limLow>
          <m:r>
            <m:rPr>
              <m:sty m:val="p"/>
            </m:rPr>
            <m:t>{</m:t>
          </m:r>
          <m:r>
            <m:t>U</m:t>
          </m:r>
          <m:d>
            <m:dPr>
              <m:begChr m:val="("/>
              <m:endChr m:val=")"/>
              <m:sepChr m:val=""/>
              <m:grow/>
            </m:dPr>
            <m:e>
              <m:r>
                <m:t>S</m:t>
              </m:r>
            </m:e>
          </m:d>
          <m:r>
            <m:rPr>
              <m:sty m:val="p"/>
            </m:rPr>
            <m:t>−</m:t>
          </m:r>
          <m:r>
            <m:t>L</m:t>
          </m:r>
          <m:d>
            <m:dPr>
              <m:begChr m:val="("/>
              <m:endChr m:val=")"/>
              <m:sepChr m:val=""/>
              <m:grow/>
            </m:dPr>
            <m:e>
              <m:r>
                <m:t>S</m:t>
              </m:r>
            </m:e>
          </m:d>
          <m:r>
            <m:rPr>
              <m:sty m:val="p"/>
            </m:rPr>
            <m:t>}</m:t>
          </m:r>
          <m:r>
            <m:rPr>
              <m:sty m:val="p"/>
            </m:rPr>
            <m:t>.</m:t>
          </m:r>
        </m:oMath>
      </m:oMathPara>
    </w:p>
    <w:p>
      <w:pPr>
        <w:pStyle w:val="FirstParagraph"/>
      </w:pPr>
      <w:r>
        <w:t xml:space="preserve">If</w:t>
      </w:r>
      <w:r>
        <w:t xml:space="preserve"> </w:t>
      </w:r>
      <m:oMath>
        <m:sSub>
          <m:e>
            <m:r>
              <m:t>J</m:t>
            </m:r>
          </m:e>
          <m:sub>
            <m:r>
              <m:t>U</m:t>
            </m:r>
          </m:sub>
        </m:sSub>
        <m:d>
          <m:dPr>
            <m:begChr m:val="("/>
            <m:endChr m:val=")"/>
            <m:sepChr m:val=""/>
            <m:grow/>
          </m:dPr>
          <m:e>
            <m:r>
              <m:t>π</m:t>
            </m:r>
          </m:e>
        </m:d>
        <m:r>
          <m:rPr>
            <m:sty m:val="p"/>
          </m:rPr>
          <m:t>≤</m:t>
        </m:r>
        <m:sSub>
          <m:e>
            <m:r>
              <m:t>V</m:t>
            </m:r>
          </m:e>
          <m:sub>
            <m:r>
              <m:t>U</m:t>
            </m:r>
          </m:sub>
        </m:sSub>
        <m:r>
          <m:rPr>
            <m:sty m:val="p"/>
          </m:rPr>
          <m:t>+</m:t>
        </m:r>
        <m:r>
          <m:t>η</m:t>
        </m:r>
      </m:oMath>
      <w:r>
        <w:t xml:space="preserve"> </w:t>
      </w:r>
      <w:r>
        <w:t xml:space="preserve">for</w:t>
      </w:r>
      <w:r>
        <w:t xml:space="preserve"> </w:t>
      </w:r>
      <m:oMath>
        <m:r>
          <m:t>η</m:t>
        </m:r>
        <m:r>
          <m:rPr>
            <m:sty m:val="p"/>
          </m:rPr>
          <m:t>≥</m:t>
        </m:r>
        <m:r>
          <m:t>0</m:t>
        </m:r>
      </m:oMath>
      <w:r>
        <w:t xml:space="preserve">, the corresponding excess-objective bound is</w:t>
      </w:r>
      <w:r>
        <w:t xml:space="preserve"> </w:t>
      </w:r>
      <m:oMath>
        <m:sSub>
          <m:e>
            <m:r>
              <m:t>V</m:t>
            </m:r>
          </m:e>
          <m:sub>
            <m:r>
              <m:t>U</m:t>
            </m:r>
          </m:sub>
        </m:sSub>
        <m:r>
          <m:rPr>
            <m:sty m:val="p"/>
          </m:rPr>
          <m:t>−</m:t>
        </m:r>
        <m:sSub>
          <m:e>
            <m:r>
              <m:t>V</m:t>
            </m:r>
          </m:e>
          <m:sub>
            <m:r>
              <m:t>L</m:t>
            </m:r>
          </m:sub>
        </m:sSub>
        <m:r>
          <m:rPr>
            <m:sty m:val="p"/>
          </m:rPr>
          <m:t>+</m:t>
        </m:r>
        <m:r>
          <m:t>η</m:t>
        </m:r>
      </m:oMath>
      <w:r>
        <w:t xml:space="preserve">.</w:t>
      </w:r>
    </w:p>
    <w:p>
      <w:pPr>
        <w:pStyle w:val="BodyText"/>
      </w:pPr>
      <w:r>
        <w:t xml:space="preserve">For an admissible initial action</w:t>
      </w:r>
      <w:r>
        <w:t xml:space="preserve"> </w:t>
      </w:r>
      <m:oMath>
        <m:r>
          <m:t>a</m:t>
        </m:r>
      </m:oMath>
      <w:r>
        <w:t xml:space="preserve"> </w:t>
      </w:r>
      <w:r>
        <w:t xml:space="preserve">(stopping or a first query), let</w:t>
      </w:r>
    </w:p>
    <w:p>
      <w:pPr>
        <w:pStyle w:val="BodyText"/>
      </w:pPr>
      <m:oMathPara>
        <m:oMathParaPr>
          <m:jc m:val="center"/>
        </m:oMathParaPr>
        <m:oMath>
          <m:sSub>
            <m:e>
              <m:r>
                <m:t>Q</m:t>
              </m:r>
            </m:e>
            <m:sub>
              <m:r>
                <m:t>K</m:t>
              </m:r>
            </m:sub>
          </m:sSub>
          <m:d>
            <m:dPr>
              <m:begChr m:val="("/>
              <m:endChr m:val=")"/>
              <m:sepChr m:val=""/>
              <m:grow/>
            </m:dPr>
            <m:e>
              <m:r>
                <m:t>a</m:t>
              </m:r>
            </m:e>
          </m:d>
          <m:r>
            <m:rPr>
              <m:sty m:val="p"/>
            </m:rPr>
            <m:t>=</m:t>
          </m:r>
          <m:limLow>
            <m:e>
              <m:r>
                <m:rPr>
                  <m:sty m:val="p"/>
                </m:rPr>
                <m:t>min</m:t>
              </m:r>
            </m:e>
            <m:lim>
              <m:r>
                <m:t>π</m:t>
              </m:r>
              <m:r>
                <m:rPr>
                  <m:sty m:val="p"/>
                </m:rPr>
                <m:t>∈</m:t>
              </m:r>
              <m:sSub>
                <m:e>
                  <m:r>
                    <m:rPr>
                      <m:sty m:val="p"/>
                      <m:scr m:val="script"/>
                    </m:rPr>
                    <m:t>P</m:t>
                  </m:r>
                </m:e>
                <m:sub>
                  <m:r>
                    <m:t>B</m:t>
                  </m:r>
                </m:sub>
              </m:sSub>
              <m:r>
                <m:rPr>
                  <m:sty m:val="p"/>
                </m:rPr>
                <m:t>:</m:t>
              </m:r>
              <m:r>
                <m:t> </m:t>
              </m:r>
              <m:r>
                <m:t>π</m:t>
              </m:r>
              <m:r>
                <m:rPr>
                  <m:nor/>
                  <m:sty m:val="p"/>
                </m:rPr>
                <m:t> starts with </m:t>
              </m:r>
              <m:r>
                <m:t>a</m:t>
              </m:r>
            </m:lim>
          </m:limLow>
          <m:sSub>
            <m:e>
              <m:r>
                <m:t>J</m:t>
              </m:r>
            </m:e>
            <m:sub>
              <m:r>
                <m:t>K</m:t>
              </m:r>
            </m:sub>
          </m:sSub>
          <m:d>
            <m:dPr>
              <m:begChr m:val="("/>
              <m:endChr m:val=")"/>
              <m:sepChr m:val=""/>
              <m:grow/>
            </m:dPr>
            <m:e>
              <m:r>
                <m:t>π</m:t>
              </m:r>
            </m:e>
          </m:d>
          <m:r>
            <m:rPr>
              <m:sty m:val="p"/>
            </m:rPr>
            <m:t>.</m:t>
          </m:r>
        </m:oMath>
      </m:oMathPara>
    </w:p>
    <w:p>
      <w:pPr>
        <w:pStyle w:val="FirstParagraph"/>
      </w:pPr>
      <w:r>
        <w:t xml:space="preserve">If</w:t>
      </w:r>
    </w:p>
    <w:p>
      <w:pPr>
        <w:pStyle w:val="BodyText"/>
      </w:pPr>
      <m:oMathPara>
        <m:oMathParaPr>
          <m:jc m:val="center"/>
        </m:oMathParaPr>
        <m:oMath>
          <m:sSub>
            <m:e>
              <m:r>
                <m:t>Q</m:t>
              </m:r>
            </m:e>
            <m:sub>
              <m:r>
                <m:t>U</m:t>
              </m:r>
            </m:sub>
          </m:sSub>
          <m:d>
            <m:dPr>
              <m:begChr m:val="("/>
              <m:endChr m:val=")"/>
              <m:sepChr m:val=""/>
              <m:grow/>
            </m:dPr>
            <m:e>
              <m:r>
                <m:t>a</m:t>
              </m:r>
            </m:e>
          </m:d>
          <m:r>
            <m:rPr>
              <m:sty m:val="p"/>
            </m:rPr>
            <m:t>&lt;</m:t>
          </m:r>
          <m:limLow>
            <m:e>
              <m:r>
                <m:rPr>
                  <m:sty m:val="p"/>
                </m:rPr>
                <m:t>min</m:t>
              </m:r>
            </m:e>
            <m:lim>
              <m:r>
                <m:t>b</m:t>
              </m:r>
              <m:r>
                <m:rPr>
                  <m:sty m:val="p"/>
                </m:rPr>
                <m:t>≠</m:t>
              </m:r>
              <m:r>
                <m:t>a</m:t>
              </m:r>
            </m:lim>
          </m:limLow>
          <m:sSub>
            <m:e>
              <m:r>
                <m:t>Q</m:t>
              </m:r>
            </m:e>
            <m:sub>
              <m:r>
                <m:t>L</m:t>
              </m:r>
            </m:sub>
          </m:sSub>
          <m:d>
            <m:dPr>
              <m:begChr m:val="("/>
              <m:endChr m:val=")"/>
              <m:sepChr m:val=""/>
              <m:grow/>
            </m:dPr>
            <m:e>
              <m:r>
                <m:t>b</m:t>
              </m:r>
            </m:e>
          </m:d>
          <m:r>
            <m:rPr>
              <m:sty m:val="p"/>
            </m:rPr>
            <m:t>,</m:t>
          </m:r>
        </m:oMath>
      </m:oMathPara>
    </w:p>
    <w:p>
      <w:pPr>
        <w:pStyle w:val="FirstParagraph"/>
      </w:pPr>
      <w:r>
        <w:t xml:space="preserve">then</w:t>
      </w:r>
      <w:r>
        <w:t xml:space="preserve"> </w:t>
      </w:r>
      <m:oMath>
        <m:r>
          <m:t>a</m:t>
        </m:r>
      </m:oMath>
      <w:r>
        <w:t xml:space="preserve"> </w:t>
      </w:r>
      <w:r>
        <w:t xml:space="preserve">is the unique optimal initial action for every true cost function consistent with the intervals, for the fixed observation model and decision problem.</w:t>
      </w:r>
    </w:p>
    <w:p>
      <w:pPr>
        <w:pStyle w:val="BodyText"/>
      </w:pPr>
      <w:r>
        <w:rPr>
          <w:iCs/>
          <w:i/>
        </w:rPr>
        <w:t xml:space="preserve">Proof.</w:t>
      </w:r>
      <w:r>
        <w:t xml:space="preserve"> </w:t>
      </w:r>
      <w:r>
        <w:t xml:space="preserve">For every fixed policy,</w:t>
      </w:r>
      <w:r>
        <w:t xml:space="preserve"> </w:t>
      </w:r>
      <m:oMath>
        <m:sSub>
          <m:e>
            <m:r>
              <m:t>J</m:t>
            </m:r>
          </m:e>
          <m:sub>
            <m:r>
              <m:t>L</m:t>
            </m:r>
          </m:sub>
        </m:sSub>
        <m:d>
          <m:dPr>
            <m:begChr m:val="("/>
            <m:endChr m:val=")"/>
            <m:sepChr m:val=""/>
            <m:grow/>
          </m:dPr>
          <m:e>
            <m:r>
              <m:t>π</m:t>
            </m:r>
          </m:e>
        </m:d>
        <m:r>
          <m:rPr>
            <m:sty m:val="p"/>
          </m:rPr>
          <m:t>≤</m:t>
        </m:r>
        <m:sSub>
          <m:e>
            <m:r>
              <m:t>J</m:t>
            </m:r>
          </m:e>
          <m:sub>
            <m:r>
              <m:t>F</m:t>
            </m:r>
          </m:sub>
        </m:sSub>
        <m:d>
          <m:dPr>
            <m:begChr m:val="("/>
            <m:endChr m:val=")"/>
            <m:sepChr m:val=""/>
            <m:grow/>
          </m:dPr>
          <m:e>
            <m:r>
              <m:t>π</m:t>
            </m:r>
          </m:e>
        </m:d>
        <m:r>
          <m:rPr>
            <m:sty m:val="p"/>
          </m:rPr>
          <m:t>≤</m:t>
        </m:r>
        <m:sSub>
          <m:e>
            <m:r>
              <m:t>J</m:t>
            </m:r>
          </m:e>
          <m:sub>
            <m:r>
              <m:t>U</m:t>
            </m:r>
          </m:sub>
        </m:sSub>
        <m:d>
          <m:dPr>
            <m:begChr m:val="("/>
            <m:endChr m:val=")"/>
            <m:sepChr m:val=""/>
            <m:grow/>
          </m:dPr>
          <m:e>
            <m:r>
              <m:t>π</m:t>
            </m:r>
          </m:e>
        </m:d>
      </m:oMath>
      <w:r>
        <w:t xml:space="preserve">. Minimizing gives the value ordering, and applying it to</w:t>
      </w:r>
      <w:r>
        <w:t xml:space="preserve"> </w:t>
      </w:r>
      <m:oMath>
        <m:sSub>
          <m:e>
            <m:r>
              <m:t>π</m:t>
            </m:r>
          </m:e>
          <m:sub>
            <m:r>
              <m:t>U</m:t>
            </m:r>
          </m:sub>
        </m:sSub>
      </m:oMath>
      <w:r>
        <w:t xml:space="preserve"> </w:t>
      </w:r>
      <w:r>
        <w:t xml:space="preserve">gives the regret bound. If</w:t>
      </w:r>
      <w:r>
        <w:t xml:space="preserve"> </w:t>
      </w:r>
      <m:oMath>
        <m:sSub>
          <m:e>
            <m:r>
              <m:t>π</m:t>
            </m:r>
          </m:e>
          <m:sub>
            <m:r>
              <m:t>L</m:t>
            </m:r>
          </m:sub>
        </m:sSub>
      </m:oMath>
      <w:r>
        <w:t xml:space="preserve"> </w:t>
      </w:r>
      <w:r>
        <w:t xml:space="preserve">minimizes</w:t>
      </w:r>
      <w:r>
        <w:t xml:space="preserve"> </w:t>
      </w:r>
      <m:oMath>
        <m:sSub>
          <m:e>
            <m:r>
              <m:t>J</m:t>
            </m:r>
          </m:e>
          <m:sub>
            <m:r>
              <m:t>L</m:t>
            </m:r>
          </m:sub>
        </m:sSub>
      </m:oMath>
      <w:r>
        <w:t xml:space="preserve">, then</w:t>
      </w:r>
    </w:p>
    <w:p>
      <w:pPr>
        <w:pStyle w:val="BodyText"/>
      </w:pPr>
      <m:oMathPara>
        <m:oMathParaPr>
          <m:jc m:val="center"/>
        </m:oMathParaPr>
        <m:oMath>
          <m:sSub>
            <m:e>
              <m:r>
                <m:t>V</m:t>
              </m:r>
            </m:e>
            <m:sub>
              <m:r>
                <m:t>U</m:t>
              </m:r>
            </m:sub>
          </m:sSub>
          <m:r>
            <m:rPr>
              <m:sty m:val="p"/>
            </m:rPr>
            <m:t>−</m:t>
          </m:r>
          <m:sSub>
            <m:e>
              <m:r>
                <m:t>V</m:t>
              </m:r>
            </m:e>
            <m:sub>
              <m:r>
                <m:t>L</m:t>
              </m:r>
            </m:sub>
          </m:sSub>
          <m:r>
            <m:rPr>
              <m:sty m:val="p"/>
            </m:rPr>
            <m:t>≤</m:t>
          </m:r>
          <m:sSub>
            <m:e>
              <m:r>
                <m:t>J</m:t>
              </m:r>
            </m:e>
            <m:sub>
              <m:r>
                <m:t>U</m:t>
              </m:r>
            </m:sub>
          </m:sSub>
          <m:d>
            <m:dPr>
              <m:begChr m:val="("/>
              <m:endChr m:val=")"/>
              <m:sepChr m:val=""/>
              <m:grow/>
            </m:dPr>
            <m:e>
              <m:sSub>
                <m:e>
                  <m:r>
                    <m:t>π</m:t>
                  </m:r>
                </m:e>
                <m:sub>
                  <m:r>
                    <m:t>L</m:t>
                  </m:r>
                </m:sub>
              </m:sSub>
            </m:e>
          </m:d>
          <m:r>
            <m:rPr>
              <m:sty m:val="p"/>
            </m:rPr>
            <m:t>−</m:t>
          </m:r>
          <m:sSub>
            <m:e>
              <m:r>
                <m:t>J</m:t>
              </m:r>
            </m:e>
            <m:sub>
              <m:r>
                <m:t>L</m:t>
              </m:r>
            </m:sub>
          </m:sSub>
          <m:d>
            <m:dPr>
              <m:begChr m:val="("/>
              <m:endChr m:val=")"/>
              <m:sepChr m:val=""/>
              <m:grow/>
            </m:dPr>
            <m:e>
              <m:sSub>
                <m:e>
                  <m:r>
                    <m:t>π</m:t>
                  </m:r>
                </m:e>
                <m:sub>
                  <m:r>
                    <m:t>L</m:t>
                  </m:r>
                </m:sub>
              </m:sSub>
            </m:e>
          </m:d>
          <m:r>
            <m:rPr>
              <m:sty m:val="p"/>
            </m:rPr>
            <m:t>≤</m:t>
          </m:r>
          <m:r>
            <m:t>λ</m:t>
          </m:r>
          <m:limLow>
            <m:e>
              <m:r>
                <m:rPr>
                  <m:sty m:val="p"/>
                </m:rPr>
                <m:t>max</m:t>
              </m:r>
            </m:e>
            <m:lim>
              <m:d>
                <m:dPr>
                  <m:begChr m:val="|"/>
                  <m:endChr m:val="|"/>
                  <m:sepChr m:val=""/>
                  <m:grow/>
                </m:dPr>
                <m:e>
                  <m:r>
                    <m:t>S</m:t>
                  </m:r>
                </m:e>
              </m:d>
              <m:r>
                <m:rPr>
                  <m:sty m:val="p"/>
                </m:rPr>
                <m:t>≤</m:t>
              </m:r>
              <m:r>
                <m:t>B</m:t>
              </m:r>
            </m:lim>
          </m:limLow>
          <m:r>
            <m:rPr>
              <m:sty m:val="p"/>
            </m:rPr>
            <m:t>{</m:t>
          </m:r>
          <m:r>
            <m:t>U</m:t>
          </m:r>
          <m:d>
            <m:dPr>
              <m:begChr m:val="("/>
              <m:endChr m:val=")"/>
              <m:sepChr m:val=""/>
              <m:grow/>
            </m:dPr>
            <m:e>
              <m:r>
                <m:t>S</m:t>
              </m:r>
            </m:e>
          </m:d>
          <m:r>
            <m:rPr>
              <m:sty m:val="p"/>
            </m:rPr>
            <m:t>−</m:t>
          </m:r>
          <m:r>
            <m:t>L</m:t>
          </m:r>
          <m:d>
            <m:dPr>
              <m:begChr m:val="("/>
              <m:endChr m:val=")"/>
              <m:sepChr m:val=""/>
              <m:grow/>
            </m:dPr>
            <m:e>
              <m:r>
                <m:t>S</m:t>
              </m:r>
            </m:e>
          </m:d>
          <m:r>
            <m:rPr>
              <m:sty m:val="p"/>
            </m:rPr>
            <m:t>}</m:t>
          </m:r>
          <m:r>
            <m:rPr>
              <m:sty m:val="p"/>
            </m:rPr>
            <m:t>.</m:t>
          </m:r>
        </m:oMath>
      </m:oMathPara>
    </w:p>
    <w:p>
      <w:pPr>
        <w:pStyle w:val="FirstParagraph"/>
      </w:pPr>
      <w:r>
        <w:t xml:space="preserve">The approximate-policy assertion follows by adding</w:t>
      </w:r>
      <w:r>
        <w:t xml:space="preserve"> </w:t>
      </w:r>
      <m:oMath>
        <m:r>
          <m:t>η</m:t>
        </m:r>
      </m:oMath>
      <w:r>
        <w:t xml:space="preserve">. The same objective ordering within each class of policies having a specified first action yields</w:t>
      </w:r>
      <w:r>
        <w:t xml:space="preserve"> </w:t>
      </w:r>
      <m:oMath>
        <m:sSub>
          <m:e>
            <m:r>
              <m:t>Q</m:t>
            </m:r>
          </m:e>
          <m:sub>
            <m:r>
              <m:t>L</m:t>
            </m:r>
          </m:sub>
        </m:sSub>
        <m:d>
          <m:dPr>
            <m:begChr m:val="("/>
            <m:endChr m:val=")"/>
            <m:sepChr m:val=""/>
            <m:grow/>
          </m:dPr>
          <m:e>
            <m:r>
              <m:t>b</m:t>
            </m:r>
          </m:e>
        </m:d>
        <m:r>
          <m:rPr>
            <m:sty m:val="p"/>
          </m:rPr>
          <m:t>≤</m:t>
        </m:r>
        <m:sSub>
          <m:e>
            <m:r>
              <m:t>Q</m:t>
            </m:r>
          </m:e>
          <m:sub>
            <m:r>
              <m:t>F</m:t>
            </m:r>
          </m:sub>
        </m:sSub>
        <m:d>
          <m:dPr>
            <m:begChr m:val="("/>
            <m:endChr m:val=")"/>
            <m:sepChr m:val=""/>
            <m:grow/>
          </m:dPr>
          <m:e>
            <m:r>
              <m:t>b</m:t>
            </m:r>
          </m:e>
        </m:d>
        <m:r>
          <m:rPr>
            <m:sty m:val="p"/>
          </m:rPr>
          <m:t>≤</m:t>
        </m:r>
        <m:sSub>
          <m:e>
            <m:r>
              <m:t>Q</m:t>
            </m:r>
          </m:e>
          <m:sub>
            <m:r>
              <m:t>U</m:t>
            </m:r>
          </m:sub>
        </m:sSub>
        <m:d>
          <m:dPr>
            <m:begChr m:val="("/>
            <m:endChr m:val=")"/>
            <m:sepChr m:val=""/>
            <m:grow/>
          </m:dPr>
          <m:e>
            <m:r>
              <m:t>b</m:t>
            </m:r>
          </m:e>
        </m:d>
      </m:oMath>
      <w:r>
        <w:t xml:space="preserve">. The strict separation condition therefore gives</w:t>
      </w:r>
      <w:r>
        <w:t xml:space="preserve"> </w:t>
      </w:r>
      <m:oMath>
        <m:sSub>
          <m:e>
            <m:r>
              <m:t>Q</m:t>
            </m:r>
          </m:e>
          <m:sub>
            <m:r>
              <m:t>F</m:t>
            </m:r>
          </m:sub>
        </m:sSub>
        <m:d>
          <m:dPr>
            <m:begChr m:val="("/>
            <m:endChr m:val=")"/>
            <m:sepChr m:val=""/>
            <m:grow/>
          </m:dPr>
          <m:e>
            <m:r>
              <m:t>a</m:t>
            </m:r>
          </m:e>
        </m:d>
        <m:r>
          <m:rPr>
            <m:sty m:val="p"/>
          </m:rPr>
          <m:t>&lt;</m:t>
        </m:r>
        <m:sSub>
          <m:e>
            <m:r>
              <m:t>Q</m:t>
            </m:r>
          </m:e>
          <m:sub>
            <m:r>
              <m:t>F</m:t>
            </m:r>
          </m:sub>
        </m:sSub>
        <m:d>
          <m:dPr>
            <m:begChr m:val="("/>
            <m:endChr m:val=")"/>
            <m:sepChr m:val=""/>
            <m:grow/>
          </m:dPr>
          <m:e>
            <m:r>
              <m:t>b</m:t>
            </m:r>
          </m:e>
        </m:d>
      </m:oMath>
      <w:r>
        <w:t xml:space="preserve"> </w:t>
      </w:r>
      <w:r>
        <w:t xml:space="preserve">for every alternative</w:t>
      </w:r>
      <w:r>
        <w:t xml:space="preserve"> </w:t>
      </w:r>
      <m:oMath>
        <m:r>
          <m:t>b</m:t>
        </m:r>
      </m:oMath>
      <w:r>
        <w:t xml:space="preserve">.</w:t>
      </w:r>
      <w:r>
        <w:t xml:space="preserve"> </w:t>
      </w:r>
      <m:oMath>
        <m:r>
          <m:rPr>
            <m:sty m:val="p"/>
          </m:rPr>
          <m:t>▫</m:t>
        </m:r>
      </m:oMath>
    </w:p>
    <w:p>
      <w:pPr>
        <w:pStyle w:val="BodyText"/>
      </w:pPr>
      <w:r>
        <w:t xml:space="preserve">This is a sufficient certificate: its failure does not imply that an action is unstable. For a common measurement tolerance, the interval-width bound is at most</w:t>
      </w:r>
      <w:r>
        <w:t xml:space="preserve"> </w:t>
      </w:r>
      <m:oMath>
        <m:r>
          <m:t>2</m:t>
        </m:r>
        <m:r>
          <m:t>λ</m:t>
        </m:r>
        <m:sSub>
          <m:e>
            <m:r>
              <m:t>β</m:t>
            </m:r>
          </m:e>
          <m:sub>
            <m:r>
              <m:t>B</m:t>
            </m:r>
          </m:sub>
        </m:sSub>
        <m:r>
          <m:t>ε</m:t>
        </m:r>
      </m:oMath>
      <w:r>
        <w:t xml:space="preserve">. Solving the lower and upper decision problems can yield a smaller, instance-specific certificate. The upper-cost policy is not asserted to have the least true regret, nor to solve a minimax problem over mutually compatible cost tables. The argument is an objective perturbation principle, applied here to the computable intervals of the rooted-tree model.</w:t>
      </w:r>
    </w:p>
    <w:bookmarkEnd w:id="33"/>
    <w:bookmarkEnd w:id="34"/>
    <w:bookmarkStart w:id="37" w:name="X6536023aadc7ab51e6f91a0e0076485fb9ee5bc"/>
    <w:p>
      <w:pPr>
        <w:pStyle w:val="Heading1"/>
      </w:pPr>
      <w:r>
        <w:t xml:space="preserve">5. Decision equivalence and the boundary of the model</w:t>
      </w:r>
    </w:p>
    <w:bookmarkStart w:id="35" w:name="Xf566fc8f9405a7e51b06c066331be51b71fc5e7"/>
    <w:p>
      <w:pPr>
        <w:pStyle w:val="Heading2"/>
      </w:pPr>
      <w:r>
        <w:t xml:space="preserve">5.1. Which network information is decision-relevant?</w:t>
      </w:r>
    </w:p>
    <w:p>
      <w:pPr>
        <w:pStyle w:val="FirstParagraph"/>
        <w:keepNext/>
        <w:spacing w:before="180"/>
      </w:pPr>
      <w:r>
        <w:rPr>
          <w:bCs/>
          <w:b/>
        </w:rPr>
        <w:t xml:space="preserve">Theorem 5.1 — Universal decision equivalence.</w:t>
      </w:r>
      <w:r>
        <w:t xml:space="preserve"> </w:t>
      </w:r>
      <w:r>
        <w:t xml:space="preserve">Let</w:t>
      </w:r>
      <w:r>
        <w:t xml:space="preserve"> </w:t>
      </w:r>
      <m:oMath>
        <m:r>
          <m:t>F</m:t>
        </m:r>
      </m:oMath>
      <w:r>
        <w:t xml:space="preserve"> </w:t>
      </w:r>
      <w:r>
        <w:t xml:space="preserve">and</w:t>
      </w:r>
      <w:r>
        <w:t xml:space="preserve"> </w:t>
      </w:r>
      <m:oMath>
        <m:r>
          <m:t>G</m:t>
        </m:r>
      </m:oMath>
      <w:r>
        <w:t xml:space="preserve"> </w:t>
      </w:r>
      <w:r>
        <w:t xml:space="preserve">be rooted-tree cost functions on the same</w:t>
      </w:r>
      <w:r>
        <w:t xml:space="preserve"> </w:t>
      </w:r>
      <m:oMath>
        <m:r>
          <m:t>n</m:t>
        </m:r>
        <m:r>
          <m:rPr>
            <m:sty m:val="p"/>
          </m:rPr>
          <m:t>≥</m:t>
        </m:r>
        <m:r>
          <m:t>2</m:t>
        </m:r>
      </m:oMath>
      <w:r>
        <w:t xml:space="preserve"> </w:t>
      </w:r>
      <w:r>
        <w:t xml:space="preserve">labels. Fix</w:t>
      </w:r>
      <w:r>
        <w:t xml:space="preserve"> </w:t>
      </w:r>
      <m:oMath>
        <m:r>
          <m:t>2</m:t>
        </m:r>
        <m:r>
          <m:rPr>
            <m:sty m:val="p"/>
          </m:rPr>
          <m:t>≤</m:t>
        </m:r>
        <m:r>
          <m:t>B</m:t>
        </m:r>
        <m:r>
          <m:rPr>
            <m:sty m:val="p"/>
          </m:rPr>
          <m:t>≤</m:t>
        </m:r>
        <m:r>
          <m:t>n</m:t>
        </m:r>
      </m:oMath>
      <w:r>
        <w:t xml:space="preserve">. The following statements are equivalent:</w:t>
      </w:r>
    </w:p>
    <w:p>
      <w:pPr>
        <w:numPr>
          <w:ilvl w:val="0"/>
          <w:numId w:val="1001"/>
        </w:numPr>
        <w:pStyle w:val="Compact"/>
      </w:pPr>
      <m:oMath>
        <m:r>
          <m:t>F</m:t>
        </m:r>
      </m:oMath>
      <w:r>
        <w:t xml:space="preserve"> </w:t>
      </w:r>
      <w:r>
        <w:t xml:space="preserve">and</w:t>
      </w:r>
      <w:r>
        <w:t xml:space="preserve"> </w:t>
      </w:r>
      <m:oMath>
        <m:r>
          <m:t>G</m:t>
        </m:r>
      </m:oMath>
      <w:r>
        <w:t xml:space="preserve"> </w:t>
      </w:r>
      <w:r>
        <w:t xml:space="preserve">agree on every singleton and pair.</w:t>
      </w:r>
    </w:p>
    <w:p>
      <w:pPr>
        <w:numPr>
          <w:ilvl w:val="0"/>
          <w:numId w:val="1001"/>
        </w:numPr>
        <w:pStyle w:val="Compact"/>
      </w:pPr>
      <w:r>
        <w:t xml:space="preserve">They agree on every subset of sources.</w:t>
      </w:r>
    </w:p>
    <w:p>
      <w:pPr>
        <w:numPr>
          <w:ilvl w:val="0"/>
          <w:numId w:val="1001"/>
        </w:numPr>
        <w:pStyle w:val="Compact"/>
      </w:pPr>
      <w:r>
        <w:t xml:space="preserve">They have equal optimal values for every finite decision experiment described in Section 4 and every</w:t>
      </w:r>
      <w:r>
        <w:t xml:space="preserve"> </w:t>
      </w:r>
      <m:oMath>
        <m:r>
          <m:t>λ</m:t>
        </m:r>
        <m:r>
          <m:rPr>
            <m:sty m:val="p"/>
          </m:rPr>
          <m:t>&gt;</m:t>
        </m:r>
        <m:r>
          <m:t>0</m:t>
        </m:r>
      </m:oMath>
      <w:r>
        <w:t xml:space="preserve">, under the same call limit</w:t>
      </w:r>
      <w:r>
        <w:t xml:space="preserve"> </w:t>
      </w:r>
      <m:oMath>
        <m:r>
          <m:t>B</m:t>
        </m:r>
      </m:oMath>
      <w:r>
        <w:t xml:space="preserve">.</w:t>
      </w:r>
    </w:p>
    <w:p>
      <w:pPr>
        <w:pStyle w:val="FirstParagraph"/>
      </w:pPr>
      <w:r>
        <w:rPr>
          <w:iCs/>
          <w:i/>
        </w:rPr>
        <w:t xml:space="preserve">Proof.</w:t>
      </w:r>
      <w:r>
        <w:t xml:space="preserve"> </w:t>
      </w:r>
      <w:r>
        <w:t xml:space="preserve">Proposition 2.2 gives statement 1 implies statement 2. Identical set costs give identical objectives for every policy, proving statement 2 implies statement 3.</w:t>
      </w:r>
    </w:p>
    <w:p>
      <w:pPr>
        <w:pStyle w:val="BodyText"/>
      </w:pPr>
      <w:r>
        <w:t xml:space="preserve">Suppose statement 1 fails on a set</w:t>
      </w:r>
      <w:r>
        <w:t xml:space="preserve"> </w:t>
      </w:r>
      <m:oMath>
        <m:r>
          <m:t>S</m:t>
        </m:r>
      </m:oMath>
      <w:r>
        <w:t xml:space="preserve"> </w:t>
      </w:r>
      <w:r>
        <w:t xml:space="preserve">of size one or two. Let each source in</w:t>
      </w:r>
      <w:r>
        <w:t xml:space="preserve"> </w:t>
      </w:r>
      <m:oMath>
        <m:r>
          <m:t>S</m:t>
        </m:r>
      </m:oMath>
      <w:r>
        <w:t xml:space="preserve"> </w:t>
      </w:r>
      <w:r>
        <w:t xml:space="preserve">reveal one independent fair bit, let every other source return a constant, and let the final decision predict the parity of the bits in</w:t>
      </w:r>
      <w:r>
        <w:t xml:space="preserve"> </w:t>
      </w:r>
      <m:oMath>
        <m:r>
          <m:t>S</m:t>
        </m:r>
      </m:oMath>
      <w:r>
        <w:t xml:space="preserve">.</w:t>
      </w:r>
    </w:p>
    <w:p>
      <w:pPr>
        <w:pStyle w:val="BodyText"/>
      </w:pPr>
      <w:r>
        <w:t xml:space="preserve">By the argument in Theorem 4.2 and monotonicity of acquisition costs, the optimal value under a cost function</w:t>
      </w:r>
      <w:r>
        <w:t xml:space="preserve"> </w:t>
      </w:r>
      <m:oMath>
        <m:r>
          <m:t>K</m:t>
        </m:r>
      </m:oMath>
      <w:r>
        <w:t xml:space="preserve"> </w:t>
      </w:r>
      <w:r>
        <w:t xml:space="preserve">is</w:t>
      </w:r>
    </w:p>
    <w:p>
      <w:pPr>
        <w:pStyle w:val="BodyText"/>
      </w:pPr>
      <m:oMathPara>
        <m:oMathParaPr>
          <m:jc m:val="center"/>
        </m:oMathParaPr>
        <m:oMath>
          <m:r>
            <m:rPr>
              <m:sty m:val="p"/>
            </m:rPr>
            <m:t>min</m:t>
          </m:r>
          <m:r>
            <m:rPr>
              <m:sty m:val="p"/>
            </m:rPr>
            <m:t>{</m:t>
          </m:r>
          <m:r>
            <m:t>1</m:t>
          </m:r>
          <m:r>
            <m:rPr>
              <m:sty m:val="p"/>
            </m:rPr>
            <m:t>/</m:t>
          </m:r>
          <m:r>
            <m:t>2</m:t>
          </m:r>
          <m:r>
            <m:rPr>
              <m:sty m:val="p"/>
            </m:rPr>
            <m:t>,</m:t>
          </m:r>
          <m:r>
            <m:t>λ</m:t>
          </m:r>
          <m:r>
            <m:t>K</m:t>
          </m:r>
          <m:d>
            <m:dPr>
              <m:begChr m:val="("/>
              <m:endChr m:val=")"/>
              <m:sepChr m:val=""/>
              <m:grow/>
            </m:dPr>
            <m:e>
              <m:r>
                <m:t>S</m:t>
              </m:r>
            </m:e>
          </m:d>
          <m:r>
            <m:rPr>
              <m:sty m:val="p"/>
            </m:rPr>
            <m:t>}</m:t>
          </m:r>
          <m:r>
            <m:rPr>
              <m:sty m:val="p"/>
            </m:rPr>
            <m:t>.</m:t>
          </m:r>
        </m:oMath>
      </m:oMathPara>
    </w:p>
    <w:p>
      <w:pPr>
        <w:pStyle w:val="FirstParagraph"/>
      </w:pPr>
      <w:r>
        <w:t xml:space="preserve">Choose</w:t>
      </w:r>
      <w:r>
        <w:t xml:space="preserve"> </w:t>
      </w:r>
      <m:oMath>
        <m:r>
          <m:t>λ</m:t>
        </m:r>
        <m:r>
          <m:rPr>
            <m:sty m:val="p"/>
          </m:rPr>
          <m:t>&gt;</m:t>
        </m:r>
        <m:r>
          <m:t>0</m:t>
        </m:r>
      </m:oMath>
      <w:r>
        <w:t xml:space="preserve"> </w:t>
      </w:r>
      <w:r>
        <w:t xml:space="preserve">small enough that acquiring</w:t>
      </w:r>
      <w:r>
        <w:t xml:space="preserve"> </w:t>
      </w:r>
      <m:oMath>
        <m:r>
          <m:t>S</m:t>
        </m:r>
      </m:oMath>
      <w:r>
        <w:t xml:space="preserve"> </w:t>
      </w:r>
      <w:r>
        <w:t xml:space="preserve">is optimal under both</w:t>
      </w:r>
      <w:r>
        <w:t xml:space="preserve"> </w:t>
      </w:r>
      <m:oMath>
        <m:r>
          <m:t>F</m:t>
        </m:r>
      </m:oMath>
      <w:r>
        <w:t xml:space="preserve"> </w:t>
      </w:r>
      <w:r>
        <w:t xml:space="preserve">and</w:t>
      </w:r>
      <w:r>
        <w:t xml:space="preserve"> </w:t>
      </w:r>
      <m:oMath>
        <m:r>
          <m:t>G</m:t>
        </m:r>
      </m:oMath>
      <w:r>
        <w:t xml:space="preserve">. Since</w:t>
      </w:r>
      <w:r>
        <w:t xml:space="preserve"> </w:t>
      </w:r>
      <m:oMath>
        <m:r>
          <m:t>F</m:t>
        </m:r>
        <m:d>
          <m:dPr>
            <m:begChr m:val="("/>
            <m:endChr m:val=")"/>
            <m:sepChr m:val=""/>
            <m:grow/>
          </m:dPr>
          <m:e>
            <m:r>
              <m:t>S</m:t>
            </m:r>
          </m:e>
        </m:d>
        <m:r>
          <m:rPr>
            <m:sty m:val="p"/>
          </m:rPr>
          <m:t>≠</m:t>
        </m:r>
        <m:r>
          <m:t>G</m:t>
        </m:r>
        <m:d>
          <m:dPr>
            <m:begChr m:val="("/>
            <m:endChr m:val=")"/>
            <m:sepChr m:val=""/>
            <m:grow/>
          </m:dPr>
          <m:e>
            <m:r>
              <m:t>S</m:t>
            </m:r>
          </m:e>
        </m:d>
      </m:oMath>
      <w:r>
        <w:t xml:space="preserve">, their optimal values differ, contradicting statement 3.</w:t>
      </w:r>
      <w:r>
        <w:t xml:space="preserve"> </w:t>
      </w:r>
      <m:oMath>
        <m:r>
          <m:rPr>
            <m:sty m:val="p"/>
          </m:rPr>
          <m:t>▫</m:t>
        </m:r>
      </m:oMath>
    </w:p>
    <w:p>
      <w:pPr>
        <w:pStyle w:val="BodyText"/>
      </w:pPr>
      <w:r>
        <w:t xml:space="preserve">For</w:t>
      </w:r>
      <w:r>
        <w:t xml:space="preserve"> </w:t>
      </w:r>
      <m:oMath>
        <m:r>
          <m:t>B</m:t>
        </m:r>
        <m:r>
          <m:rPr>
            <m:sty m:val="p"/>
          </m:rPr>
          <m:t>=</m:t>
        </m:r>
        <m:r>
          <m:t>1</m:t>
        </m:r>
      </m:oMath>
      <w:r>
        <w:t xml:space="preserve">, only singleton costs matter. The quantifier over all positive</w:t>
      </w:r>
      <w:r>
        <w:t xml:space="preserve"> </w:t>
      </w:r>
      <m:oMath>
        <m:r>
          <m:t>λ</m:t>
        </m:r>
      </m:oMath>
      <w:r>
        <w:t xml:space="preserve"> </w:t>
      </w:r>
      <w:r>
        <w:t xml:space="preserve">is essential: a sufficiently high fixed penalty can make immediate stopping optimal in both networks and conceal cost differences.</w:t>
      </w:r>
    </w:p>
    <w:p>
      <w:pPr>
        <w:pStyle w:val="BodyText"/>
      </w:pPr>
      <w:r>
        <w:t xml:space="preserve">Blackwell’s comparison of experiments [2] provides a classical decision-theoretic use of universal quantification over decision problems. The objects compared here are acquisition-cost functions: the observation experiment is the same on both sides of each comparison. Theorem 5.1 characterizes when cost differences can be detected by some such experiment; it is not a characterization of the informational equivalence of observation channels.</w:t>
      </w:r>
    </w:p>
    <w:bookmarkEnd w:id="35"/>
    <w:bookmarkStart w:id="36" w:name="failure-for-general-shared-resources"/>
    <w:p>
      <w:pPr>
        <w:pStyle w:val="Heading2"/>
      </w:pPr>
      <w:r>
        <w:t xml:space="preserve">5.2. Failure for general shared resources</w:t>
      </w:r>
    </w:p>
    <w:p>
      <w:pPr>
        <w:pStyle w:val="FirstParagraph"/>
      </w:pPr>
      <w:r>
        <w:t xml:space="preserve">Rooted-path structure cannot be inferred solely from a compatible pair table. Consider three sources.</w:t>
      </w:r>
    </w:p>
    <w:p>
      <w:pPr>
        <w:pStyle w:val="BodyText"/>
      </w:pPr>
      <w:r>
        <w:t xml:space="preserve">In system A, there are three resources</w:t>
      </w:r>
      <w:r>
        <w:t xml:space="preserve"> </w:t>
      </w:r>
      <m:oMath>
        <m:sSub>
          <m:e>
            <m:r>
              <m:t>e</m:t>
            </m:r>
          </m:e>
          <m:sub>
            <m:r>
              <m:t>12</m:t>
            </m:r>
          </m:sub>
        </m:sSub>
        <m:r>
          <m:rPr>
            <m:sty m:val="p"/>
          </m:rPr>
          <m:t>,</m:t>
        </m:r>
        <m:sSub>
          <m:e>
            <m:r>
              <m:t>e</m:t>
            </m:r>
          </m:e>
          <m:sub>
            <m:r>
              <m:t>13</m:t>
            </m:r>
          </m:sub>
        </m:sSub>
        <m:r>
          <m:rPr>
            <m:sty m:val="p"/>
          </m:rPr>
          <m:t>,</m:t>
        </m:r>
        <m:sSub>
          <m:e>
            <m:r>
              <m:t>e</m:t>
            </m:r>
          </m:e>
          <m:sub>
            <m:r>
              <m:t>23</m:t>
            </m:r>
          </m:sub>
        </m:sSub>
      </m:oMath>
      <w:r>
        <w:t xml:space="preserve">, each of cost one. Source 1 uses</w:t>
      </w:r>
      <w:r>
        <w:t xml:space="preserve"> </w:t>
      </w:r>
      <m:oMath>
        <m:sSub>
          <m:e>
            <m:r>
              <m:t>e</m:t>
            </m:r>
          </m:e>
          <m:sub>
            <m:r>
              <m:t>12</m:t>
            </m:r>
          </m:sub>
        </m:sSub>
        <m:r>
          <m:rPr>
            <m:sty m:val="p"/>
          </m:rPr>
          <m:t>,</m:t>
        </m:r>
        <m:sSub>
          <m:e>
            <m:r>
              <m:t>e</m:t>
            </m:r>
          </m:e>
          <m:sub>
            <m:r>
              <m:t>13</m:t>
            </m:r>
          </m:sub>
        </m:sSub>
      </m:oMath>
      <w:r>
        <w:t xml:space="preserve">; source 2 uses</w:t>
      </w:r>
      <w:r>
        <w:t xml:space="preserve"> </w:t>
      </w:r>
      <m:oMath>
        <m:sSub>
          <m:e>
            <m:r>
              <m:t>e</m:t>
            </m:r>
          </m:e>
          <m:sub>
            <m:r>
              <m:t>12</m:t>
            </m:r>
          </m:sub>
        </m:sSub>
        <m:r>
          <m:rPr>
            <m:sty m:val="p"/>
          </m:rPr>
          <m:t>,</m:t>
        </m:r>
        <m:sSub>
          <m:e>
            <m:r>
              <m:t>e</m:t>
            </m:r>
          </m:e>
          <m:sub>
            <m:r>
              <m:t>23</m:t>
            </m:r>
          </m:sub>
        </m:sSub>
      </m:oMath>
      <w:r>
        <w:t xml:space="preserve">; source 3 uses</w:t>
      </w:r>
      <w:r>
        <w:t xml:space="preserve"> </w:t>
      </w:r>
      <m:oMath>
        <m:sSub>
          <m:e>
            <m:r>
              <m:t>e</m:t>
            </m:r>
          </m:e>
          <m:sub>
            <m:r>
              <m:t>13</m:t>
            </m:r>
          </m:sub>
        </m:sSub>
        <m:r>
          <m:rPr>
            <m:sty m:val="p"/>
          </m:rPr>
          <m:t>,</m:t>
        </m:r>
        <m:sSub>
          <m:e>
            <m:r>
              <m:t>e</m:t>
            </m:r>
          </m:e>
          <m:sub>
            <m:r>
              <m:t>23</m:t>
            </m:r>
          </m:sub>
        </m:sSub>
      </m:oMath>
      <w:r>
        <w:t xml:space="preserve">.</w:t>
      </w:r>
    </w:p>
    <w:p>
      <w:pPr>
        <w:pStyle w:val="BodyText"/>
      </w:pPr>
      <w:r>
        <w:t xml:space="preserve">In system B, every source uses a common resource of cost one and its own private resource of cost one.</w:t>
      </w:r>
    </w:p>
    <w:p>
      <w:pPr>
        <w:pStyle w:val="BodyText"/>
      </w:pPr>
      <w:r>
        <w:t xml:space="preserve">Both systems have singleton cost two and pair cost three. Their triple costs differ:</w:t>
      </w:r>
    </w:p>
    <w:p>
      <w:pPr>
        <w:pStyle w:val="BodyText"/>
        <w:jc w:val="center"/>
      </w:pPr>
      <m:oMath>
        <m:sSub>
          <m:e>
            <m:r>
              <m:t>F</m:t>
            </m:r>
          </m:e>
          <m:sub>
            <m:r>
              <m:t>A</m:t>
            </m:r>
          </m:sub>
        </m:sSub>
        <m:d>
          <m:dPr>
            <m:begChr m:val="("/>
            <m:endChr m:val=")"/>
            <m:sepChr m:val=""/>
            <m:grow/>
          </m:dPr>
          <m:e>
            <m:r>
              <m:rPr>
                <m:sty m:val="p"/>
              </m:rPr>
              <m:t>{</m:t>
            </m:r>
            <m:r>
              <m:t>1</m:t>
            </m:r>
            <m:r>
              <m:rPr>
                <m:sty m:val="p"/>
              </m:rPr>
              <m:t>,</m:t>
            </m:r>
            <m:r>
              <m:t>2</m:t>
            </m:r>
            <m:r>
              <m:rPr>
                <m:sty m:val="p"/>
              </m:rPr>
              <m:t>,</m:t>
            </m:r>
            <m:r>
              <m:t>3</m:t>
            </m:r>
            <m:r>
              <m:rPr>
                <m:sty m:val="p"/>
              </m:rPr>
              <m:t>}</m:t>
            </m:r>
          </m:e>
        </m:d>
        <m:r>
          <m:rPr>
            <m:sty m:val="p"/>
          </m:rPr>
          <m:t>=</m:t>
        </m:r>
        <m:r>
          <m:t>3</m:t>
        </m:r>
        <m:r>
          <m:rPr>
            <m:sty m:val="p"/>
          </m:rPr>
          <m:t>,</m:t>
        </m:r>
        <m:r>
          <m:t> </m:t>
        </m:r>
        <m:r>
          <m:t> </m:t>
        </m:r>
        <m:sSub>
          <m:e>
            <m:r>
              <m:t>F</m:t>
            </m:r>
          </m:e>
          <m:sub>
            <m:r>
              <m:t>B</m:t>
            </m:r>
          </m:sub>
        </m:sSub>
        <m:d>
          <m:dPr>
            <m:begChr m:val="("/>
            <m:endChr m:val=")"/>
            <m:sepChr m:val=""/>
            <m:grow/>
          </m:dPr>
          <m:e>
            <m:r>
              <m:rPr>
                <m:sty m:val="p"/>
              </m:rPr>
              <m:t>{</m:t>
            </m:r>
            <m:r>
              <m:t>1</m:t>
            </m:r>
            <m:r>
              <m:rPr>
                <m:sty m:val="p"/>
              </m:rPr>
              <m:t>,</m:t>
            </m:r>
            <m:r>
              <m:t>2</m:t>
            </m:r>
            <m:r>
              <m:rPr>
                <m:sty m:val="p"/>
              </m:rPr>
              <m:t>,</m:t>
            </m:r>
            <m:r>
              <m:t>3</m:t>
            </m:r>
            <m:r>
              <m:rPr>
                <m:sty m:val="p"/>
              </m:rPr>
              <m:t>}</m:t>
            </m:r>
          </m:e>
        </m:d>
        <m:r>
          <m:rPr>
            <m:sty m:val="p"/>
          </m:rPr>
          <m:t>=</m:t>
        </m:r>
        <m:r>
          <m:t>4</m:t>
        </m:r>
        <m:r>
          <m:rPr>
            <m:sty m:val="p"/>
          </m:rPr>
          <m:t>.</m:t>
        </m:r>
      </m:oMath>
      <w:r>
        <w:t xml:space="preserve">     (5.1)</w:t>
      </w:r>
    </w:p>
    <w:p>
      <w:pPr>
        <w:pStyle w:val="BodyText"/>
      </w:pPr>
      <w:r>
        <w:t xml:space="preserve">System B is a rooted-tree model; system A is a general coverage system. Individual and pairwise measurements therefore cannot identify all group costs over the broader class. Even a table satisfying Proposition 2.1 does not certify that the physical system has rooted-path structure.</w:t>
      </w:r>
    </w:p>
    <w:bookmarkEnd w:id="36"/>
    <w:bookmarkEnd w:id="37"/>
    <w:bookmarkStart w:id="45" w:name="synthetic-manufacturing-illustration"/>
    <w:p>
      <w:pPr>
        <w:pStyle w:val="Heading1"/>
      </w:pPr>
      <w:r>
        <w:t xml:space="preserve">6. Synthetic manufacturing illustration</w:t>
      </w:r>
    </w:p>
    <w:bookmarkStart w:id="38" w:name="fully-specified-instance"/>
    <w:p>
      <w:pPr>
        <w:pStyle w:val="Heading2"/>
      </w:pPr>
      <w:r>
        <w:t xml:space="preserve">6.1. Fully specified instance</w:t>
      </w:r>
    </w:p>
    <w:p>
      <w:pPr>
        <w:pStyle w:val="FirstParagraph"/>
      </w:pPr>
      <w:r>
        <w:t xml:space="preserve">Consider six evidence sources: telemetry, quality, maintenance, materials, scheduling, and assembly. Their labels describe diagnostic roles. No physical factory data or language-model outputs are used.</w:t>
      </w:r>
    </w:p>
    <w:p>
      <w:pPr>
        <w:pStyle w:val="BodyText"/>
      </w:pPr>
      <w:r>
        <w:t xml:space="preserve">The rooted routing tree has the following activation edges.</w:t>
      </w:r>
    </w:p>
    <w:tbl>
      <w:tblPr>
        <w:tblStyle w:val="Table"/>
        <w:tblW w:type="pct" w:w="4870"/>
        <w:tblLayout w:type="fixed"/>
        <w:tblLook w:firstRow="1" w:lastRow="0" w:firstColumn="0" w:lastColumn="0" w:noHBand="0" w:noVBand="0" w:val="0020"/>
        <w:jc w:val="start"/>
        <w:tblBorders>
          <w:top w:val="single" w:sz="4" w:color="B8BDC5"/>
          <w:left w:val="single" w:sz="4" w:color="B8BDC5"/>
          <w:bottom w:val="single" w:sz="4" w:color="B8BDC5"/>
          <w:right w:val="single" w:sz="4" w:color="B8BDC5"/>
          <w:insideH w:val="single" w:sz="4" w:color="B8BDC5"/>
          <w:insideV w:val="single" w:sz="4" w:color="B8BDC5"/>
        </w:tblBorders>
      </w:tblPr>
      <w:tblGrid>
        <w:gridCol w:w="4802"/>
        <w:gridCol w:w="4802"/>
      </w:tblGrid>
      <w:tr>
        <w:trPr>
          <w:tblHeader w:val="true"/>
          <w:cantSplit/>
          <w:tblHeader/>
        </w:trPr>
        <w:tc>
          <w:tcPr>
            <w:tcW w:type="dxa" w:w="4802"/>
            <w:shd w:fill="EDEFF2"/>
          </w:tcPr>
          <w:p>
            <w:pPr>
              <w:pStyle w:val="Compact"/>
              <w:keepNext/>
              <w:spacing w:before="40" w:after="40" w:line="240" w:lineRule="auto"/>
              <w:jc w:val="left"/>
            </w:pPr>
            <w:r>
              <w:rPr>
                <w:bCs/>
                <w:rFonts w:ascii="Calibri" w:hAnsi="Calibri"/>
                <w:b/>
                <w:sz w:val="18"/>
              </w:rPr>
              <w:t xml:space="preserve">Edge</w:t>
            </w:r>
          </w:p>
        </w:tc>
        <w:tc>
          <w:tcPr>
            <w:tcW w:type="dxa" w:w="4802"/>
            <w:shd w:fill="EDEFF2"/>
          </w:tcPr>
          <w:p>
            <w:pPr>
              <w:pStyle w:val="Compact"/>
              <w:keepNext/>
              <w:spacing w:before="40" w:after="40" w:line="240" w:lineRule="auto"/>
              <w:jc w:val="left"/>
            </w:pPr>
            <w:r>
              <w:rPr>
                <w:bCs/>
                <w:rFonts w:ascii="Calibri" w:hAnsi="Calibri"/>
                <w:b/>
                <w:sz w:val="18"/>
              </w:rPr>
              <w:t xml:space="preserve">Activation cost</w:t>
            </w:r>
          </w:p>
        </w:tc>
      </w:tr>
      <w:tr>
        <w:trPr>
          <w:cantSplit/>
        </w:trPr>
        <w:tc>
          <w:tcPr>
            <w:tcW w:type="dxa" w:w="4802"/>
          </w:tcPr>
          <w:p>
            <w:pPr>
              <w:pStyle w:val="Compact"/>
              <w:keepNext/>
              <w:spacing w:before="40" w:after="40" w:line="240" w:lineRule="auto"/>
              <w:jc w:val="left"/>
            </w:pPr>
            <w:r>
              <w:rPr>
                <w:rFonts w:ascii="Calibri" w:hAnsi="Calibri"/>
                <w:sz w:val="18"/>
              </w:rPr>
              <w:t xml:space="preserve">Coordinator → Telemetry</w:t>
            </w:r>
          </w:p>
        </w:tc>
        <w:tc>
          <w:tcPr>
            <w:tcW w:type="dxa" w:w="4802"/>
          </w:tcPr>
          <w:p>
            <w:pPr>
              <w:pStyle w:val="Compact"/>
              <w:keepNext/>
              <w:spacing w:before="40" w:after="40" w:line="240" w:lineRule="auto"/>
              <w:jc w:val="left"/>
            </w:pPr>
            <w:r>
              <w:rPr>
                <w:rFonts w:ascii="Calibri" w:hAnsi="Calibri"/>
                <w:sz w:val="18"/>
              </w:rPr>
              <w:t xml:space="preserve">2.0</w:t>
            </w:r>
          </w:p>
        </w:tc>
      </w:tr>
      <w:tr>
        <w:trPr>
          <w:cantSplit/>
        </w:trPr>
        <w:tc>
          <w:tcPr>
            <w:tcW w:type="dxa" w:w="4802"/>
          </w:tcPr>
          <w:p>
            <w:pPr>
              <w:pStyle w:val="Compact"/>
              <w:keepNext/>
              <w:spacing w:before="40" w:after="40" w:line="240" w:lineRule="auto"/>
              <w:jc w:val="left"/>
            </w:pPr>
            <w:r>
              <w:rPr>
                <w:rFonts w:ascii="Calibri" w:hAnsi="Calibri"/>
                <w:sz w:val="18"/>
              </w:rPr>
              <w:t xml:space="preserve">Telemetry → Quality</w:t>
            </w:r>
          </w:p>
        </w:tc>
        <w:tc>
          <w:tcPr>
            <w:tcW w:type="dxa" w:w="4802"/>
          </w:tcPr>
          <w:p>
            <w:pPr>
              <w:pStyle w:val="Compact"/>
              <w:keepNext/>
              <w:spacing w:before="40" w:after="40" w:line="240" w:lineRule="auto"/>
              <w:jc w:val="left"/>
            </w:pPr>
            <w:r>
              <w:rPr>
                <w:rFonts w:ascii="Calibri" w:hAnsi="Calibri"/>
                <w:sz w:val="18"/>
              </w:rPr>
              <w:t xml:space="preserve">1.6</w:t>
            </w:r>
          </w:p>
        </w:tc>
      </w:tr>
      <w:tr>
        <w:trPr>
          <w:cantSplit/>
        </w:trPr>
        <w:tc>
          <w:tcPr>
            <w:tcW w:type="dxa" w:w="4802"/>
          </w:tcPr>
          <w:p>
            <w:pPr>
              <w:pStyle w:val="Compact"/>
              <w:keepNext/>
              <w:spacing w:before="40" w:after="40" w:line="240" w:lineRule="auto"/>
              <w:jc w:val="left"/>
            </w:pPr>
            <w:r>
              <w:rPr>
                <w:rFonts w:ascii="Calibri" w:hAnsi="Calibri"/>
                <w:sz w:val="18"/>
              </w:rPr>
              <w:t xml:space="preserve">Telemetry → Maintenance</w:t>
            </w:r>
          </w:p>
        </w:tc>
        <w:tc>
          <w:tcPr>
            <w:tcW w:type="dxa" w:w="4802"/>
          </w:tcPr>
          <w:p>
            <w:pPr>
              <w:pStyle w:val="Compact"/>
              <w:keepNext/>
              <w:spacing w:before="40" w:after="40" w:line="240" w:lineRule="auto"/>
              <w:jc w:val="left"/>
            </w:pPr>
            <w:r>
              <w:rPr>
                <w:rFonts w:ascii="Calibri" w:hAnsi="Calibri"/>
                <w:sz w:val="18"/>
              </w:rPr>
              <w:t xml:space="preserve">1.4</w:t>
            </w:r>
          </w:p>
        </w:tc>
      </w:tr>
      <w:tr>
        <w:trPr>
          <w:cantSplit/>
        </w:trPr>
        <w:tc>
          <w:tcPr>
            <w:tcW w:type="dxa" w:w="4802"/>
          </w:tcPr>
          <w:p>
            <w:pPr>
              <w:pStyle w:val="Compact"/>
              <w:keepNext/>
              <w:spacing w:before="40" w:after="40" w:line="240" w:lineRule="auto"/>
              <w:jc w:val="left"/>
            </w:pPr>
            <w:r>
              <w:rPr>
                <w:rFonts w:ascii="Calibri" w:hAnsi="Calibri"/>
                <w:sz w:val="18"/>
              </w:rPr>
              <w:t xml:space="preserve">Coordinator → Materials</w:t>
            </w:r>
          </w:p>
        </w:tc>
        <w:tc>
          <w:tcPr>
            <w:tcW w:type="dxa" w:w="4802"/>
          </w:tcPr>
          <w:p>
            <w:pPr>
              <w:pStyle w:val="Compact"/>
              <w:keepNext/>
              <w:spacing w:before="40" w:after="40" w:line="240" w:lineRule="auto"/>
              <w:jc w:val="left"/>
            </w:pPr>
            <w:r>
              <w:rPr>
                <w:rFonts w:ascii="Calibri" w:hAnsi="Calibri"/>
                <w:sz w:val="18"/>
              </w:rPr>
              <w:t xml:space="preserve">2.6</w:t>
            </w:r>
          </w:p>
        </w:tc>
      </w:tr>
      <w:tr>
        <w:trPr>
          <w:cantSplit/>
        </w:trPr>
        <w:tc>
          <w:tcPr>
            <w:tcW w:type="dxa" w:w="4802"/>
          </w:tcPr>
          <w:p>
            <w:pPr>
              <w:pStyle w:val="Compact"/>
              <w:keepNext/>
              <w:spacing w:before="40" w:after="40" w:line="240" w:lineRule="auto"/>
              <w:jc w:val="left"/>
            </w:pPr>
            <w:r>
              <w:rPr>
                <w:rFonts w:ascii="Calibri" w:hAnsi="Calibri"/>
                <w:sz w:val="18"/>
              </w:rPr>
              <w:t xml:space="preserve">Coordinator → Scheduling</w:t>
            </w:r>
          </w:p>
        </w:tc>
        <w:tc>
          <w:tcPr>
            <w:tcW w:type="dxa" w:w="4802"/>
          </w:tcPr>
          <w:p>
            <w:pPr>
              <w:pStyle w:val="Compact"/>
              <w:keepNext/>
              <w:spacing w:before="40" w:after="40" w:line="240" w:lineRule="auto"/>
              <w:jc w:val="left"/>
            </w:pPr>
            <w:r>
              <w:rPr>
                <w:rFonts w:ascii="Calibri" w:hAnsi="Calibri"/>
                <w:sz w:val="18"/>
              </w:rPr>
              <w:t xml:space="preserve">2.0</w:t>
            </w:r>
          </w:p>
        </w:tc>
      </w:tr>
      <w:tr>
        <w:trPr>
          <w:cantSplit/>
        </w:trPr>
        <w:tc>
          <w:tcPr>
            <w:tcW w:type="dxa" w:w="4802"/>
          </w:tcPr>
          <w:p>
            <w:pPr>
              <w:pStyle w:val="Compact"/>
              <w:keepNext w:val="0"/>
              <w:spacing w:before="40" w:after="40" w:line="240" w:lineRule="auto"/>
              <w:jc w:val="left"/>
            </w:pPr>
            <w:r>
              <w:rPr>
                <w:rFonts w:ascii="Calibri" w:hAnsi="Calibri"/>
                <w:sz w:val="18"/>
              </w:rPr>
              <w:t xml:space="preserve">Scheduling → Assembly</w:t>
            </w:r>
          </w:p>
        </w:tc>
        <w:tc>
          <w:tcPr>
            <w:tcW w:type="dxa" w:w="4802"/>
          </w:tcPr>
          <w:p>
            <w:pPr>
              <w:pStyle w:val="Compact"/>
              <w:keepNext w:val="0"/>
              <w:spacing w:before="40" w:after="40" w:line="240" w:lineRule="auto"/>
              <w:jc w:val="left"/>
            </w:pPr>
            <w:r>
              <w:rPr>
                <w:rFonts w:ascii="Calibri" w:hAnsi="Calibri"/>
                <w:sz w:val="18"/>
              </w:rPr>
              <w:t xml:space="preserve">1.8</w:t>
            </w:r>
          </w:p>
        </w:tc>
      </w:tr>
    </w:tbl>
    <w:p>
      <w:pPr>
        <w:pStyle w:val="BodyText"/>
      </w:pPr>
      <w:r>
        <w:t xml:space="preserve">An activation expense is paid once per investigation.</w:t>
      </w:r>
    </w:p>
    <w:p>
      <w:pPr>
        <w:pStyle w:val="BodyText"/>
        <w:keepNext/>
      </w:pPr>
      <w:r>
        <w:rPr>
          <w:bCs/>
          <w:b/>
        </w:rPr>
        <w:t xml:space="preserve">Table 1. Synthetic source parameters.</w:t>
      </w:r>
    </w:p>
    <w:tbl>
      <w:tblPr>
        <w:tblStyle w:val="Table"/>
        <w:tblW w:type="pct" w:w="4886"/>
        <w:tblLayout w:type="fixed"/>
        <w:tblLook w:firstRow="1" w:lastRow="0" w:firstColumn="0" w:lastColumn="0" w:noHBand="0" w:noVBand="0" w:val="0020"/>
        <w:jc w:val="start"/>
        <w:tblBorders>
          <w:top w:val="single" w:sz="4" w:color="B8BDC5"/>
          <w:left w:val="single" w:sz="4" w:color="B8BDC5"/>
          <w:bottom w:val="single" w:sz="4" w:color="B8BDC5"/>
          <w:right w:val="single" w:sz="4" w:color="B8BDC5"/>
          <w:insideH w:val="single" w:sz="4" w:color="B8BDC5"/>
          <w:insideV w:val="single" w:sz="4" w:color="B8BDC5"/>
        </w:tblBorders>
      </w:tblPr>
      <w:tblGrid>
        <w:gridCol w:w="2401"/>
        <w:gridCol w:w="2401"/>
        <w:gridCol w:w="2401"/>
        <w:gridCol w:w="2401"/>
      </w:tblGrid>
      <w:tr>
        <w:trPr>
          <w:tblHeader w:val="true"/>
          <w:cantSplit/>
          <w:tblHeader/>
        </w:trPr>
        <w:tc>
          <w:tcPr>
            <w:tcW w:type="dxa" w:w="2401"/>
            <w:shd w:fill="EDEFF2"/>
          </w:tcPr>
          <w:p>
            <w:pPr>
              <w:pStyle w:val="Compact"/>
              <w:keepNext/>
              <w:spacing w:before="40" w:after="40" w:line="240" w:lineRule="auto"/>
              <w:jc w:val="left"/>
            </w:pPr>
            <w:r>
              <w:rPr>
                <w:bCs/>
                <w:rFonts w:ascii="Calibri" w:hAnsi="Calibri"/>
                <w:b/>
                <w:sz w:val="18"/>
              </w:rPr>
              <w:t xml:space="preserve">Source</w:t>
            </w:r>
          </w:p>
        </w:tc>
        <w:tc>
          <w:tcPr>
            <w:tcW w:type="dxa" w:w="2401"/>
            <w:shd w:fill="EDEFF2"/>
          </w:tcPr>
          <w:p>
            <w:pPr>
              <w:pStyle w:val="Compact"/>
              <w:keepNext/>
              <w:spacing w:before="40" w:after="40" w:line="240" w:lineRule="auto"/>
              <w:jc w:val="left"/>
            </w:pPr>
            <w:r>
              <w:rPr>
                <w:bCs/>
                <w:rFonts w:ascii="Calibri" w:hAnsi="Calibri"/>
                <w:b/>
                <w:sz w:val="18"/>
              </w:rPr>
              <w:t xml:space="preserve">Service cost</w:t>
            </w:r>
          </w:p>
        </w:tc>
        <w:tc>
          <w:tcPr>
            <w:tcW w:type="dxa" w:w="2401"/>
            <w:shd w:fill="EDEFF2"/>
          </w:tcPr>
          <w:p>
            <w:pPr>
              <w:pStyle w:val="Compact"/>
              <w:keepNext/>
              <w:spacing w:before="40" w:after="40" w:line="240" w:lineRule="auto"/>
              <w:jc w:val="left"/>
            </w:pPr>
            <w:r>
              <w:rPr>
                <w:bCs/>
                <w:rFonts w:ascii="Calibri" w:hAnsi="Calibri"/>
                <w:b/>
                <w:sz w:val="18"/>
              </w:rPr>
              <w:t xml:space="preserve">Singleton cost</w:t>
            </w:r>
          </w:p>
        </w:tc>
        <w:tc>
          <w:tcPr>
            <w:tcW w:type="dxa" w:w="2401"/>
            <w:shd w:fill="EDEFF2"/>
          </w:tcPr>
          <w:p>
            <w:pPr>
              <w:pStyle w:val="Compact"/>
              <w:keepNext/>
              <w:spacing w:before="40" w:after="40" w:line="240" w:lineRule="auto"/>
              <w:jc w:val="left"/>
            </w:pPr>
            <w:r>
              <w:rPr>
                <w:bCs/>
                <w:rFonts w:ascii="Calibri" w:hAnsi="Calibri"/>
                <w:b/>
                <w:sz w:val="18"/>
              </w:rPr>
              <w:t xml:space="preserve">Assumed accuracy</w:t>
            </w:r>
          </w:p>
        </w:tc>
      </w:tr>
      <w:tr>
        <w:trPr>
          <w:cantSplit/>
        </w:trPr>
        <w:tc>
          <w:tcPr>
            <w:tcW w:type="dxa" w:w="2401"/>
          </w:tcPr>
          <w:p>
            <w:pPr>
              <w:pStyle w:val="Compact"/>
              <w:keepNext/>
              <w:spacing w:before="40" w:after="40" w:line="240" w:lineRule="auto"/>
              <w:jc w:val="left"/>
            </w:pPr>
            <w:r>
              <w:rPr>
                <w:rFonts w:ascii="Calibri" w:hAnsi="Calibri"/>
                <w:sz w:val="18"/>
              </w:rPr>
              <w:t xml:space="preserve">Telemetry</w:t>
            </w:r>
          </w:p>
        </w:tc>
        <w:tc>
          <w:tcPr>
            <w:tcW w:type="dxa" w:w="2401"/>
          </w:tcPr>
          <w:p>
            <w:pPr>
              <w:pStyle w:val="Compact"/>
              <w:keepNext/>
              <w:spacing w:before="40" w:after="40" w:line="240" w:lineRule="auto"/>
              <w:jc w:val="left"/>
            </w:pPr>
            <w:r>
              <w:rPr>
                <w:rFonts w:ascii="Calibri" w:hAnsi="Calibri"/>
                <w:sz w:val="18"/>
              </w:rPr>
              <w:t xml:space="preserve">1.0</w:t>
            </w:r>
          </w:p>
        </w:tc>
        <w:tc>
          <w:tcPr>
            <w:tcW w:type="dxa" w:w="2401"/>
          </w:tcPr>
          <w:p>
            <w:pPr>
              <w:pStyle w:val="Compact"/>
              <w:keepNext/>
              <w:spacing w:before="40" w:after="40" w:line="240" w:lineRule="auto"/>
              <w:jc w:val="left"/>
            </w:pPr>
            <w:r>
              <w:rPr>
                <w:rFonts w:ascii="Calibri" w:hAnsi="Calibri"/>
                <w:sz w:val="18"/>
              </w:rPr>
              <w:t xml:space="preserve">3.0</w:t>
            </w:r>
          </w:p>
        </w:tc>
        <w:tc>
          <w:tcPr>
            <w:tcW w:type="dxa" w:w="2401"/>
          </w:tcPr>
          <w:p>
            <w:pPr>
              <w:pStyle w:val="Compact"/>
              <w:keepNext/>
              <w:spacing w:before="40" w:after="40" w:line="240" w:lineRule="auto"/>
              <w:jc w:val="left"/>
            </w:pPr>
            <w:r>
              <w:rPr>
                <w:rFonts w:ascii="Calibri" w:hAnsi="Calibri"/>
                <w:sz w:val="18"/>
              </w:rPr>
              <w:t xml:space="preserve">0.75</w:t>
            </w:r>
          </w:p>
        </w:tc>
      </w:tr>
      <w:tr>
        <w:trPr>
          <w:cantSplit/>
        </w:trPr>
        <w:tc>
          <w:tcPr>
            <w:tcW w:type="dxa" w:w="2401"/>
          </w:tcPr>
          <w:p>
            <w:pPr>
              <w:pStyle w:val="Compact"/>
              <w:keepNext/>
              <w:spacing w:before="40" w:after="40" w:line="240" w:lineRule="auto"/>
              <w:jc w:val="left"/>
            </w:pPr>
            <w:r>
              <w:rPr>
                <w:rFonts w:ascii="Calibri" w:hAnsi="Calibri"/>
                <w:sz w:val="18"/>
              </w:rPr>
              <w:t xml:space="preserve">Quality</w:t>
            </w:r>
          </w:p>
        </w:tc>
        <w:tc>
          <w:tcPr>
            <w:tcW w:type="dxa" w:w="2401"/>
          </w:tcPr>
          <w:p>
            <w:pPr>
              <w:pStyle w:val="Compact"/>
              <w:keepNext/>
              <w:spacing w:before="40" w:after="40" w:line="240" w:lineRule="auto"/>
              <w:jc w:val="left"/>
            </w:pPr>
            <w:r>
              <w:rPr>
                <w:rFonts w:ascii="Calibri" w:hAnsi="Calibri"/>
                <w:sz w:val="18"/>
              </w:rPr>
              <w:t xml:space="preserve">1.1</w:t>
            </w:r>
          </w:p>
        </w:tc>
        <w:tc>
          <w:tcPr>
            <w:tcW w:type="dxa" w:w="2401"/>
          </w:tcPr>
          <w:p>
            <w:pPr>
              <w:pStyle w:val="Compact"/>
              <w:keepNext/>
              <w:spacing w:before="40" w:after="40" w:line="240" w:lineRule="auto"/>
              <w:jc w:val="left"/>
            </w:pPr>
            <w:r>
              <w:rPr>
                <w:rFonts w:ascii="Calibri" w:hAnsi="Calibri"/>
                <w:sz w:val="18"/>
              </w:rPr>
              <w:t xml:space="preserve">4.7</w:t>
            </w:r>
          </w:p>
        </w:tc>
        <w:tc>
          <w:tcPr>
            <w:tcW w:type="dxa" w:w="2401"/>
          </w:tcPr>
          <w:p>
            <w:pPr>
              <w:pStyle w:val="Compact"/>
              <w:keepNext/>
              <w:spacing w:before="40" w:after="40" w:line="240" w:lineRule="auto"/>
              <w:jc w:val="left"/>
            </w:pPr>
            <w:r>
              <w:rPr>
                <w:rFonts w:ascii="Calibri" w:hAnsi="Calibri"/>
                <w:sz w:val="18"/>
              </w:rPr>
              <w:t xml:space="preserve">0.80</w:t>
            </w:r>
          </w:p>
        </w:tc>
      </w:tr>
      <w:tr>
        <w:trPr>
          <w:cantSplit/>
        </w:trPr>
        <w:tc>
          <w:tcPr>
            <w:tcW w:type="dxa" w:w="2401"/>
          </w:tcPr>
          <w:p>
            <w:pPr>
              <w:pStyle w:val="Compact"/>
              <w:keepNext/>
              <w:spacing w:before="40" w:after="40" w:line="240" w:lineRule="auto"/>
              <w:jc w:val="left"/>
            </w:pPr>
            <w:r>
              <w:rPr>
                <w:rFonts w:ascii="Calibri" w:hAnsi="Calibri"/>
                <w:sz w:val="18"/>
              </w:rPr>
              <w:t xml:space="preserve">Maintenance</w:t>
            </w:r>
          </w:p>
        </w:tc>
        <w:tc>
          <w:tcPr>
            <w:tcW w:type="dxa" w:w="2401"/>
          </w:tcPr>
          <w:p>
            <w:pPr>
              <w:pStyle w:val="Compact"/>
              <w:keepNext/>
              <w:spacing w:before="40" w:after="40" w:line="240" w:lineRule="auto"/>
              <w:jc w:val="left"/>
            </w:pPr>
            <w:r>
              <w:rPr>
                <w:rFonts w:ascii="Calibri" w:hAnsi="Calibri"/>
                <w:sz w:val="18"/>
              </w:rPr>
              <w:t xml:space="preserve">0.9</w:t>
            </w:r>
          </w:p>
        </w:tc>
        <w:tc>
          <w:tcPr>
            <w:tcW w:type="dxa" w:w="2401"/>
          </w:tcPr>
          <w:p>
            <w:pPr>
              <w:pStyle w:val="Compact"/>
              <w:keepNext/>
              <w:spacing w:before="40" w:after="40" w:line="240" w:lineRule="auto"/>
              <w:jc w:val="left"/>
            </w:pPr>
            <w:r>
              <w:rPr>
                <w:rFonts w:ascii="Calibri" w:hAnsi="Calibri"/>
                <w:sz w:val="18"/>
              </w:rPr>
              <w:t xml:space="preserve">4.3</w:t>
            </w:r>
          </w:p>
        </w:tc>
        <w:tc>
          <w:tcPr>
            <w:tcW w:type="dxa" w:w="2401"/>
          </w:tcPr>
          <w:p>
            <w:pPr>
              <w:pStyle w:val="Compact"/>
              <w:keepNext/>
              <w:spacing w:before="40" w:after="40" w:line="240" w:lineRule="auto"/>
              <w:jc w:val="left"/>
            </w:pPr>
            <w:r>
              <w:rPr>
                <w:rFonts w:ascii="Calibri" w:hAnsi="Calibri"/>
                <w:sz w:val="18"/>
              </w:rPr>
              <w:t xml:space="preserve">0.78</w:t>
            </w:r>
          </w:p>
        </w:tc>
      </w:tr>
      <w:tr>
        <w:trPr>
          <w:cantSplit/>
        </w:trPr>
        <w:tc>
          <w:tcPr>
            <w:tcW w:type="dxa" w:w="2401"/>
          </w:tcPr>
          <w:p>
            <w:pPr>
              <w:pStyle w:val="Compact"/>
              <w:keepNext/>
              <w:spacing w:before="40" w:after="40" w:line="240" w:lineRule="auto"/>
              <w:jc w:val="left"/>
            </w:pPr>
            <w:r>
              <w:rPr>
                <w:rFonts w:ascii="Calibri" w:hAnsi="Calibri"/>
                <w:sz w:val="18"/>
              </w:rPr>
              <w:t xml:space="preserve">Materials</w:t>
            </w:r>
          </w:p>
        </w:tc>
        <w:tc>
          <w:tcPr>
            <w:tcW w:type="dxa" w:w="2401"/>
          </w:tcPr>
          <w:p>
            <w:pPr>
              <w:pStyle w:val="Compact"/>
              <w:keepNext/>
              <w:spacing w:before="40" w:after="40" w:line="240" w:lineRule="auto"/>
              <w:jc w:val="left"/>
            </w:pPr>
            <w:r>
              <w:rPr>
                <w:rFonts w:ascii="Calibri" w:hAnsi="Calibri"/>
                <w:sz w:val="18"/>
              </w:rPr>
              <w:t xml:space="preserve">0.8</w:t>
            </w:r>
          </w:p>
        </w:tc>
        <w:tc>
          <w:tcPr>
            <w:tcW w:type="dxa" w:w="2401"/>
          </w:tcPr>
          <w:p>
            <w:pPr>
              <w:pStyle w:val="Compact"/>
              <w:keepNext/>
              <w:spacing w:before="40" w:after="40" w:line="240" w:lineRule="auto"/>
              <w:jc w:val="left"/>
            </w:pPr>
            <w:r>
              <w:rPr>
                <w:rFonts w:ascii="Calibri" w:hAnsi="Calibri"/>
                <w:sz w:val="18"/>
              </w:rPr>
              <w:t xml:space="preserve">3.4</w:t>
            </w:r>
          </w:p>
        </w:tc>
        <w:tc>
          <w:tcPr>
            <w:tcW w:type="dxa" w:w="2401"/>
          </w:tcPr>
          <w:p>
            <w:pPr>
              <w:pStyle w:val="Compact"/>
              <w:keepNext/>
              <w:spacing w:before="40" w:after="40" w:line="240" w:lineRule="auto"/>
              <w:jc w:val="left"/>
            </w:pPr>
            <w:r>
              <w:rPr>
                <w:rFonts w:ascii="Calibri" w:hAnsi="Calibri"/>
                <w:sz w:val="18"/>
              </w:rPr>
              <w:t xml:space="preserve">0.65</w:t>
            </w:r>
          </w:p>
        </w:tc>
      </w:tr>
      <w:tr>
        <w:trPr>
          <w:cantSplit/>
        </w:trPr>
        <w:tc>
          <w:tcPr>
            <w:tcW w:type="dxa" w:w="2401"/>
          </w:tcPr>
          <w:p>
            <w:pPr>
              <w:pStyle w:val="Compact"/>
              <w:keepNext/>
              <w:spacing w:before="40" w:after="40" w:line="240" w:lineRule="auto"/>
              <w:jc w:val="left"/>
            </w:pPr>
            <w:r>
              <w:rPr>
                <w:rFonts w:ascii="Calibri" w:hAnsi="Calibri"/>
                <w:sz w:val="18"/>
              </w:rPr>
              <w:t xml:space="preserve">Scheduling</w:t>
            </w:r>
          </w:p>
        </w:tc>
        <w:tc>
          <w:tcPr>
            <w:tcW w:type="dxa" w:w="2401"/>
          </w:tcPr>
          <w:p>
            <w:pPr>
              <w:pStyle w:val="Compact"/>
              <w:keepNext/>
              <w:spacing w:before="40" w:after="40" w:line="240" w:lineRule="auto"/>
              <w:jc w:val="left"/>
            </w:pPr>
            <w:r>
              <w:rPr>
                <w:rFonts w:ascii="Calibri" w:hAnsi="Calibri"/>
                <w:sz w:val="18"/>
              </w:rPr>
              <w:t xml:space="preserve">0.9</w:t>
            </w:r>
          </w:p>
        </w:tc>
        <w:tc>
          <w:tcPr>
            <w:tcW w:type="dxa" w:w="2401"/>
          </w:tcPr>
          <w:p>
            <w:pPr>
              <w:pStyle w:val="Compact"/>
              <w:keepNext/>
              <w:spacing w:before="40" w:after="40" w:line="240" w:lineRule="auto"/>
              <w:jc w:val="left"/>
            </w:pPr>
            <w:r>
              <w:rPr>
                <w:rFonts w:ascii="Calibri" w:hAnsi="Calibri"/>
                <w:sz w:val="18"/>
              </w:rPr>
              <w:t xml:space="preserve">2.9</w:t>
            </w:r>
          </w:p>
        </w:tc>
        <w:tc>
          <w:tcPr>
            <w:tcW w:type="dxa" w:w="2401"/>
          </w:tcPr>
          <w:p>
            <w:pPr>
              <w:pStyle w:val="Compact"/>
              <w:keepNext/>
              <w:spacing w:before="40" w:after="40" w:line="240" w:lineRule="auto"/>
              <w:jc w:val="left"/>
            </w:pPr>
            <w:r>
              <w:rPr>
                <w:rFonts w:ascii="Calibri" w:hAnsi="Calibri"/>
                <w:sz w:val="18"/>
              </w:rPr>
              <w:t xml:space="preserve">0.70</w:t>
            </w:r>
          </w:p>
        </w:tc>
      </w:tr>
      <w:tr>
        <w:trPr>
          <w:cantSplit/>
        </w:trPr>
        <w:tc>
          <w:tcPr>
            <w:tcW w:type="dxa" w:w="2401"/>
          </w:tcPr>
          <w:p>
            <w:pPr>
              <w:pStyle w:val="Compact"/>
              <w:keepNext w:val="0"/>
              <w:spacing w:before="40" w:after="40" w:line="240" w:lineRule="auto"/>
              <w:jc w:val="left"/>
            </w:pPr>
            <w:r>
              <w:rPr>
                <w:rFonts w:ascii="Calibri" w:hAnsi="Calibri"/>
                <w:sz w:val="18"/>
              </w:rPr>
              <w:t xml:space="preserve">Assembly</w:t>
            </w:r>
          </w:p>
        </w:tc>
        <w:tc>
          <w:tcPr>
            <w:tcW w:type="dxa" w:w="2401"/>
          </w:tcPr>
          <w:p>
            <w:pPr>
              <w:pStyle w:val="Compact"/>
              <w:keepNext w:val="0"/>
              <w:spacing w:before="40" w:after="40" w:line="240" w:lineRule="auto"/>
              <w:jc w:val="left"/>
            </w:pPr>
            <w:r>
              <w:rPr>
                <w:rFonts w:ascii="Calibri" w:hAnsi="Calibri"/>
                <w:sz w:val="18"/>
              </w:rPr>
              <w:t xml:space="preserve">1.3</w:t>
            </w:r>
          </w:p>
        </w:tc>
        <w:tc>
          <w:tcPr>
            <w:tcW w:type="dxa" w:w="2401"/>
          </w:tcPr>
          <w:p>
            <w:pPr>
              <w:pStyle w:val="Compact"/>
              <w:keepNext w:val="0"/>
              <w:spacing w:before="40" w:after="40" w:line="240" w:lineRule="auto"/>
              <w:jc w:val="left"/>
            </w:pPr>
            <w:r>
              <w:rPr>
                <w:rFonts w:ascii="Calibri" w:hAnsi="Calibri"/>
                <w:sz w:val="18"/>
              </w:rPr>
              <w:t xml:space="preserve">5.1</w:t>
            </w:r>
          </w:p>
        </w:tc>
        <w:tc>
          <w:tcPr>
            <w:tcW w:type="dxa" w:w="2401"/>
          </w:tcPr>
          <w:p>
            <w:pPr>
              <w:pStyle w:val="Compact"/>
              <w:keepNext w:val="0"/>
              <w:spacing w:before="40" w:after="40" w:line="240" w:lineRule="auto"/>
              <w:jc w:val="left"/>
            </w:pPr>
            <w:r>
              <w:rPr>
                <w:rFonts w:ascii="Calibri" w:hAnsi="Calibri"/>
                <w:sz w:val="18"/>
              </w:rPr>
              <w:t xml:space="preserve">0.88</w:t>
            </w:r>
          </w:p>
        </w:tc>
      </w:tr>
    </w:tbl>
    <w:p>
      <w:pPr>
        <w:pStyle w:val="BodyText"/>
      </w:pPr>
      <w:r>
        <w:t xml:space="preserve">The three pairs within</w:t>
      </w:r>
      <w:r>
        <w:t xml:space="preserve"> </w:t>
      </w:r>
      <m:oMath>
        <m:r>
          <m:rPr>
            <m:sty m:val="p"/>
          </m:rPr>
          <m:t>{</m:t>
        </m:r>
        <m:r>
          <m:rPr>
            <m:nor/>
            <m:sty m:val="p"/>
          </m:rPr>
          <m:t>telemetry</m:t>
        </m:r>
        <m:r>
          <m:rPr>
            <m:sty m:val="p"/>
          </m:rPr>
          <m:t>,</m:t>
        </m:r>
        <m:r>
          <m:rPr>
            <m:nor/>
            <m:sty m:val="p"/>
          </m:rPr>
          <m:t>quality</m:t>
        </m:r>
        <m:r>
          <m:rPr>
            <m:sty m:val="p"/>
          </m:rPr>
          <m:t>,</m:t>
        </m:r>
        <m:r>
          <m:rPr>
            <m:nor/>
            <m:sty m:val="p"/>
          </m:rPr>
          <m:t>maintenance</m:t>
        </m:r>
        <m:r>
          <m:rPr>
            <m:sty m:val="p"/>
          </m:rPr>
          <m:t>}</m:t>
        </m:r>
      </m:oMath>
      <w:r>
        <w:t xml:space="preserve">, and the scheduling–assembly pair, have overlap 2.0. Every other overlap is zero. These values and Table 1 specify every pair cost through (2.2).</w:t>
      </w:r>
    </w:p>
    <w:p>
      <w:pPr>
        <w:pStyle w:val="BodyText"/>
      </w:pPr>
      <w:r>
        <w:t xml:space="preserve">For example, quality and maintenance together cost</w:t>
      </w:r>
    </w:p>
    <w:p>
      <w:pPr>
        <w:pStyle w:val="BodyText"/>
      </w:pPr>
      <m:oMathPara>
        <m:oMathParaPr>
          <m:jc m:val="center"/>
        </m:oMathParaPr>
        <m:oMath>
          <m:r>
            <m:t>4.7</m:t>
          </m:r>
          <m:r>
            <m:rPr>
              <m:sty m:val="p"/>
            </m:rPr>
            <m:t>+</m:t>
          </m:r>
          <m:r>
            <m:t>4.3</m:t>
          </m:r>
          <m:r>
            <m:rPr>
              <m:sty m:val="p"/>
            </m:rPr>
            <m:t>−</m:t>
          </m:r>
          <m:r>
            <m:t>2.0</m:t>
          </m:r>
          <m:r>
            <m:rPr>
              <m:sty m:val="p"/>
            </m:rPr>
            <m:t>=</m:t>
          </m:r>
          <m:r>
            <m:t>7.0</m:t>
          </m:r>
          <m:r>
            <m:rPr>
              <m:sty m:val="p"/>
            </m:rPr>
            <m:t>.</m:t>
          </m:r>
        </m:oMath>
      </m:oMathPara>
    </w:p>
    <w:p>
      <w:pPr>
        <w:pStyle w:val="FirstParagraph"/>
      </w:pPr>
      <w:r>
        <w:t xml:space="preserve">Adding telemetry costs</w:t>
      </w:r>
      <w:r>
        <w:t xml:space="preserve"> </w:t>
      </w:r>
      <m:oMath>
        <m:r>
          <m:t>3.0</m:t>
        </m:r>
        <m:r>
          <m:rPr>
            <m:sty m:val="p"/>
          </m:rPr>
          <m:t>−</m:t>
        </m:r>
        <m:r>
          <m:t>2.0</m:t>
        </m:r>
        <m:r>
          <m:rPr>
            <m:sty m:val="p"/>
          </m:rPr>
          <m:t>=</m:t>
        </m:r>
        <m:r>
          <m:t>1.0</m:t>
        </m:r>
      </m:oMath>
      <w:r>
        <w:t xml:space="preserve">, giving a three-source total of 8.0. Acquiring all six sources costs 17.4; the sum of standalone costs is 23.4. This difference follows from the assumed accounting rule and is not an empirical manufacturing saving.</w:t>
      </w:r>
    </w:p>
    <w:p>
      <w:pPr>
        <w:pStyle w:val="BodyText"/>
      </w:pPr>
      <w:r>
        <w:t xml:space="preserve">Let</w:t>
      </w:r>
      <w:r>
        <w:t xml:space="preserve"> </w:t>
      </w:r>
      <m:oMath>
        <m:r>
          <m:t>X</m:t>
        </m:r>
        <m:r>
          <m:rPr>
            <m:sty m:val="p"/>
          </m:rPr>
          <m:t>∈</m:t>
        </m:r>
        <m:r>
          <m:rPr>
            <m:sty m:val="p"/>
          </m:rPr>
          <m:t>{</m:t>
        </m:r>
        <m:r>
          <m:t>0</m:t>
        </m:r>
        <m:r>
          <m:rPr>
            <m:sty m:val="p"/>
          </m:rPr>
          <m:t>,</m:t>
        </m:r>
        <m:r>
          <m:t>1</m:t>
        </m:r>
        <m:r>
          <m:rPr>
            <m:sty m:val="p"/>
          </m:rPr>
          <m:t>}</m:t>
        </m:r>
      </m:oMath>
      <w:r>
        <w:t xml:space="preserve"> </w:t>
      </w:r>
      <w:r>
        <w:t xml:space="preserve">have prior probability</w:t>
      </w:r>
      <w:r>
        <w:t xml:space="preserve"> </w:t>
      </w:r>
      <m:oMath>
        <m:r>
          <m:t>1</m:t>
        </m:r>
        <m:r>
          <m:rPr>
            <m:sty m:val="p"/>
          </m:rPr>
          <m:t>/</m:t>
        </m:r>
        <m:r>
          <m:t>2</m:t>
        </m:r>
      </m:oMath>
      <w:r>
        <w:t xml:space="preserve">. Each source is a binary symmetric channel with the accuracy in Table 1, independently conditional on</w:t>
      </w:r>
      <w:r>
        <w:t xml:space="preserve"> </w:t>
      </w:r>
      <m:oMath>
        <m:r>
          <m:t>X</m:t>
        </m:r>
      </m:oMath>
      <w:r>
        <w:t xml:space="preserve">. The final loss is diagnostic misclassification, and at most four sources may be queried.</w:t>
      </w:r>
    </w:p>
    <w:p>
      <w:pPr>
        <w:pStyle w:val="BodyText"/>
      </w:pPr>
      <w:r>
        <w:t xml:space="preserve">We compare the Bellman-optimal policy with a myopic policy minimizing, at each history,</w:t>
      </w:r>
    </w:p>
    <w:p>
      <w:pPr>
        <w:pStyle w:val="BodyText"/>
        <w:jc w:val="center"/>
      </w:pPr>
      <m:oMath>
        <m:m>
          <m:mPr>
            <m:baseJc m:val="center"/>
            <m:plcHide m:val="on"/>
            <m:mcs>
              <m:mc>
                <m:mcPr>
                  <m:mcJc m:val="right"/>
                  <m:count m:val="1"/>
                </m:mcPr>
              </m:mc>
            </m:mcs>
          </m:mPr>
          <m:mr>
            <m:e>
              <m:r>
                <m:rPr>
                  <m:sty m:val="p"/>
                </m:rPr>
                <m:t>min</m:t>
              </m:r>
              <m:r>
                <m:rPr>
                  <m:sty m:val="p"/>
                </m:rPr>
                <m:t>{</m:t>
              </m:r>
              <m:r>
                <m:t>r</m:t>
              </m:r>
              <m:d>
                <m:dPr>
                  <m:begChr m:val="("/>
                  <m:endChr m:val=")"/>
                  <m:sepChr m:val=""/>
                  <m:grow/>
                </m:dPr>
                <m:e>
                  <m:r>
                    <m:t>p</m:t>
                  </m:r>
                </m:e>
              </m:d>
              <m:r>
                <m:rPr>
                  <m:sty m:val="p"/>
                </m:rPr>
                <m:t>,</m:t>
              </m:r>
              <m:r>
                <m:t> </m:t>
              </m:r>
              <m:limLow>
                <m:e>
                  <m:r>
                    <m:rPr>
                      <m:sty m:val="p"/>
                    </m:rPr>
                    <m:t>min</m:t>
                  </m:r>
                </m:e>
                <m:lim>
                  <m:r>
                    <m:t>i</m:t>
                  </m:r>
                  <m:r>
                    <m:rPr>
                      <m:sty m:val="p"/>
                    </m:rPr>
                    <m:t>∉</m:t>
                  </m:r>
                  <m:r>
                    <m:t>A</m:t>
                  </m:r>
                </m:lim>
              </m:limLow>
              <m:r>
                <m:rPr>
                  <m:sty m:val="p"/>
                </m:rPr>
                <m:t>[</m:t>
              </m:r>
              <m:r>
                <m:t>λ</m:t>
              </m:r>
              <m:d>
                <m:dPr>
                  <m:begChr m:val="("/>
                  <m:endChr m:val=")"/>
                  <m:sepChr m:val=""/>
                  <m:grow/>
                </m:dPr>
                <m:e>
                  <m:r>
                    <m:t>F</m:t>
                  </m:r>
                  <m:d>
                    <m:dPr>
                      <m:begChr m:val="("/>
                      <m:endChr m:val=")"/>
                      <m:sepChr m:val=""/>
                      <m:grow/>
                    </m:dPr>
                    <m:e>
                      <m:r>
                        <m:t>A</m:t>
                      </m:r>
                      <m:r>
                        <m:rPr>
                          <m:sty m:val="p"/>
                        </m:rPr>
                        <m:t>∪</m:t>
                      </m:r>
                      <m:r>
                        <m:rPr>
                          <m:sty m:val="p"/>
                        </m:rPr>
                        <m:t>{</m:t>
                      </m:r>
                      <m:r>
                        <m:t>i</m:t>
                      </m:r>
                      <m:r>
                        <m:rPr>
                          <m:sty m:val="p"/>
                        </m:rPr>
                        <m:t>}</m:t>
                      </m:r>
                    </m:e>
                  </m:d>
                  <m:r>
                    <m:rPr>
                      <m:sty m:val="p"/>
                    </m:rPr>
                    <m:t>−</m:t>
                  </m:r>
                  <m:r>
                    <m:t>F</m:t>
                  </m:r>
                  <m:d>
                    <m:dPr>
                      <m:begChr m:val="("/>
                      <m:endChr m:val=")"/>
                      <m:sepChr m:val=""/>
                      <m:grow/>
                    </m:dPr>
                    <m:e>
                      <m:r>
                        <m:t>A</m:t>
                      </m:r>
                    </m:e>
                  </m:d>
                </m:e>
              </m:d>
            </m:e>
          </m:mr>
          <m:mr>
            <m:e>
              <m:r>
                <m:rPr>
                  <m:sty m:val="p"/>
                </m:rPr>
                <m:t>+</m:t>
              </m:r>
              <m:nary>
                <m:naryPr>
                  <m:chr m:val="∑"/>
                  <m:limLoc m:val="undOvr"/>
                  <m:subHide m:val="off"/>
                  <m:supHide m:val="on"/>
                </m:naryPr>
                <m:sub>
                  <m:r>
                    <m:t>y</m:t>
                  </m:r>
                </m:sub>
                <m:sup>
                  <m:r>
                    <m:t>​</m:t>
                  </m:r>
                </m:sup>
                <m:e>
                  <m:sSub>
                    <m:e>
                      <m:r>
                        <m:t>q</m:t>
                      </m:r>
                    </m:e>
                    <m:sub>
                      <m:r>
                        <m:t>i</m:t>
                      </m:r>
                    </m:sub>
                  </m:sSub>
                </m:e>
              </m:nary>
              <m:d>
                <m:dPr>
                  <m:begChr m:val="("/>
                  <m:endChr m:val=")"/>
                  <m:sepChr m:val=""/>
                  <m:grow/>
                </m:dPr>
                <m:e>
                  <m:r>
                    <m:t>y</m:t>
                  </m:r>
                  <m:r>
                    <m:rPr>
                      <m:sty m:val="p"/>
                    </m:rPr>
                    <m:t>∣</m:t>
                  </m:r>
                  <m:r>
                    <m:t>p</m:t>
                  </m:r>
                </m:e>
              </m:d>
              <m:r>
                <m:t>r</m:t>
              </m:r>
              <m:d>
                <m:dPr>
                  <m:begChr m:val="("/>
                  <m:endChr m:val=")"/>
                  <m:sepChr m:val=""/>
                  <m:grow/>
                </m:dPr>
                <m:e>
                  <m:sSub>
                    <m:e>
                      <m:r>
                        <m:t>T</m:t>
                      </m:r>
                    </m:e>
                    <m:sub>
                      <m:r>
                        <m:t>i</m:t>
                      </m:r>
                    </m:sub>
                  </m:sSub>
                  <m:d>
                    <m:dPr>
                      <m:begChr m:val="("/>
                      <m:endChr m:val=")"/>
                      <m:sepChr m:val=""/>
                      <m:grow/>
                    </m:dPr>
                    <m:e>
                      <m:r>
                        <m:t>p</m:t>
                      </m:r>
                      <m:r>
                        <m:rPr>
                          <m:sty m:val="p"/>
                        </m:rPr>
                        <m:t>,</m:t>
                      </m:r>
                      <m:r>
                        <m:t>y</m:t>
                      </m:r>
                    </m:e>
                  </m:d>
                </m:e>
              </m:d>
              <m:r>
                <m:rPr>
                  <m:sty m:val="p"/>
                </m:rPr>
                <m:t>]</m:t>
              </m:r>
              <m:r>
                <m:rPr>
                  <m:sty m:val="p"/>
                </m:rPr>
                <m:t>}</m:t>
              </m:r>
              <m:r>
                <m:rPr>
                  <m:sty m:val="p"/>
                </m:rPr>
                <m:t>.</m:t>
              </m:r>
            </m:e>
          </m:mr>
        </m:m>
      </m:oMath>
      <w:r>
        <w:t xml:space="preserve">     (6.1)</w:t>
      </w:r>
    </w:p>
    <w:p>
      <w:pPr>
        <w:pStyle w:val="BodyText"/>
      </w:pPr>
      <w:r>
        <w:t xml:space="preserve">The myopic policy repeats this rule after each observation. Ties favor stopping, then the earliest source in Table 1.</w:t>
      </w:r>
    </w:p>
    <w:bookmarkEnd w:id="38"/>
    <w:bookmarkStart w:id="39" w:name="exact-results"/>
    <w:p>
      <w:pPr>
        <w:pStyle w:val="Heading2"/>
      </w:pPr>
      <w:r>
        <w:t xml:space="preserve">6.2. Exact results</w:t>
      </w:r>
    </w:p>
    <w:p>
      <w:pPr>
        <w:pStyle w:val="FirstParagraph"/>
        <w:keepNext/>
      </w:pPr>
      <w:r>
        <w:rPr>
          <w:bCs/>
          <w:b/>
        </w:rPr>
        <w:t xml:space="preserve">Table 2. Exact policy expectations for the synthetic instance.</w:t>
      </w:r>
    </w:p>
    <w:tbl>
      <w:tblPr>
        <w:tblStyle w:val="Table"/>
        <w:tblW w:type="pct" w:w="4907"/>
        <w:tblLayout w:type="fixed"/>
        <w:tblLook w:firstRow="1" w:lastRow="0" w:firstColumn="0" w:lastColumn="0" w:noHBand="0" w:noVBand="0" w:val="0020"/>
        <w:jc w:val="start"/>
        <w:tblBorders>
          <w:top w:val="single" w:sz="4" w:color="B8BDC5"/>
          <w:left w:val="single" w:sz="4" w:color="B8BDC5"/>
          <w:bottom w:val="single" w:sz="4" w:color="B8BDC5"/>
          <w:right w:val="single" w:sz="4" w:color="B8BDC5"/>
          <w:insideH w:val="single" w:sz="4" w:color="B8BDC5"/>
          <w:insideV w:val="single" w:sz="4" w:color="B8BDC5"/>
        </w:tblBorders>
      </w:tblPr>
      <w:tblGrid>
        <w:gridCol w:w="1601"/>
        <w:gridCol w:w="1601"/>
        <w:gridCol w:w="1601"/>
        <w:gridCol w:w="1601"/>
        <w:gridCol w:w="1601"/>
        <w:gridCol w:w="1601"/>
      </w:tblGrid>
      <w:tr>
        <w:trPr>
          <w:tblHeader w:val="true"/>
          <w:cantSplit/>
          <w:tblHeader/>
        </w:trPr>
        <w:tc>
          <w:tcPr>
            <w:tcW w:type="dxa" w:w="1601"/>
            <w:shd w:fill="EDEFF2"/>
          </w:tcPr>
          <w:p>
            <w:pPr>
              <w:pStyle w:val="Compact"/>
              <w:keepNext/>
              <w:spacing w:before="40" w:after="40" w:line="240" w:lineRule="auto"/>
              <w:jc w:val="left"/>
            </w:pPr>
            <m:oMath>
              <m:r>
                <m:t>λ</m:t>
              </m:r>
            </m:oMath>
          </w:p>
        </w:tc>
        <w:tc>
          <w:tcPr>
            <w:tcW w:type="dxa" w:w="1601"/>
            <w:shd w:fill="EDEFF2"/>
          </w:tcPr>
          <w:p>
            <w:pPr>
              <w:pStyle w:val="Compact"/>
              <w:keepNext/>
              <w:spacing w:before="40" w:after="40" w:line="240" w:lineRule="auto"/>
              <w:jc w:val="left"/>
            </w:pPr>
            <w:r>
              <w:rPr>
                <w:bCs/>
                <w:rFonts w:ascii="Calibri" w:hAnsi="Calibri"/>
                <w:b/>
                <w:sz w:val="18"/>
              </w:rPr>
              <w:t xml:space="preserve">Policy</w:t>
            </w:r>
          </w:p>
        </w:tc>
        <w:tc>
          <w:tcPr>
            <w:tcW w:type="dxa" w:w="1601"/>
            <w:shd w:fill="EDEFF2"/>
          </w:tcPr>
          <w:p>
            <w:pPr>
              <w:pStyle w:val="Compact"/>
              <w:keepNext/>
              <w:spacing w:before="40" w:after="40" w:line="240" w:lineRule="auto"/>
              <w:jc w:val="left"/>
            </w:pPr>
            <w:r>
              <w:rPr>
                <w:bCs/>
                <w:rFonts w:ascii="Calibri" w:hAnsi="Calibri"/>
                <w:b/>
                <w:sz w:val="18"/>
              </w:rPr>
              <w:t xml:space="preserve">Error probability</w:t>
            </w:r>
          </w:p>
        </w:tc>
        <w:tc>
          <w:tcPr>
            <w:tcW w:type="dxa" w:w="1601"/>
            <w:shd w:fill="EDEFF2"/>
          </w:tcPr>
          <w:p>
            <w:pPr>
              <w:pStyle w:val="Compact"/>
              <w:keepNext/>
              <w:spacing w:before="40" w:after="40" w:line="240" w:lineRule="auto"/>
              <w:jc w:val="left"/>
            </w:pPr>
            <w:r>
              <w:rPr>
                <w:bCs/>
                <w:rFonts w:ascii="Calibri" w:hAnsi="Calibri"/>
                <w:b/>
                <w:sz w:val="18"/>
              </w:rPr>
              <w:t xml:space="preserve">Expected cost</w:t>
            </w:r>
          </w:p>
        </w:tc>
        <w:tc>
          <w:tcPr>
            <w:tcW w:type="dxa" w:w="1601"/>
            <w:shd w:fill="EDEFF2"/>
          </w:tcPr>
          <w:p>
            <w:pPr>
              <w:pStyle w:val="Compact"/>
              <w:keepNext/>
              <w:spacing w:before="40" w:after="40" w:line="240" w:lineRule="auto"/>
              <w:jc w:val="left"/>
            </w:pPr>
            <w:r>
              <w:rPr>
                <w:bCs/>
                <w:rFonts w:ascii="Calibri" w:hAnsi="Calibri"/>
                <w:b/>
                <w:sz w:val="18"/>
              </w:rPr>
              <w:t xml:space="preserve">Expected calls</w:t>
            </w:r>
          </w:p>
        </w:tc>
        <w:tc>
          <w:tcPr>
            <w:tcW w:type="dxa" w:w="1601"/>
            <w:shd w:fill="EDEFF2"/>
          </w:tcPr>
          <w:p>
            <w:pPr>
              <w:pStyle w:val="Compact"/>
              <w:keepNext/>
              <w:spacing w:before="40" w:after="40" w:line="240" w:lineRule="auto"/>
              <w:jc w:val="left"/>
            </w:pPr>
            <w:r>
              <w:rPr>
                <w:bCs/>
                <w:rFonts w:ascii="Calibri" w:hAnsi="Calibri"/>
                <w:b/>
                <w:sz w:val="18"/>
              </w:rPr>
              <w:t xml:space="preserve">Objective</w:t>
            </w:r>
          </w:p>
        </w:tc>
      </w:tr>
      <w:tr>
        <w:trPr>
          <w:cantSplit/>
        </w:trPr>
        <w:tc>
          <w:tcPr>
            <w:tcW w:type="dxa" w:w="1601"/>
          </w:tcPr>
          <w:p>
            <w:pPr>
              <w:pStyle w:val="Compact"/>
              <w:keepNext/>
              <w:spacing w:before="40" w:after="40" w:line="240" w:lineRule="auto"/>
              <w:jc w:val="left"/>
            </w:pPr>
            <w:r>
              <w:rPr>
                <w:rFonts w:ascii="Calibri" w:hAnsi="Calibri"/>
                <w:sz w:val="18"/>
              </w:rPr>
              <w:t xml:space="preserve">0.005</w:t>
            </w:r>
          </w:p>
        </w:tc>
        <w:tc>
          <w:tcPr>
            <w:tcW w:type="dxa" w:w="1601"/>
          </w:tcPr>
          <w:p>
            <w:pPr>
              <w:pStyle w:val="Compact"/>
              <w:keepNext/>
              <w:spacing w:before="40" w:after="40" w:line="240" w:lineRule="auto"/>
              <w:jc w:val="left"/>
            </w:pPr>
            <w:r>
              <w:rPr>
                <w:rFonts w:ascii="Calibri" w:hAnsi="Calibri"/>
                <w:sz w:val="18"/>
              </w:rPr>
              <w:t xml:space="preserve">Optimal</w:t>
            </w:r>
          </w:p>
        </w:tc>
        <w:tc>
          <w:tcPr>
            <w:tcW w:type="dxa" w:w="1601"/>
          </w:tcPr>
          <w:p>
            <w:pPr>
              <w:pStyle w:val="Compact"/>
              <w:keepNext/>
              <w:spacing w:before="40" w:after="40" w:line="240" w:lineRule="auto"/>
              <w:jc w:val="left"/>
            </w:pPr>
            <w:r>
              <w:rPr>
                <w:rFonts w:ascii="Calibri" w:hAnsi="Calibri"/>
                <w:sz w:val="18"/>
              </w:rPr>
              <w:t xml:space="preserve">0.0792</w:t>
            </w:r>
          </w:p>
        </w:tc>
        <w:tc>
          <w:tcPr>
            <w:tcW w:type="dxa" w:w="1601"/>
          </w:tcPr>
          <w:p>
            <w:pPr>
              <w:pStyle w:val="Compact"/>
              <w:keepNext/>
              <w:spacing w:before="40" w:after="40" w:line="240" w:lineRule="auto"/>
              <w:jc w:val="left"/>
            </w:pPr>
            <w:r>
              <w:rPr>
                <w:rFonts w:ascii="Calibri" w:hAnsi="Calibri"/>
                <w:sz w:val="18"/>
              </w:rPr>
              <w:t xml:space="preserve">7.83012</w:t>
            </w:r>
          </w:p>
        </w:tc>
        <w:tc>
          <w:tcPr>
            <w:tcW w:type="dxa" w:w="1601"/>
          </w:tcPr>
          <w:p>
            <w:pPr>
              <w:pStyle w:val="Compact"/>
              <w:keepNext/>
              <w:spacing w:before="40" w:after="40" w:line="240" w:lineRule="auto"/>
              <w:jc w:val="left"/>
            </w:pPr>
            <w:r>
              <w:rPr>
                <w:rFonts w:ascii="Calibri" w:hAnsi="Calibri"/>
                <w:sz w:val="18"/>
              </w:rPr>
              <w:t xml:space="preserve">2.4716</w:t>
            </w:r>
          </w:p>
        </w:tc>
        <w:tc>
          <w:tcPr>
            <w:tcW w:type="dxa" w:w="1601"/>
          </w:tcPr>
          <w:p>
            <w:pPr>
              <w:pStyle w:val="Compact"/>
              <w:keepNext/>
              <w:spacing w:before="40" w:after="40" w:line="240" w:lineRule="auto"/>
              <w:jc w:val="left"/>
            </w:pPr>
            <w:r>
              <w:rPr>
                <w:rFonts w:ascii="Calibri" w:hAnsi="Calibri"/>
                <w:sz w:val="18"/>
              </w:rPr>
              <w:t xml:space="preserve">0.1183506</w:t>
            </w:r>
          </w:p>
        </w:tc>
      </w:tr>
      <w:tr>
        <w:trPr>
          <w:cantSplit/>
        </w:trPr>
        <w:tc>
          <w:tcPr>
            <w:tcW w:type="dxa" w:w="1601"/>
          </w:tcPr>
          <w:p>
            <w:pPr>
              <w:pStyle w:val="Compact"/>
              <w:keepNext/>
              <w:spacing w:before="40" w:after="40" w:line="240" w:lineRule="auto"/>
              <w:jc w:val="left"/>
            </w:pPr>
            <w:r>
              <w:rPr>
                <w:rFonts w:ascii="Calibri" w:hAnsi="Calibri"/>
                <w:sz w:val="18"/>
              </w:rPr>
              <w:t xml:space="preserve">0.005</w:t>
            </w:r>
          </w:p>
        </w:tc>
        <w:tc>
          <w:tcPr>
            <w:tcW w:type="dxa" w:w="1601"/>
          </w:tcPr>
          <w:p>
            <w:pPr>
              <w:pStyle w:val="Compact"/>
              <w:keepNext/>
              <w:spacing w:before="40" w:after="40" w:line="240" w:lineRule="auto"/>
              <w:jc w:val="left"/>
            </w:pPr>
            <w:r>
              <w:rPr>
                <w:rFonts w:ascii="Calibri" w:hAnsi="Calibri"/>
                <w:sz w:val="18"/>
              </w:rPr>
              <w:t xml:space="preserve">Myopic</w:t>
            </w:r>
          </w:p>
        </w:tc>
        <w:tc>
          <w:tcPr>
            <w:tcW w:type="dxa" w:w="1601"/>
          </w:tcPr>
          <w:p>
            <w:pPr>
              <w:pStyle w:val="Compact"/>
              <w:keepNext/>
              <w:spacing w:before="40" w:after="40" w:line="240" w:lineRule="auto"/>
              <w:jc w:val="left"/>
            </w:pPr>
            <w:r>
              <w:rPr>
                <w:rFonts w:ascii="Calibri" w:hAnsi="Calibri"/>
                <w:sz w:val="18"/>
              </w:rPr>
              <w:t xml:space="preserve">0.1200</w:t>
            </w:r>
          </w:p>
        </w:tc>
        <w:tc>
          <w:tcPr>
            <w:tcW w:type="dxa" w:w="1601"/>
          </w:tcPr>
          <w:p>
            <w:pPr>
              <w:pStyle w:val="Compact"/>
              <w:keepNext/>
              <w:spacing w:before="40" w:after="40" w:line="240" w:lineRule="auto"/>
              <w:jc w:val="left"/>
            </w:pPr>
            <w:r>
              <w:rPr>
                <w:rFonts w:ascii="Calibri" w:hAnsi="Calibri"/>
                <w:sz w:val="18"/>
              </w:rPr>
              <w:t xml:space="preserve">5.10000</w:t>
            </w:r>
          </w:p>
        </w:tc>
        <w:tc>
          <w:tcPr>
            <w:tcW w:type="dxa" w:w="1601"/>
          </w:tcPr>
          <w:p>
            <w:pPr>
              <w:pStyle w:val="Compact"/>
              <w:keepNext/>
              <w:spacing w:before="40" w:after="40" w:line="240" w:lineRule="auto"/>
              <w:jc w:val="left"/>
            </w:pPr>
            <w:r>
              <w:rPr>
                <w:rFonts w:ascii="Calibri" w:hAnsi="Calibri"/>
                <w:sz w:val="18"/>
              </w:rPr>
              <w:t xml:space="preserve">1.0000</w:t>
            </w:r>
          </w:p>
        </w:tc>
        <w:tc>
          <w:tcPr>
            <w:tcW w:type="dxa" w:w="1601"/>
          </w:tcPr>
          <w:p>
            <w:pPr>
              <w:pStyle w:val="Compact"/>
              <w:keepNext/>
              <w:spacing w:before="40" w:after="40" w:line="240" w:lineRule="auto"/>
              <w:jc w:val="left"/>
            </w:pPr>
            <w:r>
              <w:rPr>
                <w:rFonts w:ascii="Calibri" w:hAnsi="Calibri"/>
                <w:sz w:val="18"/>
              </w:rPr>
              <w:t xml:space="preserve">0.1455000</w:t>
            </w:r>
          </w:p>
        </w:tc>
      </w:tr>
      <w:tr>
        <w:trPr>
          <w:cantSplit/>
        </w:trPr>
        <w:tc>
          <w:tcPr>
            <w:tcW w:type="dxa" w:w="1601"/>
          </w:tcPr>
          <w:p>
            <w:pPr>
              <w:pStyle w:val="Compact"/>
              <w:keepNext/>
              <w:spacing w:before="40" w:after="40" w:line="240" w:lineRule="auto"/>
              <w:jc w:val="left"/>
            </w:pPr>
            <w:r>
              <w:rPr>
                <w:rFonts w:ascii="Calibri" w:hAnsi="Calibri"/>
                <w:sz w:val="18"/>
              </w:rPr>
              <w:t xml:space="preserve">0.010</w:t>
            </w:r>
          </w:p>
        </w:tc>
        <w:tc>
          <w:tcPr>
            <w:tcW w:type="dxa" w:w="1601"/>
          </w:tcPr>
          <w:p>
            <w:pPr>
              <w:pStyle w:val="Compact"/>
              <w:keepNext/>
              <w:spacing w:before="40" w:after="40" w:line="240" w:lineRule="auto"/>
              <w:jc w:val="left"/>
            </w:pPr>
            <w:r>
              <w:rPr>
                <w:rFonts w:ascii="Calibri" w:hAnsi="Calibri"/>
                <w:sz w:val="18"/>
              </w:rPr>
              <w:t xml:space="preserve">Optimal</w:t>
            </w:r>
          </w:p>
        </w:tc>
        <w:tc>
          <w:tcPr>
            <w:tcW w:type="dxa" w:w="1601"/>
          </w:tcPr>
          <w:p>
            <w:pPr>
              <w:pStyle w:val="Compact"/>
              <w:keepNext/>
              <w:spacing w:before="40" w:after="40" w:line="240" w:lineRule="auto"/>
              <w:jc w:val="left"/>
            </w:pPr>
            <w:r>
              <w:rPr>
                <w:rFonts w:ascii="Calibri" w:hAnsi="Calibri"/>
                <w:sz w:val="18"/>
              </w:rPr>
              <w:t xml:space="preserve">0.0828</w:t>
            </w:r>
          </w:p>
        </w:tc>
        <w:tc>
          <w:tcPr>
            <w:tcW w:type="dxa" w:w="1601"/>
          </w:tcPr>
          <w:p>
            <w:pPr>
              <w:pStyle w:val="Compact"/>
              <w:keepNext/>
              <w:spacing w:before="40" w:after="40" w:line="240" w:lineRule="auto"/>
              <w:jc w:val="left"/>
            </w:pPr>
            <w:r>
              <w:rPr>
                <w:rFonts w:ascii="Calibri" w:hAnsi="Calibri"/>
                <w:sz w:val="18"/>
              </w:rPr>
              <w:t xml:space="preserve">7.39230</w:t>
            </w:r>
          </w:p>
        </w:tc>
        <w:tc>
          <w:tcPr>
            <w:tcW w:type="dxa" w:w="1601"/>
          </w:tcPr>
          <w:p>
            <w:pPr>
              <w:pStyle w:val="Compact"/>
              <w:keepNext/>
              <w:spacing w:before="40" w:after="40" w:line="240" w:lineRule="auto"/>
              <w:jc w:val="left"/>
            </w:pPr>
            <w:r>
              <w:rPr>
                <w:rFonts w:ascii="Calibri" w:hAnsi="Calibri"/>
                <w:sz w:val="18"/>
              </w:rPr>
              <w:t xml:space="preserve">2.4770</w:t>
            </w:r>
          </w:p>
        </w:tc>
        <w:tc>
          <w:tcPr>
            <w:tcW w:type="dxa" w:w="1601"/>
          </w:tcPr>
          <w:p>
            <w:pPr>
              <w:pStyle w:val="Compact"/>
              <w:keepNext/>
              <w:spacing w:before="40" w:after="40" w:line="240" w:lineRule="auto"/>
              <w:jc w:val="left"/>
            </w:pPr>
            <w:r>
              <w:rPr>
                <w:rFonts w:ascii="Calibri" w:hAnsi="Calibri"/>
                <w:sz w:val="18"/>
              </w:rPr>
              <w:t xml:space="preserve">0.1567230</w:t>
            </w:r>
          </w:p>
        </w:tc>
      </w:tr>
      <w:tr>
        <w:trPr>
          <w:cantSplit/>
        </w:trPr>
        <w:tc>
          <w:tcPr>
            <w:tcW w:type="dxa" w:w="1601"/>
          </w:tcPr>
          <w:p>
            <w:pPr>
              <w:pStyle w:val="Compact"/>
              <w:keepNext/>
              <w:spacing w:before="40" w:after="40" w:line="240" w:lineRule="auto"/>
              <w:jc w:val="left"/>
            </w:pPr>
            <w:r>
              <w:rPr>
                <w:rFonts w:ascii="Calibri" w:hAnsi="Calibri"/>
                <w:sz w:val="18"/>
              </w:rPr>
              <w:t xml:space="preserve">0.010</w:t>
            </w:r>
          </w:p>
        </w:tc>
        <w:tc>
          <w:tcPr>
            <w:tcW w:type="dxa" w:w="1601"/>
          </w:tcPr>
          <w:p>
            <w:pPr>
              <w:pStyle w:val="Compact"/>
              <w:keepNext/>
              <w:spacing w:before="40" w:after="40" w:line="240" w:lineRule="auto"/>
              <w:jc w:val="left"/>
            </w:pPr>
            <w:r>
              <w:rPr>
                <w:rFonts w:ascii="Calibri" w:hAnsi="Calibri"/>
                <w:sz w:val="18"/>
              </w:rPr>
              <w:t xml:space="preserve">Myopic</w:t>
            </w:r>
          </w:p>
        </w:tc>
        <w:tc>
          <w:tcPr>
            <w:tcW w:type="dxa" w:w="1601"/>
          </w:tcPr>
          <w:p>
            <w:pPr>
              <w:pStyle w:val="Compact"/>
              <w:keepNext/>
              <w:spacing w:before="40" w:after="40" w:line="240" w:lineRule="auto"/>
              <w:jc w:val="left"/>
            </w:pPr>
            <w:r>
              <w:rPr>
                <w:rFonts w:ascii="Calibri" w:hAnsi="Calibri"/>
                <w:sz w:val="18"/>
              </w:rPr>
              <w:t xml:space="preserve">0.1200</w:t>
            </w:r>
          </w:p>
        </w:tc>
        <w:tc>
          <w:tcPr>
            <w:tcW w:type="dxa" w:w="1601"/>
          </w:tcPr>
          <w:p>
            <w:pPr>
              <w:pStyle w:val="Compact"/>
              <w:keepNext/>
              <w:spacing w:before="40" w:after="40" w:line="240" w:lineRule="auto"/>
              <w:jc w:val="left"/>
            </w:pPr>
            <w:r>
              <w:rPr>
                <w:rFonts w:ascii="Calibri" w:hAnsi="Calibri"/>
                <w:sz w:val="18"/>
              </w:rPr>
              <w:t xml:space="preserve">5.10000</w:t>
            </w:r>
          </w:p>
        </w:tc>
        <w:tc>
          <w:tcPr>
            <w:tcW w:type="dxa" w:w="1601"/>
          </w:tcPr>
          <w:p>
            <w:pPr>
              <w:pStyle w:val="Compact"/>
              <w:keepNext/>
              <w:spacing w:before="40" w:after="40" w:line="240" w:lineRule="auto"/>
              <w:jc w:val="left"/>
            </w:pPr>
            <w:r>
              <w:rPr>
                <w:rFonts w:ascii="Calibri" w:hAnsi="Calibri"/>
                <w:sz w:val="18"/>
              </w:rPr>
              <w:t xml:space="preserve">1.0000</w:t>
            </w:r>
          </w:p>
        </w:tc>
        <w:tc>
          <w:tcPr>
            <w:tcW w:type="dxa" w:w="1601"/>
          </w:tcPr>
          <w:p>
            <w:pPr>
              <w:pStyle w:val="Compact"/>
              <w:keepNext/>
              <w:spacing w:before="40" w:after="40" w:line="240" w:lineRule="auto"/>
              <w:jc w:val="left"/>
            </w:pPr>
            <w:r>
              <w:rPr>
                <w:rFonts w:ascii="Calibri" w:hAnsi="Calibri"/>
                <w:sz w:val="18"/>
              </w:rPr>
              <w:t xml:space="preserve">0.1710000</w:t>
            </w:r>
          </w:p>
        </w:tc>
      </w:tr>
      <w:tr>
        <w:trPr>
          <w:cantSplit/>
        </w:trPr>
        <w:tc>
          <w:tcPr>
            <w:tcW w:type="dxa" w:w="1601"/>
          </w:tcPr>
          <w:p>
            <w:pPr>
              <w:pStyle w:val="Compact"/>
              <w:keepNext/>
              <w:spacing w:before="40" w:after="40" w:line="240" w:lineRule="auto"/>
              <w:jc w:val="left"/>
            </w:pPr>
            <w:r>
              <w:rPr>
                <w:rFonts w:ascii="Calibri" w:hAnsi="Calibri"/>
                <w:sz w:val="18"/>
              </w:rPr>
              <w:t xml:space="preserve">0.020</w:t>
            </w:r>
          </w:p>
        </w:tc>
        <w:tc>
          <w:tcPr>
            <w:tcW w:type="dxa" w:w="1601"/>
          </w:tcPr>
          <w:p>
            <w:pPr>
              <w:pStyle w:val="Compact"/>
              <w:keepNext/>
              <w:spacing w:before="40" w:after="40" w:line="240" w:lineRule="auto"/>
              <w:jc w:val="left"/>
            </w:pPr>
            <w:r>
              <w:rPr>
                <w:rFonts w:ascii="Calibri" w:hAnsi="Calibri"/>
                <w:sz w:val="18"/>
              </w:rPr>
              <w:t xml:space="preserve">Optimal</w:t>
            </w:r>
          </w:p>
        </w:tc>
        <w:tc>
          <w:tcPr>
            <w:tcW w:type="dxa" w:w="1601"/>
          </w:tcPr>
          <w:p>
            <w:pPr>
              <w:pStyle w:val="Compact"/>
              <w:keepNext/>
              <w:spacing w:before="40" w:after="40" w:line="240" w:lineRule="auto"/>
              <w:jc w:val="left"/>
            </w:pPr>
            <w:r>
              <w:rPr>
                <w:rFonts w:ascii="Calibri" w:hAnsi="Calibri"/>
                <w:sz w:val="18"/>
              </w:rPr>
              <w:t xml:space="preserve">0.1200</w:t>
            </w:r>
          </w:p>
        </w:tc>
        <w:tc>
          <w:tcPr>
            <w:tcW w:type="dxa" w:w="1601"/>
          </w:tcPr>
          <w:p>
            <w:pPr>
              <w:pStyle w:val="Compact"/>
              <w:keepNext/>
              <w:spacing w:before="40" w:after="40" w:line="240" w:lineRule="auto"/>
              <w:jc w:val="left"/>
            </w:pPr>
            <w:r>
              <w:rPr>
                <w:rFonts w:ascii="Calibri" w:hAnsi="Calibri"/>
                <w:sz w:val="18"/>
              </w:rPr>
              <w:t xml:space="preserve">5.10000</w:t>
            </w:r>
          </w:p>
        </w:tc>
        <w:tc>
          <w:tcPr>
            <w:tcW w:type="dxa" w:w="1601"/>
          </w:tcPr>
          <w:p>
            <w:pPr>
              <w:pStyle w:val="Compact"/>
              <w:keepNext/>
              <w:spacing w:before="40" w:after="40" w:line="240" w:lineRule="auto"/>
              <w:jc w:val="left"/>
            </w:pPr>
            <w:r>
              <w:rPr>
                <w:rFonts w:ascii="Calibri" w:hAnsi="Calibri"/>
                <w:sz w:val="18"/>
              </w:rPr>
              <w:t xml:space="preserve">1.0000</w:t>
            </w:r>
          </w:p>
        </w:tc>
        <w:tc>
          <w:tcPr>
            <w:tcW w:type="dxa" w:w="1601"/>
          </w:tcPr>
          <w:p>
            <w:pPr>
              <w:pStyle w:val="Compact"/>
              <w:keepNext/>
              <w:spacing w:before="40" w:after="40" w:line="240" w:lineRule="auto"/>
              <w:jc w:val="left"/>
            </w:pPr>
            <w:r>
              <w:rPr>
                <w:rFonts w:ascii="Calibri" w:hAnsi="Calibri"/>
                <w:sz w:val="18"/>
              </w:rPr>
              <w:t xml:space="preserve">0.2220000</w:t>
            </w:r>
          </w:p>
        </w:tc>
      </w:tr>
      <w:tr>
        <w:trPr>
          <w:cantSplit/>
        </w:trPr>
        <w:tc>
          <w:tcPr>
            <w:tcW w:type="dxa" w:w="1601"/>
          </w:tcPr>
          <w:p>
            <w:pPr>
              <w:pStyle w:val="Compact"/>
              <w:keepNext/>
              <w:spacing w:before="40" w:after="40" w:line="240" w:lineRule="auto"/>
              <w:jc w:val="left"/>
            </w:pPr>
            <w:r>
              <w:rPr>
                <w:rFonts w:ascii="Calibri" w:hAnsi="Calibri"/>
                <w:sz w:val="18"/>
              </w:rPr>
              <w:t xml:space="preserve">0.020</w:t>
            </w:r>
          </w:p>
        </w:tc>
        <w:tc>
          <w:tcPr>
            <w:tcW w:type="dxa" w:w="1601"/>
          </w:tcPr>
          <w:p>
            <w:pPr>
              <w:pStyle w:val="Compact"/>
              <w:keepNext/>
              <w:spacing w:before="40" w:after="40" w:line="240" w:lineRule="auto"/>
              <w:jc w:val="left"/>
            </w:pPr>
            <w:r>
              <w:rPr>
                <w:rFonts w:ascii="Calibri" w:hAnsi="Calibri"/>
                <w:sz w:val="18"/>
              </w:rPr>
              <w:t xml:space="preserve">Myopic</w:t>
            </w:r>
          </w:p>
        </w:tc>
        <w:tc>
          <w:tcPr>
            <w:tcW w:type="dxa" w:w="1601"/>
          </w:tcPr>
          <w:p>
            <w:pPr>
              <w:pStyle w:val="Compact"/>
              <w:keepNext/>
              <w:spacing w:before="40" w:after="40" w:line="240" w:lineRule="auto"/>
              <w:jc w:val="left"/>
            </w:pPr>
            <w:r>
              <w:rPr>
                <w:rFonts w:ascii="Calibri" w:hAnsi="Calibri"/>
                <w:sz w:val="18"/>
              </w:rPr>
              <w:t xml:space="preserve">0.1200</w:t>
            </w:r>
          </w:p>
        </w:tc>
        <w:tc>
          <w:tcPr>
            <w:tcW w:type="dxa" w:w="1601"/>
          </w:tcPr>
          <w:p>
            <w:pPr>
              <w:pStyle w:val="Compact"/>
              <w:keepNext/>
              <w:spacing w:before="40" w:after="40" w:line="240" w:lineRule="auto"/>
              <w:jc w:val="left"/>
            </w:pPr>
            <w:r>
              <w:rPr>
                <w:rFonts w:ascii="Calibri" w:hAnsi="Calibri"/>
                <w:sz w:val="18"/>
              </w:rPr>
              <w:t xml:space="preserve">5.10000</w:t>
            </w:r>
          </w:p>
        </w:tc>
        <w:tc>
          <w:tcPr>
            <w:tcW w:type="dxa" w:w="1601"/>
          </w:tcPr>
          <w:p>
            <w:pPr>
              <w:pStyle w:val="Compact"/>
              <w:keepNext/>
              <w:spacing w:before="40" w:after="40" w:line="240" w:lineRule="auto"/>
              <w:jc w:val="left"/>
            </w:pPr>
            <w:r>
              <w:rPr>
                <w:rFonts w:ascii="Calibri" w:hAnsi="Calibri"/>
                <w:sz w:val="18"/>
              </w:rPr>
              <w:t xml:space="preserve">1.0000</w:t>
            </w:r>
          </w:p>
        </w:tc>
        <w:tc>
          <w:tcPr>
            <w:tcW w:type="dxa" w:w="1601"/>
          </w:tcPr>
          <w:p>
            <w:pPr>
              <w:pStyle w:val="Compact"/>
              <w:keepNext/>
              <w:spacing w:before="40" w:after="40" w:line="240" w:lineRule="auto"/>
              <w:jc w:val="left"/>
            </w:pPr>
            <w:r>
              <w:rPr>
                <w:rFonts w:ascii="Calibri" w:hAnsi="Calibri"/>
                <w:sz w:val="18"/>
              </w:rPr>
              <w:t xml:space="preserve">0.2220000</w:t>
            </w:r>
          </w:p>
        </w:tc>
      </w:tr>
      <w:tr>
        <w:trPr>
          <w:cantSplit/>
        </w:trPr>
        <w:tc>
          <w:tcPr>
            <w:tcW w:type="dxa" w:w="1601"/>
          </w:tcPr>
          <w:p>
            <w:pPr>
              <w:pStyle w:val="Compact"/>
              <w:keepNext/>
              <w:spacing w:before="40" w:after="40" w:line="240" w:lineRule="auto"/>
              <w:jc w:val="left"/>
            </w:pPr>
            <w:r>
              <w:rPr>
                <w:rFonts w:ascii="Calibri" w:hAnsi="Calibri"/>
                <w:sz w:val="18"/>
              </w:rPr>
              <w:t xml:space="preserve">0.040</w:t>
            </w:r>
          </w:p>
        </w:tc>
        <w:tc>
          <w:tcPr>
            <w:tcW w:type="dxa" w:w="1601"/>
          </w:tcPr>
          <w:p>
            <w:pPr>
              <w:pStyle w:val="Compact"/>
              <w:keepNext/>
              <w:spacing w:before="40" w:after="40" w:line="240" w:lineRule="auto"/>
              <w:jc w:val="left"/>
            </w:pPr>
            <w:r>
              <w:rPr>
                <w:rFonts w:ascii="Calibri" w:hAnsi="Calibri"/>
                <w:sz w:val="18"/>
              </w:rPr>
              <w:t xml:space="preserve">Optimal</w:t>
            </w:r>
          </w:p>
        </w:tc>
        <w:tc>
          <w:tcPr>
            <w:tcW w:type="dxa" w:w="1601"/>
          </w:tcPr>
          <w:p>
            <w:pPr>
              <w:pStyle w:val="Compact"/>
              <w:keepNext/>
              <w:spacing w:before="40" w:after="40" w:line="240" w:lineRule="auto"/>
              <w:jc w:val="left"/>
            </w:pPr>
            <w:r>
              <w:rPr>
                <w:rFonts w:ascii="Calibri" w:hAnsi="Calibri"/>
                <w:sz w:val="18"/>
              </w:rPr>
              <w:t xml:space="preserve">0.1200</w:t>
            </w:r>
          </w:p>
        </w:tc>
        <w:tc>
          <w:tcPr>
            <w:tcW w:type="dxa" w:w="1601"/>
          </w:tcPr>
          <w:p>
            <w:pPr>
              <w:pStyle w:val="Compact"/>
              <w:keepNext/>
              <w:spacing w:before="40" w:after="40" w:line="240" w:lineRule="auto"/>
              <w:jc w:val="left"/>
            </w:pPr>
            <w:r>
              <w:rPr>
                <w:rFonts w:ascii="Calibri" w:hAnsi="Calibri"/>
                <w:sz w:val="18"/>
              </w:rPr>
              <w:t xml:space="preserve">5.10000</w:t>
            </w:r>
          </w:p>
        </w:tc>
        <w:tc>
          <w:tcPr>
            <w:tcW w:type="dxa" w:w="1601"/>
          </w:tcPr>
          <w:p>
            <w:pPr>
              <w:pStyle w:val="Compact"/>
              <w:keepNext/>
              <w:spacing w:before="40" w:after="40" w:line="240" w:lineRule="auto"/>
              <w:jc w:val="left"/>
            </w:pPr>
            <w:r>
              <w:rPr>
                <w:rFonts w:ascii="Calibri" w:hAnsi="Calibri"/>
                <w:sz w:val="18"/>
              </w:rPr>
              <w:t xml:space="preserve">1.0000</w:t>
            </w:r>
          </w:p>
        </w:tc>
        <w:tc>
          <w:tcPr>
            <w:tcW w:type="dxa" w:w="1601"/>
          </w:tcPr>
          <w:p>
            <w:pPr>
              <w:pStyle w:val="Compact"/>
              <w:keepNext/>
              <w:spacing w:before="40" w:after="40" w:line="240" w:lineRule="auto"/>
              <w:jc w:val="left"/>
            </w:pPr>
            <w:r>
              <w:rPr>
                <w:rFonts w:ascii="Calibri" w:hAnsi="Calibri"/>
                <w:sz w:val="18"/>
              </w:rPr>
              <w:t xml:space="preserve">0.3240000</w:t>
            </w:r>
          </w:p>
        </w:tc>
      </w:tr>
      <w:tr>
        <w:trPr>
          <w:cantSplit/>
        </w:trPr>
        <w:tc>
          <w:tcPr>
            <w:tcW w:type="dxa" w:w="1601"/>
          </w:tcPr>
          <w:p>
            <w:pPr>
              <w:pStyle w:val="Compact"/>
              <w:keepNext w:val="0"/>
              <w:spacing w:before="40" w:after="40" w:line="240" w:lineRule="auto"/>
              <w:jc w:val="left"/>
            </w:pPr>
            <w:r>
              <w:rPr>
                <w:rFonts w:ascii="Calibri" w:hAnsi="Calibri"/>
                <w:sz w:val="18"/>
              </w:rPr>
              <w:t xml:space="preserve">0.040</w:t>
            </w:r>
          </w:p>
        </w:tc>
        <w:tc>
          <w:tcPr>
            <w:tcW w:type="dxa" w:w="1601"/>
          </w:tcPr>
          <w:p>
            <w:pPr>
              <w:pStyle w:val="Compact"/>
              <w:keepNext w:val="0"/>
              <w:spacing w:before="40" w:after="40" w:line="240" w:lineRule="auto"/>
              <w:jc w:val="left"/>
            </w:pPr>
            <w:r>
              <w:rPr>
                <w:rFonts w:ascii="Calibri" w:hAnsi="Calibri"/>
                <w:sz w:val="18"/>
              </w:rPr>
              <w:t xml:space="preserve">Myopic</w:t>
            </w:r>
          </w:p>
        </w:tc>
        <w:tc>
          <w:tcPr>
            <w:tcW w:type="dxa" w:w="1601"/>
          </w:tcPr>
          <w:p>
            <w:pPr>
              <w:pStyle w:val="Compact"/>
              <w:keepNext w:val="0"/>
              <w:spacing w:before="40" w:after="40" w:line="240" w:lineRule="auto"/>
              <w:jc w:val="left"/>
            </w:pPr>
            <w:r>
              <w:rPr>
                <w:rFonts w:ascii="Calibri" w:hAnsi="Calibri"/>
                <w:sz w:val="18"/>
              </w:rPr>
              <w:t xml:space="preserve">0.1200</w:t>
            </w:r>
          </w:p>
        </w:tc>
        <w:tc>
          <w:tcPr>
            <w:tcW w:type="dxa" w:w="1601"/>
          </w:tcPr>
          <w:p>
            <w:pPr>
              <w:pStyle w:val="Compact"/>
              <w:keepNext w:val="0"/>
              <w:spacing w:before="40" w:after="40" w:line="240" w:lineRule="auto"/>
              <w:jc w:val="left"/>
            </w:pPr>
            <w:r>
              <w:rPr>
                <w:rFonts w:ascii="Calibri" w:hAnsi="Calibri"/>
                <w:sz w:val="18"/>
              </w:rPr>
              <w:t xml:space="preserve">5.10000</w:t>
            </w:r>
          </w:p>
        </w:tc>
        <w:tc>
          <w:tcPr>
            <w:tcW w:type="dxa" w:w="1601"/>
          </w:tcPr>
          <w:p>
            <w:pPr>
              <w:pStyle w:val="Compact"/>
              <w:keepNext w:val="0"/>
              <w:spacing w:before="40" w:after="40" w:line="240" w:lineRule="auto"/>
              <w:jc w:val="left"/>
            </w:pPr>
            <w:r>
              <w:rPr>
                <w:rFonts w:ascii="Calibri" w:hAnsi="Calibri"/>
                <w:sz w:val="18"/>
              </w:rPr>
              <w:t xml:space="preserve">1.0000</w:t>
            </w:r>
          </w:p>
        </w:tc>
        <w:tc>
          <w:tcPr>
            <w:tcW w:type="dxa" w:w="1601"/>
          </w:tcPr>
          <w:p>
            <w:pPr>
              <w:pStyle w:val="Compact"/>
              <w:keepNext w:val="0"/>
              <w:spacing w:before="40" w:after="40" w:line="240" w:lineRule="auto"/>
              <w:jc w:val="left"/>
            </w:pPr>
            <w:r>
              <w:rPr>
                <w:rFonts w:ascii="Calibri" w:hAnsi="Calibri"/>
                <w:sz w:val="18"/>
              </w:rPr>
              <w:t xml:space="preserve">0.3240000</w:t>
            </w:r>
          </w:p>
        </w:tc>
      </w:tr>
    </w:tbl>
    <w:p>
      <w:pPr>
        <w:pStyle w:val="BodyText"/>
      </w:pPr>
      <w:r>
        <w:t xml:space="preserve">At the two smaller penalty weights, the optimal policy first queries scheduling, whereas the myopic policy queries assembly and stops. Although assembly has greater assumed standalone accuracy, planning ahead accounts for shared activation and subsequent evidence. At the larger penalty weights, both policies query assembly and stop. These results establish behavior only for the specified finite instance.</w:t>
      </w:r>
    </w:p>
    <w:p>
      <w:pPr>
        <w:pStyle w:val="BodyText"/>
      </w:pPr>
      <w:r>
        <w:t xml:space="preserve">For calibration tolerance</w:t>
      </w:r>
      <w:r>
        <w:t xml:space="preserve"> </w:t>
      </w:r>
      <m:oMath>
        <m:r>
          <m:t>ε</m:t>
        </m:r>
        <m:r>
          <m:rPr>
            <m:sty m:val="p"/>
          </m:rPr>
          <m:t>=</m:t>
        </m:r>
        <m:r>
          <m:t>0.05</m:t>
        </m:r>
      </m:oMath>
      <w:r>
        <w:t xml:space="preserve">, the four-call limit gives</w:t>
      </w:r>
      <w:r>
        <w:t xml:space="preserve"> </w:t>
      </w:r>
      <m:oMath>
        <m:sSub>
          <m:e>
            <m:r>
              <m:t>β</m:t>
            </m:r>
          </m:e>
          <m:sub>
            <m:r>
              <m:t>4</m:t>
            </m:r>
          </m:sub>
        </m:sSub>
        <m:r>
          <m:rPr>
            <m:sty m:val="p"/>
          </m:rPr>
          <m:t>=</m:t>
        </m:r>
        <m:r>
          <m:t>5</m:t>
        </m:r>
      </m:oMath>
      <w:r>
        <w:t xml:space="preserve">. At</w:t>
      </w:r>
      <w:r>
        <w:t xml:space="preserve"> </w:t>
      </w:r>
      <m:oMath>
        <m:r>
          <m:t>λ</m:t>
        </m:r>
        <m:r>
          <m:rPr>
            <m:sty m:val="p"/>
          </m:rPr>
          <m:t>=</m:t>
        </m:r>
        <m:r>
          <m:t>0.01</m:t>
        </m:r>
      </m:oMath>
      <w:r>
        <w:t xml:space="preserve">, Theorem 4.2 bounds the optimal-value error by 0.0025 and the excess objective of the measured-cost policy by 0.005. These are worst-case guarantees under the calibration assumption, rather than observed average errors.</w:t>
      </w:r>
    </w:p>
    <w:p>
      <w:pPr>
        <w:pStyle w:val="BodyText"/>
      </w:pPr>
      <w:r>
        <w:t xml:space="preserve">The supplied Python implementation reproduces Table 2 with exact rational arithmetic using fractions.Fraction. The Bellman calculation considered 473 partial observation assignments, equal to</w:t>
      </w:r>
    </w:p>
    <w:p>
      <w:pPr>
        <w:pStyle w:val="BodyText"/>
      </w:pPr>
      <m:oMathPara>
        <m:oMathParaPr>
          <m:jc m:val="center"/>
        </m:oMathParaPr>
        <m:oMath>
          <m:nary>
            <m:naryPr>
              <m:chr m:val="∑"/>
              <m:limLoc m:val="undOvr"/>
              <m:subHide m:val="off"/>
              <m:supHide m:val="off"/>
            </m:naryPr>
            <m:sub>
              <m:r>
                <m:t>m</m:t>
              </m:r>
              <m:r>
                <m:rPr>
                  <m:sty m:val="p"/>
                </m:rPr>
                <m:t>=</m:t>
              </m:r>
              <m:r>
                <m:t>0</m:t>
              </m:r>
            </m:sub>
            <m:sup>
              <m:r>
                <m:t>4</m:t>
              </m:r>
            </m:sup>
            <m:e>
              <m:d>
                <m:dPr>
                  <m:begChr m:val="("/>
                  <m:endChr m:val=")"/>
                  <m:sepChr m:val=""/>
                  <m:grow/>
                </m:dPr>
                <m:e>
                  <m:f>
                    <m:fPr>
                      <m:type m:val="noBar"/>
                    </m:fPr>
                    <m:num>
                      <m:r>
                        <m:t>6</m:t>
                      </m:r>
                    </m:num>
                    <m:den>
                      <m:r>
                        <m:t>m</m:t>
                      </m:r>
                    </m:den>
                  </m:f>
                </m:e>
              </m:d>
            </m:e>
          </m:nary>
          <m:sSup>
            <m:e>
              <m:r>
                <m:t>2</m:t>
              </m:r>
            </m:e>
            <m:sup>
              <m:r>
                <m:t>m</m:t>
              </m:r>
            </m:sup>
          </m:sSup>
          <m:r>
            <m:rPr>
              <m:sty m:val="p"/>
            </m:rPr>
            <m:t>.</m:t>
          </m:r>
        </m:oMath>
      </m:oMathPara>
    </w:p>
    <w:p>
      <w:pPr>
        <w:pStyle w:val="FirstParagraph"/>
      </w:pPr>
      <w:r>
        <w:t xml:space="preserve">For each policy and penalty, its terminal decision, cost, and query count were independently evaluated by replaying all</w:t>
      </w:r>
    </w:p>
    <w:p>
      <w:pPr>
        <w:pStyle w:val="BodyText"/>
      </w:pPr>
      <m:oMathPara>
        <m:oMathParaPr>
          <m:jc m:val="center"/>
        </m:oMathParaPr>
        <m:oMath>
          <m:r>
            <m:t>2</m:t>
          </m:r>
          <m:r>
            <m:rPr>
              <m:sty m:val="p"/>
            </m:rPr>
            <m:t>×</m:t>
          </m:r>
          <m:sSup>
            <m:e>
              <m:r>
                <m:t>2</m:t>
              </m:r>
            </m:e>
            <m:sup>
              <m:r>
                <m:t>6</m:t>
              </m:r>
            </m:sup>
          </m:sSup>
          <m:r>
            <m:rPr>
              <m:sty m:val="p"/>
            </m:rPr>
            <m:t>=</m:t>
          </m:r>
          <m:r>
            <m:t>128</m:t>
          </m:r>
        </m:oMath>
      </m:oMathPara>
    </w:p>
    <w:p>
      <w:pPr>
        <w:pStyle w:val="FirstParagraph"/>
      </w:pPr>
      <w:r>
        <w:t xml:space="preserve">latent-state/full-observation combinations with their exact probabilities. Across the eight policy cases, all 1,024 replay outcomes agreed exactly with the expectations computed by backward induction. Table 2 reports exact finite-model expectations, rather than Monte Carlo estimates.</w:t>
      </w:r>
    </w:p>
    <w:bookmarkEnd w:id="39"/>
    <w:bookmarkStart w:id="40" w:name="algebraic-implementation-checks"/>
    <w:p>
      <w:pPr>
        <w:pStyle w:val="Heading2"/>
      </w:pPr>
      <w:r>
        <w:t xml:space="preserve">6.3. Algebraic implementation checks</w:t>
      </w:r>
    </w:p>
    <w:p>
      <w:pPr>
        <w:pStyle w:val="FirstParagraph"/>
      </w:pPr>
      <w:r>
        <w:t xml:space="preserve">The supplied implementation generates 100 rooted trees with six labeled source vertices. For each vertex</w:t>
      </w:r>
      <w:r>
        <w:t xml:space="preserve"> </w:t>
      </w:r>
      <m:oMath>
        <m:r>
          <m:t>i</m:t>
        </m:r>
        <m:r>
          <m:rPr>
            <m:sty m:val="p"/>
          </m:rPr>
          <m:t>=</m:t>
        </m:r>
        <m:r>
          <m:t>1</m:t>
        </m:r>
        <m:r>
          <m:rPr>
            <m:sty m:val="p"/>
          </m:rPr>
          <m:t>,</m:t>
        </m:r>
        <m:r>
          <m:rPr>
            <m:sty m:val="p"/>
          </m:rPr>
          <m:t>…</m:t>
        </m:r>
        <m:r>
          <m:rPr>
            <m:sty m:val="p"/>
          </m:rPr>
          <m:t>,</m:t>
        </m:r>
        <m:r>
          <m:t>6</m:t>
        </m:r>
      </m:oMath>
      <w:r>
        <w:t xml:space="preserve">, it draws a parent from</w:t>
      </w:r>
      <w:r>
        <w:t xml:space="preserve"> </w:t>
      </w:r>
      <m:oMath>
        <m:r>
          <m:t>0</m:t>
        </m:r>
        <m:r>
          <m:rPr>
            <m:sty m:val="p"/>
          </m:rPr>
          <m:t>,</m:t>
        </m:r>
        <m:r>
          <m:rPr>
            <m:sty m:val="p"/>
          </m:rPr>
          <m:t>…</m:t>
        </m:r>
        <m:r>
          <m:rPr>
            <m:sty m:val="p"/>
          </m:rPr>
          <m:t>,</m:t>
        </m:r>
        <m:r>
          <m:t>i</m:t>
        </m:r>
        <m:r>
          <m:rPr>
            <m:sty m:val="p"/>
          </m:rPr>
          <m:t>−</m:t>
        </m:r>
        <m:r>
          <m:t>1</m:t>
        </m:r>
      </m:oMath>
      <w:r>
        <w:t xml:space="preserve">, then an edge weight from</w:t>
      </w:r>
      <w:r>
        <w:t xml:space="preserve"> </w:t>
      </w:r>
      <m:oMath>
        <m:r>
          <m:rPr>
            <m:sty m:val="p"/>
          </m:rPr>
          <m:t>{</m:t>
        </m:r>
        <m:r>
          <m:t>0.1</m:t>
        </m:r>
        <m:r>
          <m:rPr>
            <m:sty m:val="p"/>
          </m:rPr>
          <m:t>,</m:t>
        </m:r>
        <m:r>
          <m:t>0.2</m:t>
        </m:r>
        <m:r>
          <m:rPr>
            <m:sty m:val="p"/>
          </m:rPr>
          <m:t>,</m:t>
        </m:r>
        <m:r>
          <m:rPr>
            <m:sty m:val="p"/>
          </m:rPr>
          <m:t>…</m:t>
        </m:r>
        <m:r>
          <m:rPr>
            <m:sty m:val="p"/>
          </m:rPr>
          <m:t>,</m:t>
        </m:r>
        <m:r>
          <m:t>3.0</m:t>
        </m:r>
        <m:r>
          <m:rPr>
            <m:sty m:val="p"/>
          </m:rPr>
          <m:t>}</m:t>
        </m:r>
      </m:oMath>
      <w:r>
        <w:t xml:space="preserve">, then a service cost from</w:t>
      </w:r>
      <w:r>
        <w:t xml:space="preserve"> </w:t>
      </w:r>
      <m:oMath>
        <m:r>
          <m:rPr>
            <m:sty m:val="p"/>
          </m:rPr>
          <m:t>{</m:t>
        </m:r>
        <m:r>
          <m:t>0.1</m:t>
        </m:r>
        <m:r>
          <m:rPr>
            <m:sty m:val="p"/>
          </m:rPr>
          <m:t>,</m:t>
        </m:r>
        <m:r>
          <m:t>0.2</m:t>
        </m:r>
        <m:r>
          <m:rPr>
            <m:sty m:val="p"/>
          </m:rPr>
          <m:t>,</m:t>
        </m:r>
        <m:r>
          <m:rPr>
            <m:sty m:val="p"/>
          </m:rPr>
          <m:t>…</m:t>
        </m:r>
        <m:r>
          <m:rPr>
            <m:sty m:val="p"/>
          </m:rPr>
          <m:t>,</m:t>
        </m:r>
        <m:r>
          <m:t>1.0</m:t>
        </m:r>
        <m:r>
          <m:rPr>
            <m:sty m:val="p"/>
          </m:rPr>
          <m:t>}</m:t>
        </m:r>
      </m:oMath>
      <w:r>
        <w:t xml:space="preserve">. Vertex 0 is the root. A 32-bit linear congruential generator uses seed 20260911, multiplier 1664525, and increment 1013904223. The code specifies the complete draw order, including subsequent perturbations.</w:t>
      </w:r>
    </w:p>
    <w:p>
      <w:pPr>
        <w:pStyle w:val="BodyText"/>
      </w:pPr>
      <w:r>
        <w:t xml:space="preserve">For all 64 subsets of each tree, exact path-union costs agree with Proposition 2.2: 6,400 equalities. All 19,200 source-addition marginals agree with (2.4). With measurement perturbations in</w:t>
      </w:r>
      <w:r>
        <w:t xml:space="preserve"> </w:t>
      </w:r>
      <m:oMath>
        <m:r>
          <m:rPr>
            <m:sty m:val="p"/>
          </m:rPr>
          <m:t>{</m:t>
        </m:r>
        <m:r>
          <m:rPr>
            <m:sty m:val="p"/>
          </m:rPr>
          <m:t>−</m:t>
        </m:r>
        <m:r>
          <m:t>1</m:t>
        </m:r>
        <m:r>
          <m:rPr>
            <m:sty m:val="p"/>
          </m:rPr>
          <m:t>/</m:t>
        </m:r>
        <m:r>
          <m:t>20</m:t>
        </m:r>
        <m:r>
          <m:rPr>
            <m:sty m:val="p"/>
          </m:rPr>
          <m:t>,</m:t>
        </m:r>
        <m:r>
          <m:t>0</m:t>
        </m:r>
        <m:r>
          <m:rPr>
            <m:sty m:val="p"/>
          </m:rPr>
          <m:t>,</m:t>
        </m:r>
        <m:r>
          <m:t>1</m:t>
        </m:r>
        <m:r>
          <m:rPr>
            <m:sty m:val="p"/>
          </m:rPr>
          <m:t>/</m:t>
        </m:r>
        <m:r>
          <m:t>20</m:t>
        </m:r>
        <m:r>
          <m:rPr>
            <m:sty m:val="p"/>
          </m:rPr>
          <m:t>}</m:t>
        </m:r>
      </m:oMath>
      <w:r>
        <w:t xml:space="preserve">, all 6,400 direct and 6,400 repair bounds hold; every repaired table satisfies (2.3). The code also checks 6,400 interval inclusions with uniform tolerances and 6,400 with heterogeneous tolerances from</w:t>
      </w:r>
      <w:r>
        <w:t xml:space="preserve"> </w:t>
      </w:r>
      <m:oMath>
        <m:r>
          <m:rPr>
            <m:sty m:val="p"/>
          </m:rPr>
          <m:t>{</m:t>
        </m:r>
        <m:r>
          <m:t>0.01</m:t>
        </m:r>
        <m:r>
          <m:rPr>
            <m:sty m:val="p"/>
          </m:rPr>
          <m:t>,</m:t>
        </m:r>
        <m:r>
          <m:t>0.02</m:t>
        </m:r>
        <m:r>
          <m:rPr>
            <m:sty m:val="p"/>
          </m:rPr>
          <m:t>,</m:t>
        </m:r>
        <m:r>
          <m:rPr>
            <m:sty m:val="p"/>
          </m:rPr>
          <m:t>…</m:t>
        </m:r>
        <m:r>
          <m:rPr>
            <m:sty m:val="p"/>
          </m:rPr>
          <m:t>,</m:t>
        </m:r>
        <m:r>
          <m:t>0.05</m:t>
        </m:r>
        <m:r>
          <m:rPr>
            <m:sty m:val="p"/>
          </m:rPr>
          <m:t>}</m:t>
        </m:r>
      </m:oMath>
      <w:r>
        <w:t xml:space="preserve">. The two signs of the sharpness construction are checked for</w:t>
      </w:r>
      <w:r>
        <w:t xml:space="preserve"> </w:t>
      </w:r>
      <m:oMath>
        <m:r>
          <m:t>m</m:t>
        </m:r>
        <m:r>
          <m:rPr>
            <m:sty m:val="p"/>
          </m:rPr>
          <m:t>=</m:t>
        </m:r>
        <m:r>
          <m:t>2</m:t>
        </m:r>
        <m:r>
          <m:rPr>
            <m:sty m:val="p"/>
          </m:rPr>
          <m:t>,</m:t>
        </m:r>
        <m:r>
          <m:rPr>
            <m:sty m:val="p"/>
          </m:rPr>
          <m:t>…</m:t>
        </m:r>
        <m:r>
          <m:rPr>
            <m:sty m:val="p"/>
          </m:rPr>
          <m:t>,</m:t>
        </m:r>
        <m:r>
          <m:t>8</m:t>
        </m:r>
      </m:oMath>
      <w:r>
        <w:t xml:space="preserve">, under both equal and unequal singleton/pair tolerances, giving 28 exact checks. These finite calculations verify the implementation; the universal claims follow from the proofs.</w:t>
      </w:r>
    </w:p>
    <w:bookmarkEnd w:id="40"/>
    <w:bookmarkStart w:id="44" w:name="Xf225d1dfdfed3aadae55a8cc3c9c29870112a64"/>
    <w:p>
      <w:pPr>
        <w:pStyle w:val="Heading2"/>
      </w:pPr>
      <w:r>
        <w:t xml:space="preserve">6.4. Sensitivity to calibration and tree structure</w:t>
      </w:r>
    </w:p>
    <w:p>
      <w:pPr>
        <w:pStyle w:val="FirstParagraph"/>
      </w:pPr>
      <w:r>
        <w:t xml:space="preserve">We retain the service costs and binary observation channels of Table 1 and compare four cost structures. The original is the routing tree in Section 6.1. A star has a common trunk of cost 2 and private edges of costs</w:t>
      </w:r>
      <w:r>
        <w:t xml:space="preserve"> </w:t>
      </w:r>
      <m:oMath>
        <m:d>
          <m:dPr>
            <m:begChr m:val="("/>
            <m:endChr m:val=")"/>
            <m:sepChr m:val=""/>
            <m:grow/>
          </m:dPr>
          <m:e>
            <m:r>
              <m:t>1</m:t>
            </m:r>
            <m:r>
              <m:rPr>
                <m:sty m:val="p"/>
              </m:rPr>
              <m:t>,</m:t>
            </m:r>
            <m:r>
              <m:t>1.6</m:t>
            </m:r>
            <m:r>
              <m:rPr>
                <m:sty m:val="p"/>
              </m:rPr>
              <m:t>,</m:t>
            </m:r>
            <m:r>
              <m:t>1.4</m:t>
            </m:r>
            <m:r>
              <m:rPr>
                <m:sty m:val="p"/>
              </m:rPr>
              <m:t>,</m:t>
            </m:r>
            <m:r>
              <m:t>1.8</m:t>
            </m:r>
            <m:r>
              <m:rPr>
                <m:sty m:val="p"/>
              </m:rPr>
              <m:t>,</m:t>
            </m:r>
            <m:r>
              <m:t>1.2</m:t>
            </m:r>
            <m:r>
              <m:rPr>
                <m:sty m:val="p"/>
              </m:rPr>
              <m:t>,</m:t>
            </m:r>
            <m:r>
              <m:t>2</m:t>
            </m:r>
          </m:e>
        </m:d>
      </m:oMath>
      <w:r>
        <w:t xml:space="preserve">. A balanced hierarchy has a common trunk of cost 1, three branches of costs</w:t>
      </w:r>
      <w:r>
        <w:t xml:space="preserve"> </w:t>
      </w:r>
      <m:oMath>
        <m:d>
          <m:dPr>
            <m:begChr m:val="("/>
            <m:endChr m:val=")"/>
            <m:sepChr m:val=""/>
            <m:grow/>
          </m:dPr>
          <m:e>
            <m:r>
              <m:t>0.8</m:t>
            </m:r>
            <m:r>
              <m:rPr>
                <m:sty m:val="p"/>
              </m:rPr>
              <m:t>,</m:t>
            </m:r>
            <m:r>
              <m:t>1.2</m:t>
            </m:r>
            <m:r>
              <m:rPr>
                <m:sty m:val="p"/>
              </m:rPr>
              <m:t>,</m:t>
            </m:r>
            <m:r>
              <m:t>0.9</m:t>
            </m:r>
          </m:e>
        </m:d>
      </m:oMath>
      <w:r>
        <w:t xml:space="preserve"> </w:t>
      </w:r>
      <w:r>
        <w:t xml:space="preserve">serving consecutive pairs of sources, and private edges of costs</w:t>
      </w:r>
      <w:r>
        <w:t xml:space="preserve"> </w:t>
      </w:r>
      <m:oMath>
        <m:d>
          <m:dPr>
            <m:begChr m:val="("/>
            <m:endChr m:val=")"/>
            <m:sepChr m:val=""/>
            <m:grow/>
          </m:dPr>
          <m:e>
            <m:r>
              <m:t>0.6</m:t>
            </m:r>
            <m:r>
              <m:rPr>
                <m:sty m:val="p"/>
              </m:rPr>
              <m:t>,</m:t>
            </m:r>
            <m:r>
              <m:t>0.9</m:t>
            </m:r>
            <m:r>
              <m:rPr>
                <m:sty m:val="p"/>
              </m:rPr>
              <m:t>,</m:t>
            </m:r>
            <m:r>
              <m:t>0.7</m:t>
            </m:r>
            <m:r>
              <m:rPr>
                <m:sty m:val="p"/>
              </m:rPr>
              <m:t>,</m:t>
            </m:r>
            <m:r>
              <m:t>0.8</m:t>
            </m:r>
            <m:r>
              <m:rPr>
                <m:sty m:val="p"/>
              </m:rPr>
              <m:t>,</m:t>
            </m:r>
            <m:r>
              <m:t>0.5</m:t>
            </m:r>
            <m:r>
              <m:rPr>
                <m:sty m:val="p"/>
              </m:rPr>
              <m:t>,</m:t>
            </m:r>
            <m:r>
              <m:t>1</m:t>
            </m:r>
          </m:e>
        </m:d>
      </m:oMath>
      <w:r>
        <w:t xml:space="preserve">. A chain places the six sources at successive vertices, with edge costs</w:t>
      </w:r>
      <w:r>
        <w:t xml:space="preserve"> </w:t>
      </w:r>
      <m:oMath>
        <m:d>
          <m:dPr>
            <m:begChr m:val="("/>
            <m:endChr m:val=")"/>
            <m:sepChr m:val=""/>
            <m:grow/>
          </m:dPr>
          <m:e>
            <m:r>
              <m:t>1.2</m:t>
            </m:r>
            <m:r>
              <m:rPr>
                <m:sty m:val="p"/>
              </m:rPr>
              <m:t>,</m:t>
            </m:r>
            <m:r>
              <m:t>0.8</m:t>
            </m:r>
            <m:r>
              <m:rPr>
                <m:sty m:val="p"/>
              </m:rPr>
              <m:t>,</m:t>
            </m:r>
            <m:r>
              <m:t>1</m:t>
            </m:r>
            <m:r>
              <m:rPr>
                <m:sty m:val="p"/>
              </m:rPr>
              <m:t>,</m:t>
            </m:r>
            <m:r>
              <m:t>0.7</m:t>
            </m:r>
            <m:r>
              <m:rPr>
                <m:sty m:val="p"/>
              </m:rPr>
              <m:t>,</m:t>
            </m:r>
            <m:r>
              <m:t>0.9</m:t>
            </m:r>
            <m:r>
              <m:rPr>
                <m:sty m:val="p"/>
              </m:rPr>
              <m:t>,</m:t>
            </m:r>
            <m:r>
              <m:t>1.1</m:t>
            </m:r>
          </m:e>
        </m:d>
      </m:oMath>
      <w:r>
        <w:t xml:space="preserve">. Service costs are added in every structure. These choices vary shared activation without changing the observation experiment.</w:t>
      </w:r>
    </w:p>
    <w:p>
      <w:pPr>
        <w:pStyle w:val="BodyText"/>
      </w:pPr>
      <w:r>
        <w:t xml:space="preserve">The call limits are two, four, and six queries. The four penalty weights are 0.005, 0.01, 0.02, and 0.04. Calibration tolerances are 0.01, 0.05, 0.2, and 0.5. For each combination we generate ten measurement perturbations from 201 equally spaced values in</w:t>
      </w:r>
      <w:r>
        <w:t xml:space="preserve"> </w:t>
      </w:r>
      <m:oMath>
        <m:d>
          <m:dPr>
            <m:begChr m:val="["/>
            <m:endChr m:val="]"/>
            <m:sepChr m:val=""/>
            <m:grow/>
          </m:dPr>
          <m:e>
            <m:r>
              <m:rPr>
                <m:sty m:val="p"/>
              </m:rPr>
              <m:t>−</m:t>
            </m:r>
            <m:r>
              <m:t>ε</m:t>
            </m:r>
            <m:r>
              <m:rPr>
                <m:sty m:val="p"/>
              </m:rPr>
              <m:t>,</m:t>
            </m:r>
            <m:r>
              <m:t>ε</m:t>
            </m:r>
          </m:e>
        </m:d>
      </m:oMath>
      <w:r>
        <w:t xml:space="preserve">, using the same generator with seed 20260913. Thus there are</w:t>
      </w:r>
      <w:r>
        <w:t xml:space="preserve"> </w:t>
      </w:r>
      <m:oMath>
        <m:r>
          <m:t>4</m:t>
        </m:r>
        <m:r>
          <m:rPr>
            <m:sty m:val="p"/>
          </m:rPr>
          <m:t>×</m:t>
        </m:r>
        <m:r>
          <m:t>3</m:t>
        </m:r>
        <m:r>
          <m:rPr>
            <m:sty m:val="p"/>
          </m:rPr>
          <m:t>×</m:t>
        </m:r>
        <m:r>
          <m:t>4</m:t>
        </m:r>
        <m:r>
          <m:rPr>
            <m:sty m:val="p"/>
          </m:rPr>
          <m:t>×</m:t>
        </m:r>
        <m:r>
          <m:t>4</m:t>
        </m:r>
        <m:r>
          <m:rPr>
            <m:sty m:val="p"/>
          </m:rPr>
          <m:t>×</m:t>
        </m:r>
        <m:r>
          <m:t>10</m:t>
        </m:r>
        <m:r>
          <m:rPr>
            <m:sty m:val="p"/>
          </m:rPr>
          <m:t>=</m:t>
        </m:r>
        <m:r>
          <m:t>1</m:t>
        </m:r>
        <m:r>
          <m:rPr>
            <m:sty m:val="p"/>
          </m:rPr>
          <m:t>,</m:t>
        </m:r>
        <m:r>
          <m:t>920</m:t>
        </m:r>
      </m:oMath>
      <w:r>
        <w:t xml:space="preserve"> </w:t>
      </w:r>
      <w:r>
        <w:t xml:space="preserve">cases. These are finite pseudorandom sensitivity cases, not independent experimental samples from a factory population. The supplied code and per-case CSV specify the generation order and all results.</w:t>
      </w:r>
    </w:p>
    <w:p>
      <w:pPr>
        <w:pStyle w:val="BodyText"/>
      </w:pPr>
      <w:r>
        <w:t xml:space="preserve">For each case, complete enumeration of partial observation assignments computes optimal policies under</w:t>
      </w:r>
      <w:r>
        <w:t xml:space="preserve"> </w:t>
      </w:r>
      <m:oMath>
        <m:r>
          <m:t>F</m:t>
        </m:r>
        <m:r>
          <m:rPr>
            <m:sty m:val="p"/>
          </m:rPr>
          <m:t>,</m:t>
        </m:r>
        <m:r>
          <m:t>H</m:t>
        </m:r>
        <m:r>
          <m:rPr>
            <m:sty m:val="p"/>
          </m:rPr>
          <m:t>,</m:t>
        </m:r>
        <m:acc>
          <m:accPr>
            <m:chr m:val="̂"/>
          </m:accPr>
          <m:e>
            <m:r>
              <m:t>F</m:t>
            </m:r>
          </m:e>
        </m:acc>
        <m:r>
          <m:rPr>
            <m:sty m:val="p"/>
          </m:rPr>
          <m:t>,</m:t>
        </m:r>
        <m:r>
          <m:t>L</m:t>
        </m:r>
        <m:r>
          <m:rPr>
            <m:sty m:val="p"/>
          </m:rPr>
          <m:t>,</m:t>
        </m:r>
        <m:r>
          <m:t>U</m:t>
        </m:r>
      </m:oMath>
      <w:r>
        <w:t xml:space="preserve">. Each recovered-cost policy is then evaluated under the true cost</w:t>
      </w:r>
      <w:r>
        <w:t xml:space="preserve"> </w:t>
      </w:r>
      <m:oMath>
        <m:r>
          <m:t>F</m:t>
        </m:r>
      </m:oMath>
      <w:r>
        <w:t xml:space="preserve">. These calculations use double precision, with</w:t>
      </w:r>
      <w:r>
        <w:t xml:space="preserve"> </w:t>
      </w:r>
      <m:oMath>
        <m:sSup>
          <m:e>
            <m:r>
              <m:t>10</m:t>
            </m:r>
          </m:e>
          <m:sup>
            <m:r>
              <m:rPr>
                <m:sty m:val="p"/>
              </m:rPr>
              <m:t>−</m:t>
            </m:r>
            <m:r>
              <m:t>10</m:t>
            </m:r>
          </m:sup>
        </m:sSup>
      </m:oMath>
      <w:r>
        <w:t xml:space="preserve"> </w:t>
      </w:r>
      <w:r>
        <w:t xml:space="preserve">tolerance for bound checks; they do not simulate observation trajectories. The direct-policy regret is</w:t>
      </w:r>
      <w:r>
        <w:t xml:space="preserve"> </w:t>
      </w:r>
      <m:oMath>
        <m:sSub>
          <m:e>
            <m:r>
              <m:t>J</m:t>
            </m:r>
          </m:e>
          <m:sub>
            <m:r>
              <m:t>F</m:t>
            </m:r>
          </m:sub>
        </m:sSub>
        <m:d>
          <m:dPr>
            <m:begChr m:val="("/>
            <m:endChr m:val=")"/>
            <m:sepChr m:val=""/>
            <m:grow/>
          </m:dPr>
          <m:e>
            <m:sSub>
              <m:e>
                <m:r>
                  <m:t>π</m:t>
                </m:r>
              </m:e>
              <m:sub>
                <m:r>
                  <m:t>H</m:t>
                </m:r>
              </m:sub>
            </m:sSub>
          </m:e>
        </m:d>
        <m:r>
          <m:rPr>
            <m:sty m:val="p"/>
          </m:rPr>
          <m:t>−</m:t>
        </m:r>
        <m:sSub>
          <m:e>
            <m:r>
              <m:t>V</m:t>
            </m:r>
          </m:e>
          <m:sub>
            <m:r>
              <m:t>F</m:t>
            </m:r>
          </m:sub>
        </m:sSub>
      </m:oMath>
      <w:r>
        <w:t xml:space="preserve">, and the upper-cost policy has certificate</w:t>
      </w:r>
      <w:r>
        <w:t xml:space="preserve"> </w:t>
      </w:r>
      <m:oMath>
        <m:sSub>
          <m:e>
            <m:r>
              <m:t>V</m:t>
            </m:r>
          </m:e>
          <m:sub>
            <m:r>
              <m:t>U</m:t>
            </m:r>
          </m:sub>
        </m:sSub>
        <m:r>
          <m:rPr>
            <m:sty m:val="p"/>
          </m:rPr>
          <m:t>−</m:t>
        </m:r>
        <m:sSub>
          <m:e>
            <m:r>
              <m:t>V</m:t>
            </m:r>
          </m:e>
          <m:sub>
            <m:r>
              <m:t>L</m:t>
            </m:r>
          </m:sub>
        </m:sSub>
      </m:oMath>
      <w:r>
        <w:t xml:space="preserve">. Initial-action certificates use a strict numerical separation exceeding</w:t>
      </w:r>
      <w:r>
        <w:t xml:space="preserve"> </w:t>
      </w:r>
      <m:oMath>
        <m:sSup>
          <m:e>
            <m:r>
              <m:t>10</m:t>
            </m:r>
          </m:e>
          <m:sup>
            <m:r>
              <m:rPr>
                <m:sty m:val="p"/>
              </m:rPr>
              <m:t>−</m:t>
            </m:r>
            <m:r>
              <m:t>12</m:t>
            </m:r>
          </m:sup>
        </m:sSup>
      </m:oMath>
      <w:r>
        <w:t xml:space="preserve">.</w:t>
      </w:r>
    </w:p>
    <w:p>
      <w:pPr>
        <w:pStyle w:val="BodyText"/>
        <w:keepNext/>
      </w:pPr>
      <w:r>
        <w:rPr>
          <w:bCs/>
          <w:b/>
        </w:rPr>
        <w:t xml:space="preserve">Table 3. Calibration sensitivity, aggregated over 480 cases per row.</w:t>
      </w:r>
    </w:p>
    <w:tbl>
      <w:tblPr>
        <w:tblStyle w:val="Table"/>
        <w:tblW w:type="pct" w:w="5000"/>
        <w:tblLayout w:type="fixed"/>
        <w:tblLook w:firstRow="1" w:lastRow="0" w:firstColumn="0" w:lastColumn="0" w:noHBand="0" w:noVBand="0" w:val="0020"/>
        <w:jc w:val="start"/>
        <w:tblBorders>
          <w:top w:val="single" w:sz="4" w:color="B8BDC5"/>
          <w:left w:val="single" w:sz="4" w:color="B8BDC5"/>
          <w:bottom w:val="single" w:sz="4" w:color="B8BDC5"/>
          <w:right w:val="single" w:sz="4" w:color="B8BDC5"/>
          <w:insideH w:val="single" w:sz="4" w:color="B8BDC5"/>
          <w:insideV w:val="single" w:sz="4" w:color="B8BDC5"/>
        </w:tblBorders>
      </w:tblPr>
      <w:tblGrid>
        <w:gridCol w:w="1921"/>
        <w:gridCol w:w="1921"/>
        <w:gridCol w:w="1921"/>
        <w:gridCol w:w="1921"/>
        <w:gridCol w:w="1921"/>
      </w:tblGrid>
      <w:tr>
        <w:trPr>
          <w:tblHeader w:val="true"/>
          <w:cantSplit/>
          <w:tblHeader/>
        </w:trPr>
        <w:tc>
          <w:tcPr>
            <w:tcW w:type="dxa" w:w="1921"/>
            <w:shd w:fill="EDEFF2"/>
          </w:tcPr>
          <w:p>
            <w:pPr>
              <w:pStyle w:val="Compact"/>
              <w:keepNext/>
              <w:spacing w:before="40" w:after="40" w:line="240" w:lineRule="auto"/>
              <w:jc w:val="right"/>
            </w:pPr>
            <m:oMath>
              <m:r>
                <m:t>ε</m:t>
              </m:r>
            </m:oMath>
          </w:p>
        </w:tc>
        <w:tc>
          <w:tcPr>
            <w:tcW w:type="dxa" w:w="1921"/>
            <w:shd w:fill="EDEFF2"/>
          </w:tcPr>
          <w:p>
            <w:pPr>
              <w:pStyle w:val="Compact"/>
              <w:keepNext/>
              <w:spacing w:before="40" w:after="40" w:line="240" w:lineRule="auto"/>
              <w:jc w:val="right"/>
            </w:pPr>
            <w:r>
              <w:rPr>
                <w:rFonts w:ascii="Calibri" w:hAnsi="Calibri"/>
                <w:b/>
                <w:sz w:val="18"/>
              </w:rPr>
              <w:t xml:space="preserve">Mean direct regret</w:t>
            </w:r>
          </w:p>
        </w:tc>
        <w:tc>
          <w:tcPr>
            <w:tcW w:type="dxa" w:w="1921"/>
            <w:shd w:fill="EDEFF2"/>
          </w:tcPr>
          <w:p>
            <w:pPr>
              <w:pStyle w:val="Compact"/>
              <w:keepNext/>
              <w:spacing w:before="40" w:after="40" w:line="240" w:lineRule="auto"/>
              <w:jc w:val="right"/>
            </w:pPr>
            <w:r>
              <w:rPr>
                <w:rFonts w:ascii="Calibri" w:hAnsi="Calibri"/>
                <w:b/>
                <w:sz w:val="18"/>
              </w:rPr>
              <w:t xml:space="preserve">Max. direct regret</w:t>
            </w:r>
          </w:p>
        </w:tc>
        <w:tc>
          <w:tcPr>
            <w:tcW w:type="dxa" w:w="1921"/>
            <w:shd w:fill="EDEFF2"/>
          </w:tcPr>
          <w:p>
            <w:pPr>
              <w:pStyle w:val="Compact"/>
              <w:keepNext/>
              <w:spacing w:before="40" w:after="40" w:line="240" w:lineRule="auto"/>
              <w:jc w:val="right"/>
            </w:pPr>
            <w:r>
              <w:rPr>
                <w:rFonts w:ascii="Calibri" w:hAnsi="Calibri"/>
                <w:b/>
                <w:sz w:val="18"/>
              </w:rPr>
              <w:t xml:space="preserve">Mean</w:t>
            </w:r>
            <w:r>
              <w:rPr>
                <w:rFonts w:ascii="Calibri" w:hAnsi="Calibri"/>
                <w:b/>
                <w:sz w:val="18"/>
              </w:rPr>
              <w:t xml:space="preserve"> </w:t>
            </w:r>
            <m:oMath>
              <m:sSub>
                <m:e>
                  <m:r>
                    <m:t>V</m:t>
                  </m:r>
                </m:e>
                <m:sub>
                  <m:r>
                    <m:t>U</m:t>
                  </m:r>
                </m:sub>
              </m:sSub>
              <m:r>
                <m:rPr>
                  <m:sty m:val="p"/>
                </m:rPr>
                <m:t>−</m:t>
              </m:r>
              <m:sSub>
                <m:e>
                  <m:r>
                    <m:t>V</m:t>
                  </m:r>
                </m:e>
                <m:sub>
                  <m:r>
                    <m:t>L</m:t>
                  </m:r>
                </m:sub>
              </m:sSub>
            </m:oMath>
          </w:p>
        </w:tc>
        <w:tc>
          <w:tcPr>
            <w:tcW w:type="dxa" w:w="1921"/>
            <w:shd w:fill="EDEFF2"/>
          </w:tcPr>
          <w:p>
            <w:pPr>
              <w:pStyle w:val="Compact"/>
              <w:keepNext/>
              <w:spacing w:before="40" w:after="40" w:line="240" w:lineRule="auto"/>
              <w:jc w:val="right"/>
            </w:pPr>
            <w:r>
              <w:rPr>
                <w:rFonts w:ascii="Calibri" w:hAnsi="Calibri"/>
                <w:b/>
                <w:sz w:val="18"/>
              </w:rPr>
              <w:t xml:space="preserve">First actions certified</w:t>
            </w:r>
          </w:p>
        </w:tc>
      </w:tr>
      <w:tr>
        <w:trPr>
          <w:cantSplit/>
        </w:trPr>
        <w:tc>
          <w:tcPr>
            <w:tcW w:type="dxa" w:w="1921"/>
          </w:tcPr>
          <w:p>
            <w:pPr>
              <w:pStyle w:val="Compact"/>
              <w:keepNext/>
              <w:spacing w:before="40" w:after="40" w:line="240" w:lineRule="auto"/>
              <w:jc w:val="right"/>
            </w:pPr>
            <w:r>
              <w:rPr>
                <w:rFonts w:ascii="Calibri" w:hAnsi="Calibri"/>
                <w:sz w:val="18"/>
              </w:rPr>
              <w:t xml:space="preserve">0.01</w:t>
            </w:r>
          </w:p>
        </w:tc>
        <w:tc>
          <w:tcPr>
            <w:tcW w:type="dxa" w:w="1921"/>
          </w:tcPr>
          <w:p>
            <w:pPr>
              <w:pStyle w:val="Compact"/>
              <w:keepNext/>
              <w:spacing w:before="40" w:after="40" w:line="240" w:lineRule="auto"/>
              <w:jc w:val="right"/>
            </w:pPr>
            <w:r>
              <w:rPr>
                <w:rFonts w:ascii="Calibri" w:hAnsi="Calibri"/>
                <w:sz w:val="18"/>
              </w:rPr>
              <w:t xml:space="preserve">8.32e-07</w:t>
            </w:r>
          </w:p>
        </w:tc>
        <w:tc>
          <w:tcPr>
            <w:tcW w:type="dxa" w:w="1921"/>
          </w:tcPr>
          <w:p>
            <w:pPr>
              <w:pStyle w:val="Compact"/>
              <w:keepNext/>
              <w:spacing w:before="40" w:after="40" w:line="240" w:lineRule="auto"/>
              <w:jc w:val="right"/>
            </w:pPr>
            <w:r>
              <w:rPr>
                <w:rFonts w:ascii="Calibri" w:hAnsi="Calibri"/>
                <w:sz w:val="18"/>
              </w:rPr>
              <w:t xml:space="preserve">8.44e-05</w:t>
            </w:r>
          </w:p>
        </w:tc>
        <w:tc>
          <w:tcPr>
            <w:tcW w:type="dxa" w:w="1921"/>
          </w:tcPr>
          <w:p>
            <w:pPr>
              <w:pStyle w:val="Compact"/>
              <w:keepNext/>
              <w:spacing w:before="40" w:after="40" w:line="240" w:lineRule="auto"/>
              <w:jc w:val="right"/>
            </w:pPr>
            <w:r>
              <w:rPr>
                <w:rFonts w:ascii="Calibri" w:hAnsi="Calibri"/>
                <w:sz w:val="18"/>
              </w:rPr>
              <w:t xml:space="preserve">0.000494</w:t>
            </w:r>
          </w:p>
        </w:tc>
        <w:tc>
          <w:tcPr>
            <w:tcW w:type="dxa" w:w="1921"/>
          </w:tcPr>
          <w:p>
            <w:pPr>
              <w:pStyle w:val="Compact"/>
              <w:keepNext/>
              <w:spacing w:before="40" w:after="40" w:line="240" w:lineRule="auto"/>
              <w:jc w:val="right"/>
            </w:pPr>
            <w:r>
              <w:rPr>
                <w:rFonts w:ascii="Calibri" w:hAnsi="Calibri"/>
                <w:sz w:val="18"/>
              </w:rPr>
              <w:t xml:space="preserve">58.3%</w:t>
            </w:r>
          </w:p>
        </w:tc>
      </w:tr>
      <w:tr>
        <w:trPr>
          <w:cantSplit/>
        </w:trPr>
        <w:tc>
          <w:tcPr>
            <w:tcW w:type="dxa" w:w="1921"/>
          </w:tcPr>
          <w:p>
            <w:pPr>
              <w:pStyle w:val="Compact"/>
              <w:keepNext/>
              <w:spacing w:before="40" w:after="40" w:line="240" w:lineRule="auto"/>
              <w:jc w:val="right"/>
            </w:pPr>
            <w:r>
              <w:rPr>
                <w:rFonts w:ascii="Calibri" w:hAnsi="Calibri"/>
                <w:sz w:val="18"/>
              </w:rPr>
              <w:t xml:space="preserve">0.05</w:t>
            </w:r>
          </w:p>
        </w:tc>
        <w:tc>
          <w:tcPr>
            <w:tcW w:type="dxa" w:w="1921"/>
          </w:tcPr>
          <w:p>
            <w:pPr>
              <w:pStyle w:val="Compact"/>
              <w:keepNext/>
              <w:spacing w:before="40" w:after="40" w:line="240" w:lineRule="auto"/>
              <w:jc w:val="right"/>
            </w:pPr>
            <w:r>
              <w:rPr>
                <w:rFonts w:ascii="Calibri" w:hAnsi="Calibri"/>
                <w:sz w:val="18"/>
              </w:rPr>
              <w:t xml:space="preserve">1.02e-05</w:t>
            </w:r>
          </w:p>
        </w:tc>
        <w:tc>
          <w:tcPr>
            <w:tcW w:type="dxa" w:w="1921"/>
          </w:tcPr>
          <w:p>
            <w:pPr>
              <w:pStyle w:val="Compact"/>
              <w:keepNext/>
              <w:spacing w:before="40" w:after="40" w:line="240" w:lineRule="auto"/>
              <w:jc w:val="right"/>
            </w:pPr>
            <w:r>
              <w:rPr>
                <w:rFonts w:ascii="Calibri" w:hAnsi="Calibri"/>
                <w:sz w:val="18"/>
              </w:rPr>
              <w:t xml:space="preserve">0.0014</w:t>
            </w:r>
          </w:p>
        </w:tc>
        <w:tc>
          <w:tcPr>
            <w:tcW w:type="dxa" w:w="1921"/>
          </w:tcPr>
          <w:p>
            <w:pPr>
              <w:pStyle w:val="Compact"/>
              <w:keepNext/>
              <w:spacing w:before="40" w:after="40" w:line="240" w:lineRule="auto"/>
              <w:jc w:val="right"/>
            </w:pPr>
            <w:r>
              <w:rPr>
                <w:rFonts w:ascii="Calibri" w:hAnsi="Calibri"/>
                <w:sz w:val="18"/>
              </w:rPr>
              <w:t xml:space="preserve">0.00248</w:t>
            </w:r>
          </w:p>
        </w:tc>
        <w:tc>
          <w:tcPr>
            <w:tcW w:type="dxa" w:w="1921"/>
          </w:tcPr>
          <w:p>
            <w:pPr>
              <w:pStyle w:val="Compact"/>
              <w:keepNext/>
              <w:spacing w:before="40" w:after="40" w:line="240" w:lineRule="auto"/>
              <w:jc w:val="right"/>
            </w:pPr>
            <w:r>
              <w:rPr>
                <w:rFonts w:ascii="Calibri" w:hAnsi="Calibri"/>
                <w:sz w:val="18"/>
              </w:rPr>
              <w:t xml:space="preserve">57.7%</w:t>
            </w:r>
          </w:p>
        </w:tc>
      </w:tr>
      <w:tr>
        <w:trPr>
          <w:cantSplit/>
        </w:trPr>
        <w:tc>
          <w:tcPr>
            <w:tcW w:type="dxa" w:w="1921"/>
          </w:tcPr>
          <w:p>
            <w:pPr>
              <w:pStyle w:val="Compact"/>
              <w:keepNext/>
              <w:spacing w:before="40" w:after="40" w:line="240" w:lineRule="auto"/>
              <w:jc w:val="right"/>
            </w:pPr>
            <w:r>
              <w:rPr>
                <w:rFonts w:ascii="Calibri" w:hAnsi="Calibri"/>
                <w:sz w:val="18"/>
              </w:rPr>
              <w:t xml:space="preserve">0.2</w:t>
            </w:r>
          </w:p>
        </w:tc>
        <w:tc>
          <w:tcPr>
            <w:tcW w:type="dxa" w:w="1921"/>
          </w:tcPr>
          <w:p>
            <w:pPr>
              <w:pStyle w:val="Compact"/>
              <w:keepNext/>
              <w:spacing w:before="40" w:after="40" w:line="240" w:lineRule="auto"/>
              <w:jc w:val="right"/>
            </w:pPr>
            <w:r>
              <w:rPr>
                <w:rFonts w:ascii="Calibri" w:hAnsi="Calibri"/>
                <w:sz w:val="18"/>
              </w:rPr>
              <w:t xml:space="preserve">0.00013</w:t>
            </w:r>
          </w:p>
        </w:tc>
        <w:tc>
          <w:tcPr>
            <w:tcW w:type="dxa" w:w="1921"/>
          </w:tcPr>
          <w:p>
            <w:pPr>
              <w:pStyle w:val="Compact"/>
              <w:keepNext/>
              <w:spacing w:before="40" w:after="40" w:line="240" w:lineRule="auto"/>
              <w:jc w:val="right"/>
            </w:pPr>
            <w:r>
              <w:rPr>
                <w:rFonts w:ascii="Calibri" w:hAnsi="Calibri"/>
                <w:sz w:val="18"/>
              </w:rPr>
              <w:t xml:space="preserve">0.00781</w:t>
            </w:r>
          </w:p>
        </w:tc>
        <w:tc>
          <w:tcPr>
            <w:tcW w:type="dxa" w:w="1921"/>
          </w:tcPr>
          <w:p>
            <w:pPr>
              <w:pStyle w:val="Compact"/>
              <w:keepNext/>
              <w:spacing w:before="40" w:after="40" w:line="240" w:lineRule="auto"/>
              <w:jc w:val="right"/>
            </w:pPr>
            <w:r>
              <w:rPr>
                <w:rFonts w:ascii="Calibri" w:hAnsi="Calibri"/>
                <w:sz w:val="18"/>
              </w:rPr>
              <w:t xml:space="preserve">0.00993</w:t>
            </w:r>
          </w:p>
        </w:tc>
        <w:tc>
          <w:tcPr>
            <w:tcW w:type="dxa" w:w="1921"/>
          </w:tcPr>
          <w:p>
            <w:pPr>
              <w:pStyle w:val="Compact"/>
              <w:keepNext/>
              <w:spacing w:before="40" w:after="40" w:line="240" w:lineRule="auto"/>
              <w:jc w:val="right"/>
            </w:pPr>
            <w:r>
              <w:rPr>
                <w:rFonts w:ascii="Calibri" w:hAnsi="Calibri"/>
                <w:sz w:val="18"/>
              </w:rPr>
              <w:t xml:space="preserve">47.7%</w:t>
            </w:r>
          </w:p>
        </w:tc>
      </w:tr>
      <w:tr>
        <w:trPr>
          <w:cantSplit/>
        </w:trPr>
        <w:tc>
          <w:tcPr>
            <w:tcW w:type="dxa" w:w="1921"/>
          </w:tcPr>
          <w:p>
            <w:pPr>
              <w:pStyle w:val="Compact"/>
              <w:keepNext w:val="0"/>
              <w:spacing w:before="40" w:after="40" w:line="240" w:lineRule="auto"/>
              <w:jc w:val="right"/>
            </w:pPr>
            <w:r>
              <w:rPr>
                <w:rFonts w:ascii="Calibri" w:hAnsi="Calibri"/>
                <w:sz w:val="18"/>
              </w:rPr>
              <w:t xml:space="preserve">0.5</w:t>
            </w:r>
          </w:p>
        </w:tc>
        <w:tc>
          <w:tcPr>
            <w:tcW w:type="dxa" w:w="1921"/>
          </w:tcPr>
          <w:p>
            <w:pPr>
              <w:pStyle w:val="Compact"/>
              <w:keepNext w:val="0"/>
              <w:spacing w:before="40" w:after="40" w:line="240" w:lineRule="auto"/>
              <w:jc w:val="right"/>
            </w:pPr>
            <w:r>
              <w:rPr>
                <w:rFonts w:ascii="Calibri" w:hAnsi="Calibri"/>
                <w:sz w:val="18"/>
              </w:rPr>
              <w:t xml:space="preserve">0.000961</w:t>
            </w:r>
          </w:p>
        </w:tc>
        <w:tc>
          <w:tcPr>
            <w:tcW w:type="dxa" w:w="1921"/>
          </w:tcPr>
          <w:p>
            <w:pPr>
              <w:pStyle w:val="Compact"/>
              <w:keepNext w:val="0"/>
              <w:spacing w:before="40" w:after="40" w:line="240" w:lineRule="auto"/>
              <w:jc w:val="right"/>
            </w:pPr>
            <w:r>
              <w:rPr>
                <w:rFonts w:ascii="Calibri" w:hAnsi="Calibri"/>
                <w:sz w:val="18"/>
              </w:rPr>
              <w:t xml:space="preserve">0.0241</w:t>
            </w:r>
          </w:p>
        </w:tc>
        <w:tc>
          <w:tcPr>
            <w:tcW w:type="dxa" w:w="1921"/>
          </w:tcPr>
          <w:p>
            <w:pPr>
              <w:pStyle w:val="Compact"/>
              <w:keepNext w:val="0"/>
              <w:spacing w:before="40" w:after="40" w:line="240" w:lineRule="auto"/>
              <w:jc w:val="right"/>
            </w:pPr>
            <w:r>
              <w:rPr>
                <w:rFonts w:ascii="Calibri" w:hAnsi="Calibri"/>
                <w:sz w:val="18"/>
              </w:rPr>
              <w:t xml:space="preserve">0.0242</w:t>
            </w:r>
          </w:p>
        </w:tc>
        <w:tc>
          <w:tcPr>
            <w:tcW w:type="dxa" w:w="1921"/>
          </w:tcPr>
          <w:p>
            <w:pPr>
              <w:pStyle w:val="Compact"/>
              <w:keepNext w:val="0"/>
              <w:spacing w:before="40" w:after="40" w:line="240" w:lineRule="auto"/>
              <w:jc w:val="right"/>
            </w:pPr>
            <w:r>
              <w:rPr>
                <w:rFonts w:ascii="Calibri" w:hAnsi="Calibri"/>
                <w:sz w:val="18"/>
              </w:rPr>
              <w:t xml:space="preserve">21.9%</w:t>
            </w:r>
          </w:p>
        </w:tc>
      </w:tr>
    </w:tbl>
    <w:p>
      <w:pPr>
        <w:pStyle w:val="BodyText"/>
      </w:pPr>
      <w:r>
        <w:t xml:space="preserve">All checked value, policy, repair, and interval bounds hold. Direct-policy regret exceeds</w:t>
      </w:r>
      <w:r>
        <w:t xml:space="preserve"> </w:t>
      </w:r>
      <m:oMath>
        <m:sSup>
          <m:e>
            <m:r>
              <m:t>10</m:t>
            </m:r>
          </m:e>
          <m:sup>
            <m:r>
              <m:rPr>
                <m:sty m:val="p"/>
              </m:rPr>
              <m:t>−</m:t>
            </m:r>
            <m:r>
              <m:t>10</m:t>
            </m:r>
          </m:sup>
        </m:sSup>
      </m:oMath>
      <w:r>
        <w:t xml:space="preserve"> </w:t>
      </w:r>
      <w:r>
        <w:t xml:space="preserve">in 328 cases. The initial-action criterion certifies 891 of the 1,920 cases, and each certified action agrees with the true-cost optimum. Certification becomes less frequent as the tolerance increases. The certificate column concerns</w:t>
      </w:r>
      <w:r>
        <w:t xml:space="preserve"> </w:t>
      </w:r>
      <m:oMath>
        <m:sSub>
          <m:e>
            <m:r>
              <m:t>π</m:t>
            </m:r>
          </m:e>
          <m:sub>
            <m:r>
              <m:t>U</m:t>
            </m:r>
          </m:sub>
        </m:sSub>
      </m:oMath>
      <w:r>
        <w:t xml:space="preserve">, whereas the first two regret columns concern</w:t>
      </w:r>
      <w:r>
        <w:t xml:space="preserve"> </w:t>
      </w:r>
      <m:oMath>
        <m:sSub>
          <m:e>
            <m:r>
              <m:t>π</m:t>
            </m:r>
          </m:e>
          <m:sub>
            <m:r>
              <m:t>H</m:t>
            </m:r>
          </m:sub>
        </m:sSub>
      </m:oMath>
      <w:r>
        <w:t xml:space="preserve">; it is not a bound on</w:t>
      </w:r>
      <w:r>
        <w:t xml:space="preserve"> </w:t>
      </w:r>
      <m:oMath>
        <m:sSub>
          <m:e>
            <m:r>
              <m:t>π</m:t>
            </m:r>
          </m:e>
          <m:sub>
            <m:r>
              <m:t>H</m:t>
            </m:r>
          </m:sub>
        </m:sSub>
      </m:oMath>
      <w:r>
        <w:t xml:space="preserve"> </w:t>
      </w:r>
      <w:r>
        <w:t xml:space="preserve">in a particular instance.</w:t>
      </w:r>
    </w:p>
    <w:p>
      <w:pPr>
        <w:pStyle w:val="CaptionedFigure"/>
      </w:pPr>
      <w:r>
        <w:drawing>
          <wp:inline>
            <wp:extent cx="4594974" cy="2389386"/>
            <wp:effectExtent b="0" l="0" r="0" t="0"/>
            <wp:docPr descr="Mean excess objectives and bounds over 480 cases at each tolerance. The direct-policy uniform bound is 2\lambda\beta_B\varepsilon; the upper-policy certificate is V_U-V_L. Lines summarize this synthetic grid only." title="" id="42" name="Picture"/>
            <a:graphic>
              <a:graphicData uri="http://schemas.openxmlformats.org/drawingml/2006/picture">
                <pic:pic>
                  <pic:nvPicPr>
                    <pic:cNvPr descr="figures/noise_stability.png" id="43" name="Picture"/>
                    <pic:cNvPicPr>
                      <a:picLocks noChangeArrowheads="1" noChangeAspect="1"/>
                    </pic:cNvPicPr>
                  </pic:nvPicPr>
                  <pic:blipFill>
                    <a:blip r:embed="rId41"/>
                    <a:stretch>
                      <a:fillRect/>
                    </a:stretch>
                  </pic:blipFill>
                  <pic:spPr bwMode="auto">
                    <a:xfrm>
                      <a:off x="0" y="0"/>
                      <a:ext cx="4594974" cy="2389386"/>
                    </a:xfrm>
                    <a:prstGeom prst="rect">
                      <a:avLst/>
                    </a:prstGeom>
                    <a:noFill/>
                    <a:ln w="9525">
                      <a:noFill/>
                      <a:headEnd/>
                      <a:tailEnd/>
                    </a:ln>
                  </pic:spPr>
                </pic:pic>
              </a:graphicData>
            </a:graphic>
          </wp:inline>
        </w:drawing>
      </w:r>
    </w:p>
    <w:p>
      <w:pPr>
        <w:pStyle w:val="ImageCaption"/>
      </w:pPr>
      <w:r>
        <w:t xml:space="preserve">Mean excess objectives and bounds over 480 cases at each tolerance. The direct-policy uniform bound is</w:t>
      </w:r>
      <w:r>
        <w:t xml:space="preserve"> </w:t>
      </w:r>
      <m:oMath>
        <m:r>
          <m:t>2</m:t>
        </m:r>
        <m:r>
          <m:t>λ</m:t>
        </m:r>
        <m:sSub>
          <m:e>
            <m:r>
              <m:t>β</m:t>
            </m:r>
          </m:e>
          <m:sub>
            <m:r>
              <m:t>B</m:t>
            </m:r>
          </m:sub>
        </m:sSub>
        <m:r>
          <m:t>ε</m:t>
        </m:r>
      </m:oMath>
      <w:r>
        <w:t xml:space="preserve">; the upper-policy certificate is</w:t>
      </w:r>
      <w:r>
        <w:t xml:space="preserve"> </w:t>
      </w:r>
      <m:oMath>
        <m:sSub>
          <m:e>
            <m:r>
              <m:t>V</m:t>
            </m:r>
          </m:e>
          <m:sub>
            <m:r>
              <m:t>U</m:t>
            </m:r>
          </m:sub>
        </m:sSub>
        <m:r>
          <m:rPr>
            <m:sty m:val="p"/>
          </m:rPr>
          <m:t>−</m:t>
        </m:r>
        <m:sSub>
          <m:e>
            <m:r>
              <m:t>V</m:t>
            </m:r>
          </m:e>
          <m:sub>
            <m:r>
              <m:t>L</m:t>
            </m:r>
          </m:sub>
        </m:sSub>
      </m:oMath>
      <w:r>
        <w:t xml:space="preserve">. Lines summarize this synthetic grid only.</w:t>
      </w:r>
    </w:p>
    <w:p>
      <w:pPr>
        <w:pStyle w:val="BodyText"/>
      </w:pPr>
      <w:r>
        <w:t xml:space="preserve">The feasible repair and the upper-cost policy do not uniformly dominate the direct estimate. Their mean regrets at</w:t>
      </w:r>
      <w:r>
        <w:t xml:space="preserve"> </w:t>
      </w:r>
      <m:oMath>
        <m:r>
          <m:t>ε</m:t>
        </m:r>
        <m:r>
          <m:rPr>
            <m:sty m:val="p"/>
          </m:rPr>
          <m:t>=</m:t>
        </m:r>
        <m:r>
          <m:t>0.2</m:t>
        </m:r>
      </m:oMath>
      <w:r>
        <w:t xml:space="preserve"> </w:t>
      </w:r>
      <w:r>
        <w:t xml:space="preserve">are approximately</w:t>
      </w:r>
      <w:r>
        <w:t xml:space="preserve"> </w:t>
      </w:r>
      <m:oMath>
        <m:r>
          <m:t>1.02</m:t>
        </m:r>
        <m:r>
          <m:rPr>
            <m:sty m:val="p"/>
          </m:rPr>
          <m:t>×</m:t>
        </m:r>
        <m:sSup>
          <m:e>
            <m:r>
              <m:t>10</m:t>
            </m:r>
          </m:e>
          <m:sup>
            <m:r>
              <m:rPr>
                <m:sty m:val="p"/>
              </m:rPr>
              <m:t>−</m:t>
            </m:r>
            <m:r>
              <m:t>4</m:t>
            </m:r>
          </m:sup>
        </m:sSup>
      </m:oMath>
      <w:r>
        <w:t xml:space="preserve"> </w:t>
      </w:r>
      <w:r>
        <w:t xml:space="preserve">and</w:t>
      </w:r>
      <w:r>
        <w:t xml:space="preserve"> </w:t>
      </w:r>
      <m:oMath>
        <m:r>
          <m:t>3.02</m:t>
        </m:r>
        <m:r>
          <m:rPr>
            <m:sty m:val="p"/>
          </m:rPr>
          <m:t>×</m:t>
        </m:r>
        <m:sSup>
          <m:e>
            <m:r>
              <m:t>10</m:t>
            </m:r>
          </m:e>
          <m:sup>
            <m:r>
              <m:rPr>
                <m:sty m:val="p"/>
              </m:rPr>
              <m:t>−</m:t>
            </m:r>
            <m:r>
              <m:t>4</m:t>
            </m:r>
          </m:sup>
        </m:sSup>
      </m:oMath>
      <w:r>
        <w:t xml:space="preserve">, respectively, compared with</w:t>
      </w:r>
      <w:r>
        <w:t xml:space="preserve"> </w:t>
      </w:r>
      <m:oMath>
        <m:r>
          <m:t>1.30</m:t>
        </m:r>
        <m:r>
          <m:rPr>
            <m:sty m:val="p"/>
          </m:rPr>
          <m:t>×</m:t>
        </m:r>
        <m:sSup>
          <m:e>
            <m:r>
              <m:t>10</m:t>
            </m:r>
          </m:e>
          <m:sup>
            <m:r>
              <m:rPr>
                <m:sty m:val="p"/>
              </m:rPr>
              <m:t>−</m:t>
            </m:r>
            <m:r>
              <m:t>4</m:t>
            </m:r>
          </m:sup>
        </m:sSup>
      </m:oMath>
      <w:r>
        <w:t xml:space="preserve"> </w:t>
      </w:r>
      <w:r>
        <w:t xml:space="preserve">for direct recovery. At</w:t>
      </w:r>
      <w:r>
        <w:t xml:space="preserve"> </w:t>
      </w:r>
      <m:oMath>
        <m:r>
          <m:t>ε</m:t>
        </m:r>
        <m:r>
          <m:rPr>
            <m:sty m:val="p"/>
          </m:rPr>
          <m:t>=</m:t>
        </m:r>
        <m:r>
          <m:t>0.5</m:t>
        </m:r>
      </m:oMath>
      <w:r>
        <w:t xml:space="preserve"> </w:t>
      </w:r>
      <w:r>
        <w:t xml:space="preserve">they are</w:t>
      </w:r>
      <w:r>
        <w:t xml:space="preserve"> </w:t>
      </w:r>
      <m:oMath>
        <m:r>
          <m:t>1.12</m:t>
        </m:r>
        <m:r>
          <m:rPr>
            <m:sty m:val="p"/>
          </m:rPr>
          <m:t>×</m:t>
        </m:r>
        <m:sSup>
          <m:e>
            <m:r>
              <m:t>10</m:t>
            </m:r>
          </m:e>
          <m:sup>
            <m:r>
              <m:rPr>
                <m:sty m:val="p"/>
              </m:rPr>
              <m:t>−</m:t>
            </m:r>
            <m:r>
              <m:t>3</m:t>
            </m:r>
          </m:sup>
        </m:sSup>
      </m:oMath>
      <w:r>
        <w:t xml:space="preserve"> </w:t>
      </w:r>
      <w:r>
        <w:t xml:space="preserve">and</w:t>
      </w:r>
      <w:r>
        <w:t xml:space="preserve"> </w:t>
      </w:r>
      <m:oMath>
        <m:r>
          <m:t>6.91</m:t>
        </m:r>
        <m:r>
          <m:rPr>
            <m:sty m:val="p"/>
          </m:rPr>
          <m:t>×</m:t>
        </m:r>
        <m:sSup>
          <m:e>
            <m:r>
              <m:t>10</m:t>
            </m:r>
          </m:e>
          <m:sup>
            <m:r>
              <m:rPr>
                <m:sty m:val="p"/>
              </m:rPr>
              <m:t>−</m:t>
            </m:r>
            <m:r>
              <m:t>4</m:t>
            </m:r>
          </m:sup>
        </m:sSup>
      </m:oMath>
      <w:r>
        <w:t xml:space="preserve">, compared with</w:t>
      </w:r>
      <w:r>
        <w:t xml:space="preserve"> </w:t>
      </w:r>
      <m:oMath>
        <m:r>
          <m:t>9.61</m:t>
        </m:r>
        <m:r>
          <m:rPr>
            <m:sty m:val="p"/>
          </m:rPr>
          <m:t>×</m:t>
        </m:r>
        <m:sSup>
          <m:e>
            <m:r>
              <m:t>10</m:t>
            </m:r>
          </m:e>
          <m:sup>
            <m:r>
              <m:rPr>
                <m:sty m:val="p"/>
              </m:rPr>
              <m:t>−</m:t>
            </m:r>
            <m:r>
              <m:t>4</m:t>
            </m:r>
          </m:sup>
        </m:sSup>
      </m:oMath>
      <w:r>
        <w:t xml:space="preserve">. Repair provides a physical representation; interval optimization provides a certificate. Neither property alone guarantees smaller true regret. The worst-case bounds remain substantially larger than mean realized regret on this grid, as expected for guarantees uniform over the model class.</w:t>
      </w:r>
    </w:p>
    <w:bookmarkEnd w:id="44"/>
    <w:bookmarkEnd w:id="45"/>
    <w:bookmarkStart w:id="46" w:name="discussion-and-concluding-remarks"/>
    <w:p>
      <w:pPr>
        <w:pStyle w:val="Heading1"/>
      </w:pPr>
      <w:r>
        <w:t xml:space="preserve">7. Discussion and concluding remarks</w:t>
      </w:r>
    </w:p>
    <w:p>
      <w:pPr>
        <w:pStyle w:val="FirstParagraph"/>
      </w:pPr>
      <w:r>
        <w:t xml:space="preserve">The mathematical problem separates into identification, estimation, and decision making. Under the rooted-tree assumption, pairwise overlap data determine every acquisition cost. Under bounded measurement error, the cost of an</w:t>
      </w:r>
      <w:r>
        <w:t xml:space="preserve"> </w:t>
      </w:r>
      <m:oMath>
        <m:r>
          <m:t>m</m:t>
        </m:r>
      </m:oMath>
      <w:r>
        <w:t xml:space="preserve">-source group has minimax recovery radius</w:t>
      </w:r>
      <w:r>
        <w:t xml:space="preserve"> </w:t>
      </w:r>
      <m:oMath>
        <m:d>
          <m:dPr>
            <m:begChr m:val="("/>
            <m:endChr m:val=")"/>
            <m:sepChr m:val=""/>
            <m:grow/>
          </m:dPr>
          <m:e>
            <m:r>
              <m:t>2</m:t>
            </m:r>
            <m:r>
              <m:t>m</m:t>
            </m:r>
            <m:r>
              <m:rPr>
                <m:sty m:val="p"/>
              </m:rPr>
              <m:t>−</m:t>
            </m:r>
            <m:r>
              <m:t>3</m:t>
            </m:r>
          </m:e>
        </m:d>
        <m:r>
          <m:t>ε</m:t>
        </m:r>
      </m:oMath>
      <w:r>
        <w:t xml:space="preserve">. This radius quantifies unavoidable amplification of measurement uncertainty, including cases in which the measured table itself is compatible with a tree.</w:t>
      </w:r>
    </w:p>
    <w:p>
      <w:pPr>
        <w:pStyle w:val="BodyText"/>
      </w:pPr>
      <w:r>
        <w:t xml:space="preserve">For sequential decisions, uniform cost recovery transfers directly to optimal-value and policy excess-loss guarantees. Heterogeneous measurement tolerances can instead be propagated through computable set-cost intervals, giving an instance-specific certificate and a sufficient condition for a robust initial action. The transfer does not depend on a particular diagnostic classifier, but it requires an unchanged observation model and a common call-constrained policy class. Likelihood misspecification, time-varying costs, repeated queries, resource deactivation, and hard monetary budgets require separate analysis.</w:t>
      </w:r>
    </w:p>
    <w:p>
      <w:pPr>
        <w:pStyle w:val="BodyText"/>
      </w:pPr>
      <w:r>
        <w:t xml:space="preserve">The application illustrates how a coordinator can use the theory to choose sources and determine when to stop. It does not establish industrial validity or the performance of an implemented large-language-model system. Exact adaptive optimization remains exponential in the number of sources; scalable approximations need additional structure.</w:t>
      </w:r>
    </w:p>
    <w:p>
      <w:pPr>
        <w:pStyle w:val="BodyText"/>
      </w:pPr>
      <w:r>
        <w:t xml:space="preserve">The counterexample in Section 5 identifies a substantive boundary: pair measurements suffice within the rooted-path class but do not suffice for general shared resources. Extensions to partially observed routing structures, higher-order calibration measurements, and joint uncertainty in costs and likelihoods provide concrete directions for further research.</w:t>
      </w:r>
    </w:p>
    <w:bookmarkEnd w:id="46"/>
    <w:bookmarkStart w:id="47" w:name="declarations"/>
    <w:p>
      <w:pPr>
        <w:pStyle w:val="Heading1"/>
      </w:pPr>
      <w:r>
        <w:t xml:space="preserve">Declarations</w:t>
      </w:r>
    </w:p>
    <w:p>
      <w:pPr>
        <w:pStyle w:val="FirstParagraph"/>
      </w:pPr>
      <w:r>
        <w:rPr>
          <w:bCs/>
          <w:b/>
        </w:rPr>
        <w:t xml:space="preserve">Funding:</w:t>
      </w:r>
      <w:r>
        <w:t xml:space="preserve"> </w:t>
      </w:r>
      <w:r>
        <w:t xml:space="preserve">[To be completed by the human authors.]</w:t>
      </w:r>
    </w:p>
    <w:p>
      <w:pPr>
        <w:pStyle w:val="BodyText"/>
      </w:pPr>
      <w:r>
        <w:rPr>
          <w:bCs/>
          <w:b/>
        </w:rPr>
        <w:t xml:space="preserve">Competing interests:</w:t>
      </w:r>
      <w:r>
        <w:t xml:space="preserve"> </w:t>
      </w:r>
      <w:r>
        <w:t xml:space="preserve">[To be completed by the human authors.]</w:t>
      </w:r>
    </w:p>
    <w:p>
      <w:pPr>
        <w:pStyle w:val="BodyText"/>
      </w:pPr>
      <w:r>
        <w:rPr>
          <w:bCs/>
          <w:b/>
        </w:rPr>
        <w:t xml:space="preserve">Author contributions:</w:t>
      </w:r>
      <w:r>
        <w:t xml:space="preserve"> </w:t>
      </w:r>
      <w:r>
        <w:t xml:space="preserve">[To be completed by the human authors.]</w:t>
      </w:r>
    </w:p>
    <w:p>
      <w:pPr>
        <w:pStyle w:val="BodyText"/>
      </w:pPr>
      <w:r>
        <w:rPr>
          <w:bCs/>
          <w:b/>
        </w:rPr>
        <w:t xml:space="preserve">Data and code availability:</w:t>
      </w:r>
      <w:r>
        <w:t xml:space="preserve"> </w:t>
      </w:r>
      <w:r>
        <w:t xml:space="preserve">No empirical dataset was collected. The accompanying reproducibility files contain the complete synthetic parameters, Python source, exact verification log, per-case numerical results, and figure sources. The program reproduces all results in Section 6 without external data. A public archive identifier will be added if the authors deposit these files.</w:t>
      </w:r>
    </w:p>
    <w:p>
      <w:pPr>
        <w:pStyle w:val="BodyText"/>
      </w:pPr>
      <w:r>
        <w:rPr>
          <w:bCs/>
          <w:b/>
        </w:rPr>
        <w:t xml:space="preserve">AI assistance:</w:t>
      </w:r>
      <w:r>
        <w:t xml:space="preserve"> </w:t>
      </w:r>
      <w:r>
        <w:t xml:space="preserve">ChatGPT was used in developing the mathematical formulation, proposed proofs, verification code, and manuscript text, including this revision. Independent human verification of the mathematical claims, literature positioning, code, and final manuscript remains required before submission. The human authors must confirm their final responsibility for the work.</w:t>
      </w:r>
    </w:p>
    <w:bookmarkEnd w:id="47"/>
    <w:bookmarkStart w:id="71" w:name="references"/>
    <w:p>
      <w:pPr>
        <w:pStyle w:val="Heading1"/>
      </w:pPr>
      <w:r>
        <w:t xml:space="preserve">References</w:t>
      </w:r>
    </w:p>
    <w:p>
      <w:pPr>
        <w:pStyle w:val="FirstParagraph"/>
        <w:spacing w:after="120"/>
        <w:ind w:left="346" w:hanging="346"/>
      </w:pPr>
      <w:r>
        <w:rPr>
          <w:sz w:val="18"/>
        </w:rPr>
        <w:t xml:space="preserve">[1] A. V. Aho, Y. Sagiv, T. G. Szymanski, and J. D. Ullman,</w:t>
      </w:r>
      <w:r>
        <w:rPr>
          <w:sz w:val="18"/>
        </w:rPr>
        <w:t xml:space="preserve"> </w:t>
      </w:r>
      <w:hyperlink r:id="rId48">
        <w:r>
          <w:rPr>
            <w:rStyle w:val="Hyperlink"/>
          </w:rPr>
          <w:t xml:space="preserve">Inferring a tree from lowest common ancestors with an application to the optimization of relational expressions</w:t>
        </w:r>
      </w:hyperlink>
      <w:r>
        <w:rPr>
          <w:sz w:val="18"/>
        </w:rPr>
        <w:t xml:space="preserve">,</w:t>
      </w:r>
      <w:r>
        <w:rPr>
          <w:sz w:val="18"/>
        </w:rPr>
        <w:t xml:space="preserve"> </w:t>
      </w:r>
      <w:r>
        <w:rPr>
          <w:iCs/>
          <w:i/>
          <w:sz w:val="18"/>
        </w:rPr>
        <w:t xml:space="preserve">SIAM Journal on Computing</w:t>
      </w:r>
      <w:r>
        <w:rPr>
          <w:sz w:val="18"/>
        </w:rPr>
        <w:t xml:space="preserve"> </w:t>
      </w:r>
      <w:r>
        <w:rPr>
          <w:bCs/>
          <w:b/>
          <w:sz w:val="18"/>
        </w:rPr>
        <w:t xml:space="preserve">10</w:t>
      </w:r>
      <w:r>
        <w:rPr>
          <w:sz w:val="18"/>
        </w:rPr>
        <w:t xml:space="preserve"> </w:t>
      </w:r>
      <w:r>
        <w:rPr>
          <w:sz w:val="18"/>
        </w:rPr>
        <w:t xml:space="preserve">(1981), no. 3, 405–421.</w:t>
      </w:r>
    </w:p>
    <w:p>
      <w:pPr>
        <w:pStyle w:val="BodyText"/>
        <w:spacing w:after="120"/>
        <w:ind w:left="346" w:hanging="346"/>
      </w:pPr>
      <w:r>
        <w:rPr>
          <w:sz w:val="18"/>
        </w:rPr>
        <w:t xml:space="preserve">[2] D. Blackwell,</w:t>
      </w:r>
      <w:r>
        <w:rPr>
          <w:sz w:val="18"/>
        </w:rPr>
        <w:t xml:space="preserve"> </w:t>
      </w:r>
      <w:hyperlink r:id="rId49">
        <w:r>
          <w:rPr>
            <w:rStyle w:val="Hyperlink"/>
          </w:rPr>
          <w:t xml:space="preserve">Equivalent comparisons of experiments</w:t>
        </w:r>
      </w:hyperlink>
      <w:r>
        <w:rPr>
          <w:sz w:val="18"/>
        </w:rPr>
        <w:t xml:space="preserve">,</w:t>
      </w:r>
      <w:r>
        <w:rPr>
          <w:sz w:val="18"/>
        </w:rPr>
        <w:t xml:space="preserve"> </w:t>
      </w:r>
      <w:r>
        <w:rPr>
          <w:iCs/>
          <w:i/>
          <w:sz w:val="18"/>
        </w:rPr>
        <w:t xml:space="preserve">The Annals of Mathematical Statistics</w:t>
      </w:r>
      <w:r>
        <w:rPr>
          <w:sz w:val="18"/>
        </w:rPr>
        <w:t xml:space="preserve"> </w:t>
      </w:r>
      <w:r>
        <w:rPr>
          <w:bCs/>
          <w:b/>
          <w:sz w:val="18"/>
        </w:rPr>
        <w:t xml:space="preserve">24</w:t>
      </w:r>
      <w:r>
        <w:rPr>
          <w:sz w:val="18"/>
        </w:rPr>
        <w:t xml:space="preserve"> </w:t>
      </w:r>
      <w:r>
        <w:rPr>
          <w:sz w:val="18"/>
        </w:rPr>
        <w:t xml:space="preserve">(1953), no. 2, 265–272.</w:t>
      </w:r>
    </w:p>
    <w:p>
      <w:pPr>
        <w:pStyle w:val="BodyText"/>
        <w:spacing w:after="120"/>
        <w:ind w:left="346" w:hanging="346"/>
      </w:pPr>
      <w:r>
        <w:rPr>
          <w:sz w:val="18"/>
        </w:rPr>
        <w:t xml:space="preserve">[3] P. Buneman,</w:t>
      </w:r>
      <w:r>
        <w:rPr>
          <w:sz w:val="18"/>
        </w:rPr>
        <w:t xml:space="preserve"> </w:t>
      </w:r>
      <w:hyperlink r:id="rId50">
        <w:r>
          <w:rPr>
            <w:rStyle w:val="Hyperlink"/>
          </w:rPr>
          <w:t xml:space="preserve">A note on the metric properties of trees</w:t>
        </w:r>
      </w:hyperlink>
      <w:r>
        <w:rPr>
          <w:sz w:val="18"/>
        </w:rPr>
        <w:t xml:space="preserve">,</w:t>
      </w:r>
      <w:r>
        <w:rPr>
          <w:sz w:val="18"/>
        </w:rPr>
        <w:t xml:space="preserve"> </w:t>
      </w:r>
      <w:r>
        <w:rPr>
          <w:iCs/>
          <w:i/>
          <w:sz w:val="18"/>
        </w:rPr>
        <w:t xml:space="preserve">Journal of Combinatorial Theory, Series B</w:t>
      </w:r>
      <w:r>
        <w:rPr>
          <w:sz w:val="18"/>
        </w:rPr>
        <w:t xml:space="preserve"> </w:t>
      </w:r>
      <w:r>
        <w:rPr>
          <w:bCs/>
          <w:b/>
          <w:sz w:val="18"/>
        </w:rPr>
        <w:t xml:space="preserve">17</w:t>
      </w:r>
      <w:r>
        <w:rPr>
          <w:sz w:val="18"/>
        </w:rPr>
        <w:t xml:space="preserve"> </w:t>
      </w:r>
      <w:r>
        <w:rPr>
          <w:sz w:val="18"/>
        </w:rPr>
        <w:t xml:space="preserve">(1974), no. 1, 48–50.</w:t>
      </w:r>
    </w:p>
    <w:p>
      <w:pPr>
        <w:pStyle w:val="BodyText"/>
        <w:spacing w:after="120"/>
        <w:ind w:left="346" w:hanging="346"/>
      </w:pPr>
      <w:r>
        <w:rPr>
          <w:sz w:val="18"/>
        </w:rPr>
        <w:t xml:space="preserve">[4] G. Carlsson and F. Mémoli,</w:t>
      </w:r>
      <w:r>
        <w:rPr>
          <w:sz w:val="18"/>
        </w:rPr>
        <w:t xml:space="preserve"> </w:t>
      </w:r>
      <w:hyperlink r:id="rId51">
        <w:r>
          <w:rPr>
            <w:rStyle w:val="Hyperlink"/>
          </w:rPr>
          <w:t xml:space="preserve">Characterization, stability and convergence of hierarchical clustering methods</w:t>
        </w:r>
      </w:hyperlink>
      <w:r>
        <w:rPr>
          <w:sz w:val="18"/>
        </w:rPr>
        <w:t xml:space="preserve">,</w:t>
      </w:r>
      <w:r>
        <w:rPr>
          <w:sz w:val="18"/>
        </w:rPr>
        <w:t xml:space="preserve"> </w:t>
      </w:r>
      <w:r>
        <w:rPr>
          <w:iCs/>
          <w:i/>
          <w:sz w:val="18"/>
        </w:rPr>
        <w:t xml:space="preserve">Journal of Machine Learning Research</w:t>
      </w:r>
      <w:r>
        <w:rPr>
          <w:sz w:val="18"/>
        </w:rPr>
        <w:t xml:space="preserve"> </w:t>
      </w:r>
      <w:r>
        <w:rPr>
          <w:bCs/>
          <w:b/>
          <w:sz w:val="18"/>
        </w:rPr>
        <w:t xml:space="preserve">11</w:t>
      </w:r>
      <w:r>
        <w:rPr>
          <w:sz w:val="18"/>
        </w:rPr>
        <w:t xml:space="preserve"> </w:t>
      </w:r>
      <w:r>
        <w:rPr>
          <w:sz w:val="18"/>
        </w:rPr>
        <w:t xml:space="preserve">(2010), 1425–1470.</w:t>
      </w:r>
    </w:p>
    <w:p>
      <w:pPr>
        <w:pStyle w:val="BodyText"/>
        <w:spacing w:after="120"/>
        <w:ind w:left="346" w:hanging="346"/>
      </w:pPr>
      <w:r>
        <w:rPr>
          <w:sz w:val="18"/>
        </w:rPr>
        <w:t xml:space="preserve">[5] H. Chernoff,</w:t>
      </w:r>
      <w:r>
        <w:rPr>
          <w:sz w:val="18"/>
        </w:rPr>
        <w:t xml:space="preserve"> </w:t>
      </w:r>
      <w:hyperlink r:id="rId52">
        <w:r>
          <w:rPr>
            <w:rStyle w:val="Hyperlink"/>
          </w:rPr>
          <w:t xml:space="preserve">Sequential design of experiments</w:t>
        </w:r>
      </w:hyperlink>
      <w:r>
        <w:rPr>
          <w:sz w:val="18"/>
        </w:rPr>
        <w:t xml:space="preserve">,</w:t>
      </w:r>
      <w:r>
        <w:rPr>
          <w:sz w:val="18"/>
        </w:rPr>
        <w:t xml:space="preserve"> </w:t>
      </w:r>
      <w:r>
        <w:rPr>
          <w:iCs/>
          <w:i/>
          <w:sz w:val="18"/>
        </w:rPr>
        <w:t xml:space="preserve">The Annals of Mathematical Statistics</w:t>
      </w:r>
      <w:r>
        <w:rPr>
          <w:sz w:val="18"/>
        </w:rPr>
        <w:t xml:space="preserve"> </w:t>
      </w:r>
      <w:r>
        <w:rPr>
          <w:bCs/>
          <w:b/>
          <w:sz w:val="18"/>
        </w:rPr>
        <w:t xml:space="preserve">30</w:t>
      </w:r>
      <w:r>
        <w:rPr>
          <w:sz w:val="18"/>
        </w:rPr>
        <w:t xml:space="preserve"> </w:t>
      </w:r>
      <w:r>
        <w:rPr>
          <w:sz w:val="18"/>
        </w:rPr>
        <w:t xml:space="preserve">(1959), no. 3, 755–770.</w:t>
      </w:r>
    </w:p>
    <w:p>
      <w:pPr>
        <w:pStyle w:val="BodyText"/>
        <w:spacing w:after="120"/>
        <w:ind w:left="346" w:hanging="346"/>
      </w:pPr>
      <w:r>
        <w:rPr>
          <w:sz w:val="18"/>
        </w:rPr>
        <w:t xml:space="preserve">[6] D. L. Donoho,</w:t>
      </w:r>
      <w:r>
        <w:rPr>
          <w:sz w:val="18"/>
        </w:rPr>
        <w:t xml:space="preserve"> </w:t>
      </w:r>
      <w:hyperlink r:id="rId53">
        <w:r>
          <w:rPr>
            <w:rStyle w:val="Hyperlink"/>
          </w:rPr>
          <w:t xml:space="preserve">Statistical estimation and optimal recovery</w:t>
        </w:r>
      </w:hyperlink>
      <w:r>
        <w:rPr>
          <w:sz w:val="18"/>
        </w:rPr>
        <w:t xml:space="preserve">,</w:t>
      </w:r>
      <w:r>
        <w:rPr>
          <w:sz w:val="18"/>
        </w:rPr>
        <w:t xml:space="preserve"> </w:t>
      </w:r>
      <w:r>
        <w:rPr>
          <w:iCs/>
          <w:i/>
          <w:sz w:val="18"/>
        </w:rPr>
        <w:t xml:space="preserve">The Annals of Statistics</w:t>
      </w:r>
      <w:r>
        <w:rPr>
          <w:sz w:val="18"/>
        </w:rPr>
        <w:t xml:space="preserve"> </w:t>
      </w:r>
      <w:r>
        <w:rPr>
          <w:bCs/>
          <w:b/>
          <w:sz w:val="18"/>
        </w:rPr>
        <w:t xml:space="preserve">22</w:t>
      </w:r>
      <w:r>
        <w:rPr>
          <w:sz w:val="18"/>
        </w:rPr>
        <w:t xml:space="preserve"> </w:t>
      </w:r>
      <w:r>
        <w:rPr>
          <w:sz w:val="18"/>
        </w:rPr>
        <w:t xml:space="preserve">(1994), no. 1, 238–270.</w:t>
      </w:r>
    </w:p>
    <w:p>
      <w:pPr>
        <w:pStyle w:val="BodyText"/>
        <w:spacing w:after="120"/>
        <w:ind w:left="346" w:hanging="346"/>
      </w:pPr>
      <w:r>
        <w:rPr>
          <w:sz w:val="18"/>
        </w:rPr>
        <w:t xml:space="preserve">[7] S. Foucart and C. Liao,</w:t>
      </w:r>
      <w:r>
        <w:rPr>
          <w:sz w:val="18"/>
        </w:rPr>
        <w:t xml:space="preserve"> </w:t>
      </w:r>
      <w:hyperlink r:id="rId54">
        <w:r>
          <w:rPr>
            <w:rStyle w:val="Hyperlink"/>
          </w:rPr>
          <w:t xml:space="preserve">Optimal recovery from inaccurate data in Hilbert spaces: Regularize, but what of the parameter?</w:t>
        </w:r>
      </w:hyperlink>
      <w:r>
        <w:rPr>
          <w:sz w:val="18"/>
        </w:rPr>
        <w:t xml:space="preserve">,</w:t>
      </w:r>
      <w:r>
        <w:rPr>
          <w:sz w:val="18"/>
        </w:rPr>
        <w:t xml:space="preserve"> </w:t>
      </w:r>
      <w:r>
        <w:rPr>
          <w:iCs/>
          <w:i/>
          <w:sz w:val="18"/>
        </w:rPr>
        <w:t xml:space="preserve">Constructive Approximation</w:t>
      </w:r>
      <w:r>
        <w:rPr>
          <w:sz w:val="18"/>
        </w:rPr>
        <w:t xml:space="preserve"> </w:t>
      </w:r>
      <w:r>
        <w:rPr>
          <w:bCs/>
          <w:b/>
          <w:sz w:val="18"/>
        </w:rPr>
        <w:t xml:space="preserve">57</w:t>
      </w:r>
      <w:r>
        <w:rPr>
          <w:sz w:val="18"/>
        </w:rPr>
        <w:t xml:space="preserve"> </w:t>
      </w:r>
      <w:r>
        <w:rPr>
          <w:sz w:val="18"/>
        </w:rPr>
        <w:t xml:space="preserve">(2023), 489–520.</w:t>
      </w:r>
    </w:p>
    <w:p>
      <w:pPr>
        <w:pStyle w:val="BodyText"/>
        <w:spacing w:after="120"/>
        <w:ind w:left="346" w:hanging="346"/>
      </w:pPr>
      <w:r>
        <w:rPr>
          <w:sz w:val="18"/>
        </w:rPr>
        <w:t xml:space="preserve">[8] D. Golovin and A. Krause,</w:t>
      </w:r>
      <w:r>
        <w:rPr>
          <w:sz w:val="18"/>
        </w:rPr>
        <w:t xml:space="preserve"> </w:t>
      </w:r>
      <w:hyperlink r:id="rId55">
        <w:r>
          <w:rPr>
            <w:rStyle w:val="Hyperlink"/>
          </w:rPr>
          <w:t xml:space="preserve">Adaptive submodularity: Theory and applications in active learning and stochastic optimization</w:t>
        </w:r>
      </w:hyperlink>
      <w:r>
        <w:rPr>
          <w:sz w:val="18"/>
        </w:rPr>
        <w:t xml:space="preserve">,</w:t>
      </w:r>
      <w:r>
        <w:rPr>
          <w:sz w:val="18"/>
        </w:rPr>
        <w:t xml:space="preserve"> </w:t>
      </w:r>
      <w:r>
        <w:rPr>
          <w:iCs/>
          <w:i/>
          <w:sz w:val="18"/>
        </w:rPr>
        <w:t xml:space="preserve">Journal of Artificial Intelligence Research</w:t>
      </w:r>
      <w:r>
        <w:rPr>
          <w:sz w:val="18"/>
        </w:rPr>
        <w:t xml:space="preserve"> </w:t>
      </w:r>
      <w:r>
        <w:rPr>
          <w:bCs/>
          <w:b/>
          <w:sz w:val="18"/>
        </w:rPr>
        <w:t xml:space="preserve">42</w:t>
      </w:r>
      <w:r>
        <w:rPr>
          <w:sz w:val="18"/>
        </w:rPr>
        <w:t xml:space="preserve"> </w:t>
      </w:r>
      <w:r>
        <w:rPr>
          <w:sz w:val="18"/>
        </w:rPr>
        <w:t xml:space="preserve">(2011), 427–486.</w:t>
      </w:r>
    </w:p>
    <w:p>
      <w:pPr>
        <w:pStyle w:val="BodyText"/>
        <w:spacing w:after="120"/>
        <w:ind w:left="346" w:hanging="346"/>
      </w:pPr>
      <w:r>
        <w:rPr>
          <w:sz w:val="18"/>
        </w:rPr>
        <w:t xml:space="preserve">[9] J. C. Gower and G. J. S. Ross,</w:t>
      </w:r>
      <w:r>
        <w:rPr>
          <w:sz w:val="18"/>
        </w:rPr>
        <w:t xml:space="preserve"> </w:t>
      </w:r>
      <w:hyperlink r:id="rId56">
        <w:r>
          <w:rPr>
            <w:rStyle w:val="Hyperlink"/>
          </w:rPr>
          <w:t xml:space="preserve">Minimum spanning trees and single linkage cluster analysis</w:t>
        </w:r>
      </w:hyperlink>
      <w:r>
        <w:rPr>
          <w:sz w:val="18"/>
        </w:rPr>
        <w:t xml:space="preserve">,</w:t>
      </w:r>
      <w:r>
        <w:rPr>
          <w:sz w:val="18"/>
        </w:rPr>
        <w:t xml:space="preserve"> </w:t>
      </w:r>
      <w:r>
        <w:rPr>
          <w:iCs/>
          <w:i/>
          <w:sz w:val="18"/>
        </w:rPr>
        <w:t xml:space="preserve">Journal of the Royal Statistical Society, Series C: Applied Statistics</w:t>
      </w:r>
      <w:r>
        <w:rPr>
          <w:sz w:val="18"/>
        </w:rPr>
        <w:t xml:space="preserve"> </w:t>
      </w:r>
      <w:r>
        <w:rPr>
          <w:bCs/>
          <w:b/>
          <w:sz w:val="18"/>
        </w:rPr>
        <w:t xml:space="preserve">18</w:t>
      </w:r>
      <w:r>
        <w:rPr>
          <w:sz w:val="18"/>
        </w:rPr>
        <w:t xml:space="preserve"> </w:t>
      </w:r>
      <w:r>
        <w:rPr>
          <w:sz w:val="18"/>
        </w:rPr>
        <w:t xml:space="preserve">(1969), no. 1, 54–64.</w:t>
      </w:r>
    </w:p>
    <w:p>
      <w:pPr>
        <w:pStyle w:val="BodyText"/>
        <w:spacing w:after="120"/>
        <w:ind w:left="346" w:hanging="346"/>
      </w:pPr>
      <w:r>
        <w:rPr>
          <w:sz w:val="18"/>
        </w:rPr>
        <w:t xml:space="preserve">[10] D. Hunter,</w:t>
      </w:r>
      <w:r>
        <w:rPr>
          <w:sz w:val="18"/>
        </w:rPr>
        <w:t xml:space="preserve"> </w:t>
      </w:r>
      <w:hyperlink r:id="rId57">
        <w:r>
          <w:rPr>
            <w:rStyle w:val="Hyperlink"/>
          </w:rPr>
          <w:t xml:space="preserve">An upper bound for the probability of a union</w:t>
        </w:r>
      </w:hyperlink>
      <w:r>
        <w:rPr>
          <w:sz w:val="18"/>
        </w:rPr>
        <w:t xml:space="preserve">,</w:t>
      </w:r>
      <w:r>
        <w:rPr>
          <w:sz w:val="18"/>
        </w:rPr>
        <w:t xml:space="preserve"> </w:t>
      </w:r>
      <w:r>
        <w:rPr>
          <w:iCs/>
          <w:i/>
          <w:sz w:val="18"/>
        </w:rPr>
        <w:t xml:space="preserve">Journal of Applied Probability</w:t>
      </w:r>
      <w:r>
        <w:rPr>
          <w:sz w:val="18"/>
        </w:rPr>
        <w:t xml:space="preserve"> </w:t>
      </w:r>
      <w:r>
        <w:rPr>
          <w:bCs/>
          <w:b/>
          <w:sz w:val="18"/>
        </w:rPr>
        <w:t xml:space="preserve">13</w:t>
      </w:r>
      <w:r>
        <w:rPr>
          <w:sz w:val="18"/>
        </w:rPr>
        <w:t xml:space="preserve"> </w:t>
      </w:r>
      <w:r>
        <w:rPr>
          <w:sz w:val="18"/>
        </w:rPr>
        <w:t xml:space="preserve">(1976), no. 3, 597–603.</w:t>
      </w:r>
    </w:p>
    <w:p>
      <w:pPr>
        <w:pStyle w:val="BodyText"/>
        <w:spacing w:after="120"/>
        <w:ind w:left="346" w:hanging="346"/>
      </w:pPr>
      <w:r>
        <w:rPr>
          <w:sz w:val="18"/>
        </w:rPr>
        <w:t xml:space="preserve">[11] G. N. Iyengar,</w:t>
      </w:r>
      <w:r>
        <w:rPr>
          <w:sz w:val="18"/>
        </w:rPr>
        <w:t xml:space="preserve"> </w:t>
      </w:r>
      <w:hyperlink r:id="rId58">
        <w:r>
          <w:rPr>
            <w:rStyle w:val="Hyperlink"/>
          </w:rPr>
          <w:t xml:space="preserve">Robust dynamic programming</w:t>
        </w:r>
      </w:hyperlink>
      <w:r>
        <w:rPr>
          <w:sz w:val="18"/>
        </w:rPr>
        <w:t xml:space="preserve">,</w:t>
      </w:r>
      <w:r>
        <w:rPr>
          <w:sz w:val="18"/>
        </w:rPr>
        <w:t xml:space="preserve"> </w:t>
      </w:r>
      <w:r>
        <w:rPr>
          <w:iCs/>
          <w:i/>
          <w:sz w:val="18"/>
        </w:rPr>
        <w:t xml:space="preserve">Mathematics of Operations Research</w:t>
      </w:r>
      <w:r>
        <w:rPr>
          <w:sz w:val="18"/>
        </w:rPr>
        <w:t xml:space="preserve"> </w:t>
      </w:r>
      <w:r>
        <w:rPr>
          <w:bCs/>
          <w:b/>
          <w:sz w:val="18"/>
        </w:rPr>
        <w:t xml:space="preserve">30</w:t>
      </w:r>
      <w:r>
        <w:rPr>
          <w:sz w:val="18"/>
        </w:rPr>
        <w:t xml:space="preserve"> </w:t>
      </w:r>
      <w:r>
        <w:rPr>
          <w:sz w:val="18"/>
        </w:rPr>
        <w:t xml:space="preserve">(2005), no. 2, 257–280.</w:t>
      </w:r>
    </w:p>
    <w:p>
      <w:pPr>
        <w:pStyle w:val="BodyText"/>
        <w:spacing w:after="120"/>
        <w:ind w:left="346" w:hanging="346"/>
      </w:pPr>
      <w:r>
        <w:rPr>
          <w:sz w:val="18"/>
        </w:rPr>
        <w:t xml:space="preserve">[12] L. P. Kaelbling, M. L. Littman, and A. R. Cassandra,</w:t>
      </w:r>
      <w:r>
        <w:rPr>
          <w:sz w:val="18"/>
        </w:rPr>
        <w:t xml:space="preserve"> </w:t>
      </w:r>
      <w:hyperlink r:id="rId59">
        <w:r>
          <w:rPr>
            <w:rStyle w:val="Hyperlink"/>
          </w:rPr>
          <w:t xml:space="preserve">Planning and acting in partially observable stochastic domains</w:t>
        </w:r>
      </w:hyperlink>
      <w:r>
        <w:rPr>
          <w:sz w:val="18"/>
        </w:rPr>
        <w:t xml:space="preserve">,</w:t>
      </w:r>
      <w:r>
        <w:rPr>
          <w:sz w:val="18"/>
        </w:rPr>
        <w:t xml:space="preserve"> </w:t>
      </w:r>
      <w:r>
        <w:rPr>
          <w:iCs/>
          <w:i/>
          <w:sz w:val="18"/>
        </w:rPr>
        <w:t xml:space="preserve">Artificial Intelligence</w:t>
      </w:r>
      <w:r>
        <w:rPr>
          <w:sz w:val="18"/>
        </w:rPr>
        <w:t xml:space="preserve"> </w:t>
      </w:r>
      <w:r>
        <w:rPr>
          <w:bCs/>
          <w:b/>
          <w:sz w:val="18"/>
        </w:rPr>
        <w:t xml:space="preserve">101</w:t>
      </w:r>
      <w:r>
        <w:rPr>
          <w:sz w:val="18"/>
        </w:rPr>
        <w:t xml:space="preserve"> </w:t>
      </w:r>
      <w:r>
        <w:rPr>
          <w:sz w:val="18"/>
        </w:rPr>
        <w:t xml:space="preserve">(1998), nos. 1–2, 99–134.</w:t>
      </w:r>
    </w:p>
    <w:p>
      <w:pPr>
        <w:pStyle w:val="BodyText"/>
        <w:spacing w:after="120"/>
        <w:ind w:left="346" w:hanging="346"/>
      </w:pPr>
      <w:r>
        <w:rPr>
          <w:sz w:val="18"/>
        </w:rPr>
        <w:t xml:space="preserve">[13] A. Krause, H. B. McMahan, C. Guestrin, and A. Gupta,</w:t>
      </w:r>
      <w:r>
        <w:rPr>
          <w:sz w:val="18"/>
        </w:rPr>
        <w:t xml:space="preserve"> </w:t>
      </w:r>
      <w:hyperlink r:id="rId60">
        <w:r>
          <w:rPr>
            <w:rStyle w:val="Hyperlink"/>
          </w:rPr>
          <w:t xml:space="preserve">Robust submodular observation selection</w:t>
        </w:r>
      </w:hyperlink>
      <w:r>
        <w:rPr>
          <w:sz w:val="18"/>
        </w:rPr>
        <w:t xml:space="preserve">,</w:t>
      </w:r>
      <w:r>
        <w:rPr>
          <w:sz w:val="18"/>
        </w:rPr>
        <w:t xml:space="preserve"> </w:t>
      </w:r>
      <w:r>
        <w:rPr>
          <w:iCs/>
          <w:i/>
          <w:sz w:val="18"/>
        </w:rPr>
        <w:t xml:space="preserve">Journal of Machine Learning Research</w:t>
      </w:r>
      <w:r>
        <w:rPr>
          <w:sz w:val="18"/>
        </w:rPr>
        <w:t xml:space="preserve"> </w:t>
      </w:r>
      <w:r>
        <w:rPr>
          <w:bCs/>
          <w:b/>
          <w:sz w:val="18"/>
        </w:rPr>
        <w:t xml:space="preserve">9</w:t>
      </w:r>
      <w:r>
        <w:rPr>
          <w:sz w:val="18"/>
        </w:rPr>
        <w:t xml:space="preserve"> </w:t>
      </w:r>
      <w:r>
        <w:rPr>
          <w:sz w:val="18"/>
        </w:rPr>
        <w:t xml:space="preserve">(2008), 2761–2801.</w:t>
      </w:r>
    </w:p>
    <w:p>
      <w:pPr>
        <w:pStyle w:val="BodyText"/>
        <w:spacing w:after="120"/>
        <w:ind w:left="346" w:hanging="346"/>
      </w:pPr>
      <w:r>
        <w:rPr>
          <w:sz w:val="18"/>
        </w:rPr>
        <w:t xml:space="preserve">[14] Y. Li and J. Oliva,</w:t>
      </w:r>
      <w:r>
        <w:rPr>
          <w:sz w:val="18"/>
        </w:rPr>
        <w:t xml:space="preserve"> </w:t>
      </w:r>
      <w:hyperlink r:id="rId61">
        <w:r>
          <w:rPr>
            <w:rStyle w:val="Hyperlink"/>
          </w:rPr>
          <w:t xml:space="preserve">Active feature acquisition with generative surrogate models</w:t>
        </w:r>
      </w:hyperlink>
      <w:r>
        <w:rPr>
          <w:sz w:val="18"/>
        </w:rPr>
        <w:t xml:space="preserve">, in</w:t>
      </w:r>
      <w:r>
        <w:rPr>
          <w:sz w:val="18"/>
        </w:rPr>
        <w:t xml:space="preserve"> </w:t>
      </w:r>
      <w:r>
        <w:rPr>
          <w:iCs/>
          <w:i/>
          <w:sz w:val="18"/>
        </w:rPr>
        <w:t xml:space="preserve">Proceedings of the 38th International Conference on Machine Learning</w:t>
      </w:r>
      <w:r>
        <w:rPr>
          <w:sz w:val="18"/>
        </w:rPr>
        <w:t xml:space="preserve">, Proceedings of Machine Learning Research</w:t>
      </w:r>
      <w:r>
        <w:rPr>
          <w:sz w:val="18"/>
        </w:rPr>
        <w:t xml:space="preserve"> </w:t>
      </w:r>
      <w:r>
        <w:rPr>
          <w:bCs/>
          <w:b/>
          <w:sz w:val="18"/>
        </w:rPr>
        <w:t xml:space="preserve">139</w:t>
      </w:r>
      <w:r>
        <w:rPr>
          <w:sz w:val="18"/>
        </w:rPr>
        <w:t xml:space="preserve"> </w:t>
      </w:r>
      <w:r>
        <w:rPr>
          <w:sz w:val="18"/>
        </w:rPr>
        <w:t xml:space="preserve">(2021), 6450–6459.</w:t>
      </w:r>
    </w:p>
    <w:p>
      <w:pPr>
        <w:pStyle w:val="BodyText"/>
        <w:spacing w:after="120"/>
        <w:ind w:left="346" w:hanging="346"/>
      </w:pPr>
      <w:r>
        <w:rPr>
          <w:sz w:val="18"/>
        </w:rPr>
        <w:t xml:space="preserve">[15] C. Ma, S. Tschiatschek, K. Palla, J. M. Hernandez-Lobato, S. Nowozin, and C. Zhang,</w:t>
      </w:r>
      <w:r>
        <w:rPr>
          <w:sz w:val="18"/>
        </w:rPr>
        <w:t xml:space="preserve"> </w:t>
      </w:r>
      <w:hyperlink r:id="rId62">
        <w:r>
          <w:rPr>
            <w:rStyle w:val="Hyperlink"/>
          </w:rPr>
          <w:t xml:space="preserve">EDDI: Efficient dynamic discovery of high-value information with partial VAE</w:t>
        </w:r>
      </w:hyperlink>
      <w:r>
        <w:rPr>
          <w:sz w:val="18"/>
        </w:rPr>
        <w:t xml:space="preserve">, in</w:t>
      </w:r>
      <w:r>
        <w:rPr>
          <w:sz w:val="18"/>
        </w:rPr>
        <w:t xml:space="preserve"> </w:t>
      </w:r>
      <w:r>
        <w:rPr>
          <w:iCs/>
          <w:i/>
          <w:sz w:val="18"/>
        </w:rPr>
        <w:t xml:space="preserve">Proceedings of the 36th International Conference on Machine Learning</w:t>
      </w:r>
      <w:r>
        <w:rPr>
          <w:sz w:val="18"/>
        </w:rPr>
        <w:t xml:space="preserve">, Proceedings of Machine Learning Research</w:t>
      </w:r>
      <w:r>
        <w:rPr>
          <w:sz w:val="18"/>
        </w:rPr>
        <w:t xml:space="preserve"> </w:t>
      </w:r>
      <w:r>
        <w:rPr>
          <w:bCs/>
          <w:b/>
          <w:sz w:val="18"/>
        </w:rPr>
        <w:t xml:space="preserve">97</w:t>
      </w:r>
      <w:r>
        <w:rPr>
          <w:sz w:val="18"/>
        </w:rPr>
        <w:t xml:space="preserve"> </w:t>
      </w:r>
      <w:r>
        <w:rPr>
          <w:sz w:val="18"/>
        </w:rPr>
        <w:t xml:space="preserve">(2019), 4234–4243.</w:t>
      </w:r>
    </w:p>
    <w:p>
      <w:pPr>
        <w:pStyle w:val="BodyText"/>
        <w:spacing w:after="120"/>
        <w:ind w:left="346" w:hanging="346"/>
      </w:pPr>
      <w:r>
        <w:rPr>
          <w:sz w:val="18"/>
        </w:rPr>
        <w:t xml:space="preserve">[16] C. A. Micchelli and T. J. Rivlin,</w:t>
      </w:r>
      <w:r>
        <w:rPr>
          <w:sz w:val="18"/>
        </w:rPr>
        <w:t xml:space="preserve"> </w:t>
      </w:r>
      <w:hyperlink r:id="rId63">
        <w:r>
          <w:rPr>
            <w:rStyle w:val="Hyperlink"/>
          </w:rPr>
          <w:t xml:space="preserve">A survey of optimal recovery</w:t>
        </w:r>
      </w:hyperlink>
      <w:r>
        <w:rPr>
          <w:sz w:val="18"/>
        </w:rPr>
        <w:t xml:space="preserve">, in</w:t>
      </w:r>
      <w:r>
        <w:rPr>
          <w:sz w:val="18"/>
        </w:rPr>
        <w:t xml:space="preserve"> </w:t>
      </w:r>
      <w:r>
        <w:rPr>
          <w:iCs/>
          <w:i/>
          <w:sz w:val="18"/>
        </w:rPr>
        <w:t xml:space="preserve">Optimal Estimation in Approximation Theory</w:t>
      </w:r>
      <w:r>
        <w:rPr>
          <w:sz w:val="18"/>
        </w:rPr>
        <w:t xml:space="preserve"> </w:t>
      </w:r>
      <w:r>
        <w:rPr>
          <w:sz w:val="18"/>
        </w:rPr>
        <w:t xml:space="preserve">(C. A. Micchelli and T. J. Rivlin, eds.), Plenum Press, New York, 1977, pp. 1–54.</w:t>
      </w:r>
    </w:p>
    <w:p>
      <w:pPr>
        <w:pStyle w:val="BodyText"/>
        <w:spacing w:after="120"/>
        <w:ind w:left="346" w:hanging="346"/>
      </w:pPr>
      <w:r>
        <w:rPr>
          <w:sz w:val="18"/>
        </w:rPr>
        <w:t xml:space="preserve">[17] M. Naghshvar and T. Javidi,</w:t>
      </w:r>
      <w:r>
        <w:rPr>
          <w:sz w:val="18"/>
        </w:rPr>
        <w:t xml:space="preserve"> </w:t>
      </w:r>
      <w:hyperlink r:id="rId64">
        <w:r>
          <w:rPr>
            <w:rStyle w:val="Hyperlink"/>
          </w:rPr>
          <w:t xml:space="preserve">Active sequential hypothesis testing</w:t>
        </w:r>
      </w:hyperlink>
      <w:r>
        <w:rPr>
          <w:sz w:val="18"/>
        </w:rPr>
        <w:t xml:space="preserve">,</w:t>
      </w:r>
      <w:r>
        <w:rPr>
          <w:sz w:val="18"/>
        </w:rPr>
        <w:t xml:space="preserve"> </w:t>
      </w:r>
      <w:r>
        <w:rPr>
          <w:iCs/>
          <w:i/>
          <w:sz w:val="18"/>
        </w:rPr>
        <w:t xml:space="preserve">The Annals of Statistics</w:t>
      </w:r>
      <w:r>
        <w:rPr>
          <w:sz w:val="18"/>
        </w:rPr>
        <w:t xml:space="preserve"> </w:t>
      </w:r>
      <w:r>
        <w:rPr>
          <w:bCs/>
          <w:b/>
          <w:sz w:val="18"/>
        </w:rPr>
        <w:t xml:space="preserve">41</w:t>
      </w:r>
      <w:r>
        <w:rPr>
          <w:sz w:val="18"/>
        </w:rPr>
        <w:t xml:space="preserve"> </w:t>
      </w:r>
      <w:r>
        <w:rPr>
          <w:sz w:val="18"/>
        </w:rPr>
        <w:t xml:space="preserve">(2013), no. 6, 2703–2738.</w:t>
      </w:r>
    </w:p>
    <w:p>
      <w:pPr>
        <w:pStyle w:val="BodyText"/>
        <w:spacing w:after="120"/>
        <w:ind w:left="346" w:hanging="346"/>
      </w:pPr>
      <w:r>
        <w:rPr>
          <w:sz w:val="18"/>
        </w:rPr>
        <w:t xml:space="preserve">[18] G. L. Nemhauser, L. A. Wolsey, and M. L. Fisher,</w:t>
      </w:r>
      <w:r>
        <w:rPr>
          <w:sz w:val="18"/>
        </w:rPr>
        <w:t xml:space="preserve"> </w:t>
      </w:r>
      <w:hyperlink r:id="rId65">
        <w:r>
          <w:rPr>
            <w:rStyle w:val="Hyperlink"/>
          </w:rPr>
          <w:t xml:space="preserve">An analysis of approximations for maximizing submodular set functions—I</w:t>
        </w:r>
      </w:hyperlink>
      <w:r>
        <w:rPr>
          <w:sz w:val="18"/>
        </w:rPr>
        <w:t xml:space="preserve">,</w:t>
      </w:r>
      <w:r>
        <w:rPr>
          <w:sz w:val="18"/>
        </w:rPr>
        <w:t xml:space="preserve"> </w:t>
      </w:r>
      <w:r>
        <w:rPr>
          <w:iCs/>
          <w:i/>
          <w:sz w:val="18"/>
        </w:rPr>
        <w:t xml:space="preserve">Mathematical Programming</w:t>
      </w:r>
      <w:r>
        <w:rPr>
          <w:sz w:val="18"/>
        </w:rPr>
        <w:t xml:space="preserve"> </w:t>
      </w:r>
      <w:r>
        <w:rPr>
          <w:bCs/>
          <w:b/>
          <w:sz w:val="18"/>
        </w:rPr>
        <w:t xml:space="preserve">14</w:t>
      </w:r>
      <w:r>
        <w:rPr>
          <w:sz w:val="18"/>
        </w:rPr>
        <w:t xml:space="preserve"> </w:t>
      </w:r>
      <w:r>
        <w:rPr>
          <w:sz w:val="18"/>
        </w:rPr>
        <w:t xml:space="preserve">(1978), 265–294.</w:t>
      </w:r>
    </w:p>
    <w:p>
      <w:pPr>
        <w:pStyle w:val="BodyText"/>
        <w:spacing w:after="120"/>
        <w:ind w:left="346" w:hanging="346"/>
      </w:pPr>
      <w:r>
        <w:rPr>
          <w:sz w:val="18"/>
        </w:rPr>
        <w:t xml:space="preserve">[19] A. Nilim and L. El Ghaoui,</w:t>
      </w:r>
      <w:r>
        <w:rPr>
          <w:sz w:val="18"/>
        </w:rPr>
        <w:t xml:space="preserve"> </w:t>
      </w:r>
      <w:hyperlink r:id="rId66">
        <w:r>
          <w:rPr>
            <w:rStyle w:val="Hyperlink"/>
          </w:rPr>
          <w:t xml:space="preserve">Robust control of Markov decision processes with uncertain transition matrices</w:t>
        </w:r>
      </w:hyperlink>
      <w:r>
        <w:rPr>
          <w:sz w:val="18"/>
        </w:rPr>
        <w:t xml:space="preserve">,</w:t>
      </w:r>
      <w:r>
        <w:rPr>
          <w:sz w:val="18"/>
        </w:rPr>
        <w:t xml:space="preserve"> </w:t>
      </w:r>
      <w:r>
        <w:rPr>
          <w:iCs/>
          <w:i/>
          <w:sz w:val="18"/>
        </w:rPr>
        <w:t xml:space="preserve">Operations Research</w:t>
      </w:r>
      <w:r>
        <w:rPr>
          <w:sz w:val="18"/>
        </w:rPr>
        <w:t xml:space="preserve"> </w:t>
      </w:r>
      <w:r>
        <w:rPr>
          <w:bCs/>
          <w:b/>
          <w:sz w:val="18"/>
        </w:rPr>
        <w:t xml:space="preserve">53</w:t>
      </w:r>
      <w:r>
        <w:rPr>
          <w:sz w:val="18"/>
        </w:rPr>
        <w:t xml:space="preserve"> </w:t>
      </w:r>
      <w:r>
        <w:rPr>
          <w:sz w:val="18"/>
        </w:rPr>
        <w:t xml:space="preserve">(2005), no. 5, 780–798.</w:t>
      </w:r>
    </w:p>
    <w:p>
      <w:pPr>
        <w:pStyle w:val="BodyText"/>
        <w:spacing w:after="120"/>
        <w:ind w:left="346" w:hanging="346"/>
      </w:pPr>
      <w:r>
        <w:rPr>
          <w:sz w:val="18"/>
        </w:rPr>
        <w:t xml:space="preserve">[20] L. Pachter and D. Speyer,</w:t>
      </w:r>
      <w:r>
        <w:rPr>
          <w:sz w:val="18"/>
        </w:rPr>
        <w:t xml:space="preserve"> </w:t>
      </w:r>
      <w:hyperlink r:id="rId67">
        <w:r>
          <w:rPr>
            <w:rStyle w:val="Hyperlink"/>
          </w:rPr>
          <w:t xml:space="preserve">Reconstructing trees from subtree weights</w:t>
        </w:r>
      </w:hyperlink>
      <w:r>
        <w:rPr>
          <w:sz w:val="18"/>
        </w:rPr>
        <w:t xml:space="preserve">,</w:t>
      </w:r>
      <w:r>
        <w:rPr>
          <w:sz w:val="18"/>
        </w:rPr>
        <w:t xml:space="preserve"> </w:t>
      </w:r>
      <w:r>
        <w:rPr>
          <w:iCs/>
          <w:i/>
          <w:sz w:val="18"/>
        </w:rPr>
        <w:t xml:space="preserve">Applied Mathematics Letters</w:t>
      </w:r>
      <w:r>
        <w:rPr>
          <w:sz w:val="18"/>
        </w:rPr>
        <w:t xml:space="preserve"> </w:t>
      </w:r>
      <w:r>
        <w:rPr>
          <w:bCs/>
          <w:b/>
          <w:sz w:val="18"/>
        </w:rPr>
        <w:t xml:space="preserve">17</w:t>
      </w:r>
      <w:r>
        <w:rPr>
          <w:sz w:val="18"/>
        </w:rPr>
        <w:t xml:space="preserve"> </w:t>
      </w:r>
      <w:r>
        <w:rPr>
          <w:sz w:val="18"/>
        </w:rPr>
        <w:t xml:space="preserve">(2004), no. 6, 615–621. Link provides the authors’ preprint.</w:t>
      </w:r>
    </w:p>
    <w:p>
      <w:pPr>
        <w:pStyle w:val="BodyText"/>
        <w:spacing w:after="120"/>
        <w:ind w:left="346" w:hanging="346"/>
      </w:pPr>
      <w:r>
        <w:rPr>
          <w:sz w:val="18"/>
        </w:rPr>
        <w:t xml:space="preserve">[21] Z. Qin and Y. Lu,</w:t>
      </w:r>
      <w:r>
        <w:rPr>
          <w:sz w:val="18"/>
        </w:rPr>
        <w:t xml:space="preserve"> </w:t>
      </w:r>
      <w:hyperlink r:id="rId68">
        <w:r>
          <w:rPr>
            <w:rStyle w:val="Hyperlink"/>
          </w:rPr>
          <w:t xml:space="preserve">Knowledge graph-enhanced multi-agent reinforcement learning for adaptive scheduling in smart manufacturing</w:t>
        </w:r>
      </w:hyperlink>
      <w:r>
        <w:rPr>
          <w:sz w:val="18"/>
        </w:rPr>
        <w:t xml:space="preserve">,</w:t>
      </w:r>
      <w:r>
        <w:rPr>
          <w:sz w:val="18"/>
        </w:rPr>
        <w:t xml:space="preserve"> </w:t>
      </w:r>
      <w:r>
        <w:rPr>
          <w:iCs/>
          <w:i/>
          <w:sz w:val="18"/>
        </w:rPr>
        <w:t xml:space="preserve">Journal of Intelligent Manufacturing</w:t>
      </w:r>
      <w:r>
        <w:rPr>
          <w:sz w:val="18"/>
        </w:rPr>
        <w:t xml:space="preserve"> </w:t>
      </w:r>
      <w:r>
        <w:rPr>
          <w:bCs/>
          <w:b/>
          <w:sz w:val="18"/>
        </w:rPr>
        <w:t xml:space="preserve">36</w:t>
      </w:r>
      <w:r>
        <w:rPr>
          <w:sz w:val="18"/>
        </w:rPr>
        <w:t xml:space="preserve"> </w:t>
      </w:r>
      <w:r>
        <w:rPr>
          <w:sz w:val="18"/>
        </w:rPr>
        <w:t xml:space="preserve">(2025), 5943–5966.</w:t>
      </w:r>
    </w:p>
    <w:p>
      <w:pPr>
        <w:pStyle w:val="BodyText"/>
        <w:spacing w:after="120"/>
        <w:ind w:left="346" w:hanging="346"/>
      </w:pPr>
      <w:r>
        <w:rPr>
          <w:sz w:val="18"/>
        </w:rPr>
        <w:t xml:space="preserve">[22] R. D. Smallwood and E. J. Sondik,</w:t>
      </w:r>
      <w:r>
        <w:rPr>
          <w:sz w:val="18"/>
        </w:rPr>
        <w:t xml:space="preserve"> </w:t>
      </w:r>
      <w:hyperlink r:id="rId69">
        <w:r>
          <w:rPr>
            <w:rStyle w:val="Hyperlink"/>
          </w:rPr>
          <w:t xml:space="preserve">The optimal control of partially observable Markov processes over a finite horizon</w:t>
        </w:r>
      </w:hyperlink>
      <w:r>
        <w:rPr>
          <w:sz w:val="18"/>
        </w:rPr>
        <w:t xml:space="preserve">,</w:t>
      </w:r>
      <w:r>
        <w:rPr>
          <w:sz w:val="18"/>
        </w:rPr>
        <w:t xml:space="preserve"> </w:t>
      </w:r>
      <w:r>
        <w:rPr>
          <w:iCs/>
          <w:i/>
          <w:sz w:val="18"/>
        </w:rPr>
        <w:t xml:space="preserve">Operations Research</w:t>
      </w:r>
      <w:r>
        <w:rPr>
          <w:sz w:val="18"/>
        </w:rPr>
        <w:t xml:space="preserve"> </w:t>
      </w:r>
      <w:r>
        <w:rPr>
          <w:bCs/>
          <w:b/>
          <w:sz w:val="18"/>
        </w:rPr>
        <w:t xml:space="preserve">21</w:t>
      </w:r>
      <w:r>
        <w:rPr>
          <w:sz w:val="18"/>
        </w:rPr>
        <w:t xml:space="preserve"> </w:t>
      </w:r>
      <w:r>
        <w:rPr>
          <w:sz w:val="18"/>
        </w:rPr>
        <w:t xml:space="preserve">(1973), no. 5, 1071–1088.</w:t>
      </w:r>
    </w:p>
    <w:p>
      <w:pPr>
        <w:pStyle w:val="BodyText"/>
        <w:spacing w:after="120"/>
        <w:ind w:left="346" w:hanging="346"/>
      </w:pPr>
      <w:r>
        <w:rPr>
          <w:sz w:val="18"/>
        </w:rPr>
        <w:t xml:space="preserve">[23] A. Wald,</w:t>
      </w:r>
      <w:r>
        <w:rPr>
          <w:sz w:val="18"/>
        </w:rPr>
        <w:t xml:space="preserve"> </w:t>
      </w:r>
      <w:hyperlink r:id="rId70">
        <w:r>
          <w:rPr>
            <w:rStyle w:val="Hyperlink"/>
          </w:rPr>
          <w:t xml:space="preserve">Sequential tests of statistical hypotheses</w:t>
        </w:r>
      </w:hyperlink>
      <w:r>
        <w:rPr>
          <w:sz w:val="18"/>
        </w:rPr>
        <w:t xml:space="preserve">,</w:t>
      </w:r>
      <w:r>
        <w:rPr>
          <w:sz w:val="18"/>
        </w:rPr>
        <w:t xml:space="preserve"> </w:t>
      </w:r>
      <w:r>
        <w:rPr>
          <w:iCs/>
          <w:i/>
          <w:sz w:val="18"/>
        </w:rPr>
        <w:t xml:space="preserve">The Annals of Mathematical Statistics</w:t>
      </w:r>
      <w:r>
        <w:rPr>
          <w:sz w:val="18"/>
        </w:rPr>
        <w:t xml:space="preserve"> </w:t>
      </w:r>
      <w:r>
        <w:rPr>
          <w:bCs/>
          <w:b/>
          <w:sz w:val="18"/>
        </w:rPr>
        <w:t xml:space="preserve">16</w:t>
      </w:r>
      <w:r>
        <w:rPr>
          <w:sz w:val="18"/>
        </w:rPr>
        <w:t xml:space="preserve"> </w:t>
      </w:r>
      <w:r>
        <w:rPr>
          <w:sz w:val="18"/>
        </w:rPr>
        <w:t xml:space="preserve">(1945), no. 2, 117–186.</w:t>
      </w:r>
    </w:p>
    <w:p>
      <w:pPr>
        <w:pStyle w:val="BodyText"/>
      </w:pPr>
      <w:r>
        <w:rPr>
          <w:bCs/>
          <w:b/>
        </w:rPr>
        <w:t xml:space="preserve">Author address:</w:t>
      </w:r>
      <w:r>
        <w:t xml:space="preserve"> </w:t>
      </w:r>
      <w:r>
        <w:t xml:space="preserve">[Full name, affiliation, postal address, country, and email for each author.]</w:t>
      </w:r>
    </w:p>
    <w:bookmarkEnd w:id="71"/>
    <w:sectPr>
      <w:headerReference w:type="default" r:id="rId9"/>
      <w:footerReference w:type="default" r:id="rId10"/>
      <w:pgSz w:w="11909" w:h="16834"/>
      <w:pgMar w:top="1152" w:bottom="1152" w:left="1152" w:right="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AUTHOR REVIEW COPY  |  Applications of Mathematics</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59" w:lineRule="auto" w:after="120"/>
    </w:pPr>
    <w:rPr>
      <w:rFonts w:ascii="Calibri" w:hAnsi="Calibri"/>
      <w:color w:val="000000"/>
      <w:sz w:val="22"/>
    </w:rPr>
  </w:style>
  <w:style w:styleId="BodyText" w:type="paragraph">
    <w:name w:val="Body Text"/>
    <w:basedOn w:val="Normal"/>
    <w:link w:val="BodyTextChar"/>
    <w:pPr>
      <w:spacing w:after="120" w:before="180" w:line="259" w:lineRule="auto"/>
    </w:pPr>
    <w:qFormat/>
    <w:rPr>
      <w:rFonts w:ascii="Calibri" w:hAnsi="Calibri"/>
      <w:color w:val="000000"/>
      <w:sz w:val="22"/>
    </w:rPr>
  </w:style>
  <w:style w:customStyle="1" w:styleId="FirstParagraph" w:type="paragraph">
    <w:name w:val="First Paragraph"/>
    <w:basedOn w:val="BodyText"/>
    <w:next w:val="BodyText"/>
    <w:qFormat/>
    <w:pPr>
      <w:spacing w:line="259" w:lineRule="auto" w:after="120"/>
    </w:pPr>
    <w:rPr>
      <w:rFonts w:ascii="Calibri" w:hAnsi="Calibri"/>
      <w:color w:val="000000"/>
      <w:sz w:val="22"/>
    </w:rPr>
  </w:style>
  <w:style w:customStyle="1" w:styleId="Compact" w:type="paragraph">
    <w:name w:val="Compact"/>
    <w:basedOn w:val="BodyText"/>
    <w:qFormat/>
    <w:pPr>
      <w:spacing w:after="120" w:before="36" w:line="259" w:lineRule="auto"/>
    </w:pPr>
    <w:rPr>
      <w:rFonts w:ascii="Calibri" w:hAnsi="Calibri"/>
      <w:color w:val="000000"/>
      <w:sz w:val="22"/>
    </w:rPr>
  </w:style>
  <w:style w:styleId="Title" w:type="paragraph">
    <w:name w:val="Title"/>
    <w:basedOn w:val="Normal"/>
    <w:next w:val="BodyText"/>
    <w:qFormat/>
    <w:pPr>
      <w:keepNext/>
      <w:keepLines/>
      <w:spacing w:after="200" w:before="0"/>
      <w:jc w:val="center"/>
    </w:pPr>
    <w:rPr>
      <w:rFonts w:asciiTheme="majorHAnsi" w:cstheme="majorBidi" w:eastAsiaTheme="majorEastAsia" w:hAnsiTheme="majorHAnsi" w:ascii="Calibri" w:hAnsi="Calibri"/>
      <w:b/>
      <w:bCs/>
      <w:color w:val="000000"/>
      <w:sz w:val="40"/>
      <w:szCs w:val="36"/>
    </w:rPr>
  </w:style>
  <w:style w:styleId="Subtitle" w:type="paragraph">
    <w:name w:val="Subtitle"/>
    <w:basedOn w:val="Title"/>
    <w:next w:val="BodyText"/>
    <w:qFormat/>
    <w:pPr>
      <w:keepNext/>
      <w:keepLines/>
      <w:spacing w:after="240" w:before="240"/>
      <w:jc w:val="center"/>
    </w:pPr>
    <w:rPr>
      <w:rFonts w:ascii="Calibri" w:hAnsi="Calibri"/>
      <w:color w:val="000000"/>
      <w:sz w:val="30"/>
      <w:szCs w:val="30"/>
    </w:rPr>
  </w:style>
  <w:style w:customStyle="1" w:styleId="Author" w:type="paragraph">
    <w:name w:val="Author"/>
    <w:next w:val="BodyText"/>
    <w:qFormat/>
    <w:pPr>
      <w:keepNext/>
      <w:keepLines/>
      <w:jc w:val="center"/>
    </w:pPr>
    <w:rPr>
      <w:rFonts w:ascii="Calibri" w:hAnsi="Calibri"/>
      <w:color w:val="000000"/>
    </w:rPr>
  </w:style>
  <w:style w:styleId="Date" w:type="paragraph">
    <w:name w:val="Date"/>
    <w:next w:val="BodyText"/>
    <w:qFormat/>
    <w:pPr>
      <w:keepNext/>
      <w:keepLines/>
      <w:jc w:val="center"/>
    </w:pPr>
    <w:rPr>
      <w:rFonts w:ascii="Calibri" w:hAnsi="Calibri"/>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Calibri" w:hAnsi="Calibri"/>
      <w:b/>
    </w:rPr>
  </w:style>
  <w:style w:customStyle="1" w:styleId="Abstract" w:type="paragraph">
    <w:name w:val="Abstract"/>
    <w:basedOn w:val="Normal"/>
    <w:next w:val="BodyText"/>
    <w:qFormat/>
    <w:pPr>
      <w:keepNext/>
      <w:keepLines/>
      <w:spacing w:after="300" w:before="100"/>
    </w:pPr>
    <w:rPr>
      <w:rFonts w:ascii="Calibri" w:hAnsi="Calibri"/>
      <w:color w:val="000000"/>
      <w:sz w:val="20"/>
      <w:szCs w:val="20"/>
    </w:rPr>
  </w:style>
  <w:style w:styleId="Bibliography" w:type="paragraph">
    <w:name w:val="Bibliography"/>
    <w:basedOn w:val="Normal"/>
    <w:next w:val="Bibliography"/>
    <w:qFormat/>
    <w:pPr/>
    <w:rPr>
      <w:rFonts w:ascii="Calibri" w:hAnsi="Calibri"/>
      <w:color w:val="000000"/>
    </w:rPr>
  </w:style>
  <w:style w:styleId="Heading1" w:type="paragraph">
    <w:name w:val="Heading 1"/>
    <w:basedOn w:val="Normal"/>
    <w:next w:val="BodyText"/>
    <w:uiPriority w:val="9"/>
    <w:qFormat/>
    <w:pPr>
      <w:keepNext/>
      <w:keepLines/>
      <w:spacing w:after="120" w:before="240"/>
      <w:outlineLvl w:val="0"/>
    </w:pPr>
    <w:rPr>
      <w:rFonts w:asciiTheme="majorHAnsi" w:cstheme="majorBidi" w:eastAsiaTheme="majorEastAsia" w:hAnsiTheme="majorHAnsi" w:ascii="Calibri" w:hAnsi="Calibri"/>
      <w:b/>
      <w:bCs/>
      <w:color w:val="000000"/>
      <w:sz w:val="28"/>
      <w:szCs w:val="32"/>
    </w:rPr>
  </w:style>
  <w:style w:styleId="Heading2" w:type="paragraph">
    <w:name w:val="Heading 2"/>
    <w:basedOn w:val="Normal"/>
    <w:next w:val="BodyText"/>
    <w:uiPriority w:val="9"/>
    <w:unhideWhenUsed/>
    <w:qFormat/>
    <w:pPr>
      <w:keepNext/>
      <w:keepLines/>
      <w:spacing w:after="120" w:before="240"/>
      <w:outlineLvl w:val="1"/>
    </w:pPr>
    <w:rPr>
      <w:rFonts w:asciiTheme="majorHAnsi" w:cstheme="majorBidi" w:eastAsiaTheme="majorEastAsia" w:hAnsiTheme="majorHAnsi" w:ascii="Calibri" w:hAnsi="Calibri"/>
      <w:b/>
      <w:bCs/>
      <w:color w:val="000000"/>
      <w:sz w:val="24"/>
      <w:szCs w:val="28"/>
    </w:rPr>
  </w:style>
  <w:style w:styleId="Heading3" w:type="paragraph">
    <w:name w:val="Heading 3"/>
    <w:basedOn w:val="Normal"/>
    <w:next w:val="BodyText"/>
    <w:uiPriority w:val="9"/>
    <w:unhideWhenUsed/>
    <w:qFormat/>
    <w:pPr>
      <w:keepNext/>
      <w:keepLines/>
      <w:spacing w:after="120" w:before="240"/>
      <w:outlineLvl w:val="2"/>
    </w:pPr>
    <w:rPr>
      <w:rFonts w:asciiTheme="majorHAnsi" w:cstheme="majorBidi" w:eastAsiaTheme="majorEastAsia" w:hAnsiTheme="majorHAnsi" w:ascii="Calibri" w:hAnsi="Calibri"/>
      <w:b/>
      <w:bCs/>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Calibri" w:hAnsi="Calibr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Calibri" w:hAnsi="Calibr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Calibri" w:hAnsi="Calibr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Calibri" w:hAnsi="Calibr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Calibri" w:hAnsi="Calibr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Calibri" w:hAnsi="Calibr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000000"/>
    </w:rPr>
  </w:style>
  <w:style w:styleId="FootnoteText" w:type="paragraph">
    <w:name w:val="Footnote Text"/>
    <w:basedOn w:val="Normal"/>
    <w:next w:val="FootnoteText"/>
    <w:uiPriority w:val="9"/>
    <w:unhideWhenUsed/>
    <w:qFormat/>
    <w:rPr>
      <w:rFonts w:ascii="Calibri" w:hAnsi="Calibri"/>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b/>
      <w:color w:val="000000"/>
    </w:rPr>
  </w:style>
  <w:style w:customStyle="1" w:styleId="Definition" w:type="paragraph">
    <w:name w:val="Definition"/>
    <w:basedOn w:val="Normal"/>
    <w:rPr>
      <w:rFonts w:ascii="Calibri" w:hAnsi="Calibri"/>
      <w:color w:val="000000"/>
    </w:rPr>
  </w:style>
  <w:style w:styleId="Caption" w:type="paragraph">
    <w:name w:val="Caption"/>
    <w:basedOn w:val="Normal"/>
    <w:link w:val="BodyTextChar"/>
    <w:pPr>
      <w:spacing w:after="120" w:before="0"/>
    </w:pPr>
    <w:rPr>
      <w:rFonts w:ascii="Calibri" w:hAnsi="Calibri"/>
      <w:i/>
      <w:color w:val="000000"/>
    </w:rPr>
  </w:style>
  <w:style w:customStyle="1" w:styleId="TableCaption" w:type="paragraph">
    <w:name w:val="Table Caption"/>
    <w:basedOn w:val="Caption"/>
    <w:pPr>
      <w:keepNext/>
    </w:pPr>
    <w:rPr>
      <w:rFonts w:ascii="Calibri" w:hAnsi="Calibri"/>
      <w:color w:val="000000"/>
    </w:rPr>
  </w:style>
  <w:style w:customStyle="1" w:styleId="ImageCaption" w:type="paragraph">
    <w:name w:val="Image Caption"/>
    <w:basedOn w:val="Caption"/>
    <w:rPr>
      <w:rFonts w:ascii="Calibri" w:hAnsi="Calibri"/>
      <w:color w:val="000000"/>
    </w:rPr>
  </w:style>
  <w:style w:customStyle="1" w:styleId="Figure" w:type="paragraph">
    <w:name w:val="Figure"/>
    <w:basedOn w:val="Normal"/>
    <w:rPr>
      <w:rFonts w:ascii="Calibri" w:hAnsi="Calibri"/>
      <w:color w:val="000000"/>
    </w:rPr>
  </w:style>
  <w:style w:customStyle="1" w:styleId="CaptionedFigure" w:type="paragraph">
    <w:name w:val="Captioned Figure"/>
    <w:basedOn w:val="Figure"/>
    <w:pPr>
      <w:keepNext/>
    </w:pPr>
    <w:rPr>
      <w:rFonts w:ascii="Calibri" w:hAnsi="Calibri"/>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Calibri" w:hAnsi="Calibri"/>
      <w:b w:val="0"/>
      <w:bCs w:val="0"/>
      <w:color w:val="000000"/>
    </w:rPr>
  </w:style>
  <w:style w:type="paragraph" w:customStyle="1" w:styleId="SourceCode">
    <w:name w:val="Source Code"/>
    <w:basedOn w:val="Normal"/>
    <w:link w:val="VerbatimChar"/>
    <w:pPr>
      <w:wordWrap w:val="off"/>
    </w:pPr>
    <w:rPr>
      <w:rFonts w:ascii="Calibri" w:hAnsi="Calibri"/>
      <w:color w:val="00000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1" Type="http://schemas.openxmlformats.org/officeDocument/2006/relationships/image" Target="media/rId41.png"/><Relationship Id="rId67" Type="http://schemas.openxmlformats.org/officeDocument/2006/relationships/hyperlink" Target="https://arxiv.org/abs/math/0311156" TargetMode="External"/><Relationship Id="rId63" Type="http://schemas.openxmlformats.org/officeDocument/2006/relationships/hyperlink" Target="https://doi.org/10.1007/978-1-4684-2388-4_1" TargetMode="External"/><Relationship Id="rId65" Type="http://schemas.openxmlformats.org/officeDocument/2006/relationships/hyperlink" Target="https://doi.org/10.1007/BF01588971" TargetMode="External"/><Relationship Id="rId54" Type="http://schemas.openxmlformats.org/officeDocument/2006/relationships/hyperlink" Target="https://doi.org/10.1007/s00365-022-09590-5" TargetMode="External"/><Relationship Id="rId68" Type="http://schemas.openxmlformats.org/officeDocument/2006/relationships/hyperlink" Target="https://doi.org/10.1007/s10845-024-02494-0" TargetMode="External"/><Relationship Id="rId50" Type="http://schemas.openxmlformats.org/officeDocument/2006/relationships/hyperlink" Target="https://doi.org/10.1016/0095-8956(74)90047-1" TargetMode="External"/><Relationship Id="rId59" Type="http://schemas.openxmlformats.org/officeDocument/2006/relationships/hyperlink" Target="https://doi.org/10.1016/S0004-3702(98)00023-X" TargetMode="External"/><Relationship Id="rId48" Type="http://schemas.openxmlformats.org/officeDocument/2006/relationships/hyperlink" Target="https://doi.org/10.1137/0210030" TargetMode="External"/><Relationship Id="rId64" Type="http://schemas.openxmlformats.org/officeDocument/2006/relationships/hyperlink" Target="https://doi.org/10.1214/13-AOS1144" TargetMode="External"/><Relationship Id="rId52" Type="http://schemas.openxmlformats.org/officeDocument/2006/relationships/hyperlink" Target="https://doi.org/10.1214/aoms/1177706205" TargetMode="External"/><Relationship Id="rId49" Type="http://schemas.openxmlformats.org/officeDocument/2006/relationships/hyperlink" Target="https://doi.org/10.1214/aoms/1177729032" TargetMode="External"/><Relationship Id="rId70" Type="http://schemas.openxmlformats.org/officeDocument/2006/relationships/hyperlink" Target="https://doi.org/10.1214/aoms/1177731118" TargetMode="External"/><Relationship Id="rId53" Type="http://schemas.openxmlformats.org/officeDocument/2006/relationships/hyperlink" Target="https://doi.org/10.1214/aos/1176325367" TargetMode="External"/><Relationship Id="rId58" Type="http://schemas.openxmlformats.org/officeDocument/2006/relationships/hyperlink" Target="https://doi.org/10.1287/moor.1040.0129" TargetMode="External"/><Relationship Id="rId66" Type="http://schemas.openxmlformats.org/officeDocument/2006/relationships/hyperlink" Target="https://doi.org/10.1287/opre.1050.0216" TargetMode="External"/><Relationship Id="rId69" Type="http://schemas.openxmlformats.org/officeDocument/2006/relationships/hyperlink" Target="https://doi.org/10.1287/opre.21.5.1071" TargetMode="External"/><Relationship Id="rId55" Type="http://schemas.openxmlformats.org/officeDocument/2006/relationships/hyperlink" Target="https://doi.org/10.1613/jair.3278" TargetMode="External"/><Relationship Id="rId56" Type="http://schemas.openxmlformats.org/officeDocument/2006/relationships/hyperlink" Target="https://doi.org/10.2307/2346439" TargetMode="External"/><Relationship Id="rId57" Type="http://schemas.openxmlformats.org/officeDocument/2006/relationships/hyperlink" Target="https://doi.org/10.2307/3212481" TargetMode="External"/><Relationship Id="rId51" Type="http://schemas.openxmlformats.org/officeDocument/2006/relationships/hyperlink" Target="https://jmlr.csail.mit.edu/papers/v11/carlsson10a.html" TargetMode="External"/><Relationship Id="rId60" Type="http://schemas.openxmlformats.org/officeDocument/2006/relationships/hyperlink" Target="https://jmlr.org/papers/v9/krause08b.html" TargetMode="External"/><Relationship Id="rId61" Type="http://schemas.openxmlformats.org/officeDocument/2006/relationships/hyperlink" Target="https://proceedings.mlr.press/v139/li21p.html" TargetMode="External"/><Relationship Id="rId62" Type="http://schemas.openxmlformats.org/officeDocument/2006/relationships/hyperlink" Target="https://proceedings.mlr.press/v97/ma19c.html"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67" Type="http://schemas.openxmlformats.org/officeDocument/2006/relationships/hyperlink" Target="https://arxiv.org/abs/math/0311156" TargetMode="External"/><Relationship Id="rId63" Type="http://schemas.openxmlformats.org/officeDocument/2006/relationships/hyperlink" Target="https://doi.org/10.1007/978-1-4684-2388-4_1" TargetMode="External"/><Relationship Id="rId65" Type="http://schemas.openxmlformats.org/officeDocument/2006/relationships/hyperlink" Target="https://doi.org/10.1007/BF01588971" TargetMode="External"/><Relationship Id="rId54" Type="http://schemas.openxmlformats.org/officeDocument/2006/relationships/hyperlink" Target="https://doi.org/10.1007/s00365-022-09590-5" TargetMode="External"/><Relationship Id="rId68" Type="http://schemas.openxmlformats.org/officeDocument/2006/relationships/hyperlink" Target="https://doi.org/10.1007/s10845-024-02494-0" TargetMode="External"/><Relationship Id="rId50" Type="http://schemas.openxmlformats.org/officeDocument/2006/relationships/hyperlink" Target="https://doi.org/10.1016/0095-8956(74)90047-1" TargetMode="External"/><Relationship Id="rId59" Type="http://schemas.openxmlformats.org/officeDocument/2006/relationships/hyperlink" Target="https://doi.org/10.1016/S0004-3702(98)00023-X" TargetMode="External"/><Relationship Id="rId48" Type="http://schemas.openxmlformats.org/officeDocument/2006/relationships/hyperlink" Target="https://doi.org/10.1137/0210030" TargetMode="External"/><Relationship Id="rId64" Type="http://schemas.openxmlformats.org/officeDocument/2006/relationships/hyperlink" Target="https://doi.org/10.1214/13-AOS1144" TargetMode="External"/><Relationship Id="rId52" Type="http://schemas.openxmlformats.org/officeDocument/2006/relationships/hyperlink" Target="https://doi.org/10.1214/aoms/1177706205" TargetMode="External"/><Relationship Id="rId49" Type="http://schemas.openxmlformats.org/officeDocument/2006/relationships/hyperlink" Target="https://doi.org/10.1214/aoms/1177729032" TargetMode="External"/><Relationship Id="rId70" Type="http://schemas.openxmlformats.org/officeDocument/2006/relationships/hyperlink" Target="https://doi.org/10.1214/aoms/1177731118" TargetMode="External"/><Relationship Id="rId53" Type="http://schemas.openxmlformats.org/officeDocument/2006/relationships/hyperlink" Target="https://doi.org/10.1214/aos/1176325367" TargetMode="External"/><Relationship Id="rId58" Type="http://schemas.openxmlformats.org/officeDocument/2006/relationships/hyperlink" Target="https://doi.org/10.1287/moor.1040.0129" TargetMode="External"/><Relationship Id="rId66" Type="http://schemas.openxmlformats.org/officeDocument/2006/relationships/hyperlink" Target="https://doi.org/10.1287/opre.1050.0216" TargetMode="External"/><Relationship Id="rId69" Type="http://schemas.openxmlformats.org/officeDocument/2006/relationships/hyperlink" Target="https://doi.org/10.1287/opre.21.5.1071" TargetMode="External"/><Relationship Id="rId55" Type="http://schemas.openxmlformats.org/officeDocument/2006/relationships/hyperlink" Target="https://doi.org/10.1613/jair.3278" TargetMode="External"/><Relationship Id="rId56" Type="http://schemas.openxmlformats.org/officeDocument/2006/relationships/hyperlink" Target="https://doi.org/10.2307/2346439" TargetMode="External"/><Relationship Id="rId57" Type="http://schemas.openxmlformats.org/officeDocument/2006/relationships/hyperlink" Target="https://doi.org/10.2307/3212481" TargetMode="External"/><Relationship Id="rId51" Type="http://schemas.openxmlformats.org/officeDocument/2006/relationships/hyperlink" Target="https://jmlr.csail.mit.edu/papers/v11/carlsson10a.html" TargetMode="External"/><Relationship Id="rId60" Type="http://schemas.openxmlformats.org/officeDocument/2006/relationships/hyperlink" Target="https://jmlr.org/papers/v9/krause08b.html" TargetMode="External"/><Relationship Id="rId61" Type="http://schemas.openxmlformats.org/officeDocument/2006/relationships/hyperlink" Target="https://proceedings.mlr.press/v139/li21p.html" TargetMode="External"/><Relationship Id="rId62" Type="http://schemas.openxmlformats.org/officeDocument/2006/relationships/hyperlink" Target="https://proceedings.mlr.press/v97/ma19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Minimax recovery and decision stability for tree-based evidence acquisition</dc:title>
  <dc:creator/>
  <dc:language>en-US</dc:language>
  <cp:keywords/>
  <dcterms:created xsi:type="dcterms:W3CDTF">2026-09-13T16:03:55Z</dcterms:created>
  <dcterms:modified xsi:type="dcterms:W3CDTF">2026-09-13T16:03:55Z</dcterms:modified>
  <dc:subject>Revised author-review manuscript for Applications of Mathematics</dc:subject>
</cp:coreProperties>
</file>

<file path=docProps/custom.xml><?xml version="1.0" encoding="utf-8"?>
<Properties xmlns="http://schemas.openxmlformats.org/officeDocument/2006/custom-properties" xmlns:vt="http://schemas.openxmlformats.org/officeDocument/2006/docPropsVTypes"/>
</file>