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A192F"/>
          <w:sz w:val="36"/>
        </w:rPr>
        <w:t>Dynamic AI-Based Placement Optimization on the Cloud Continuum: A Spatio-Temporal Neural Combinatorial Approach with State-Aware Migration</w:t>
      </w:r>
    </w:p>
    <w:tbl>
      <w:tblPr>
        <w:tblW w:type="auto" w:w="0"/>
        <w:jc w:val="center"/>
        <w:tblLayout w:type="fixed"/>
        <w:tblLook w:firstColumn="1" w:firstRow="1" w:lastColumn="0" w:lastRow="0" w:noHBand="0" w:noVBand="1" w:val="04A0"/>
      </w:tblPr>
      <w:tblGrid>
        <w:gridCol w:w="3360"/>
        <w:gridCol w:w="3360"/>
        <w:gridCol w:w="3360"/>
      </w:tblGrid>
      <w:tr>
        <w:tc>
          <w:tcPr>
            <w:tcW w:type="dxa" w:w="3312"/>
          </w:tcPr>
          <w:p>
            <w:pPr>
              <w:spacing w:after="40"/>
              <w:jc w:val="center"/>
            </w:pPr>
            <w:r>
              <w:rPr>
                <w:rFonts w:ascii="Times New Roman" w:hAnsi="Times New Roman"/>
                <w:b/>
                <w:sz w:val="22"/>
              </w:rPr>
              <w:t>Vignesh T</w:t>
              <w:br/>
            </w:r>
            <w:r>
              <w:rPr>
                <w:rFonts w:ascii="Times New Roman" w:hAnsi="Times New Roman"/>
                <w:i/>
                <w:color w:val="505050"/>
                <w:sz w:val="17"/>
              </w:rPr>
              <w:t>Department of Artificial Intelligence and Data Science</w:t>
              <w:br/>
              <w:t>Dr. Mahalingam College of Engineering and Technology</w:t>
            </w:r>
          </w:p>
        </w:tc>
        <w:tc>
          <w:tcPr>
            <w:tcW w:type="dxa" w:w="3312"/>
          </w:tcPr>
          <w:p>
            <w:pPr>
              <w:spacing w:after="40"/>
              <w:jc w:val="center"/>
            </w:pPr>
            <w:r>
              <w:rPr>
                <w:rFonts w:ascii="Times New Roman" w:hAnsi="Times New Roman"/>
                <w:b/>
                <w:sz w:val="22"/>
              </w:rPr>
              <w:t>Haygen Samuel</w:t>
              <w:br/>
            </w:r>
            <w:r>
              <w:rPr>
                <w:rFonts w:ascii="Times New Roman" w:hAnsi="Times New Roman"/>
                <w:i/>
                <w:color w:val="505050"/>
                <w:sz w:val="17"/>
              </w:rPr>
              <w:t>Department of Artificial Intelligence and Data Science</w:t>
              <w:br/>
              <w:t>Dr. Mahalingam College of Engineering and Technology</w:t>
            </w:r>
          </w:p>
        </w:tc>
        <w:tc>
          <w:tcPr>
            <w:tcW w:type="dxa" w:w="3312"/>
          </w:tcPr>
          <w:p>
            <w:pPr>
              <w:spacing w:after="40"/>
              <w:jc w:val="center"/>
            </w:pPr>
            <w:r>
              <w:rPr>
                <w:rFonts w:ascii="Times New Roman" w:hAnsi="Times New Roman"/>
                <w:b/>
                <w:sz w:val="22"/>
              </w:rPr>
              <w:t>Gokulan A</w:t>
              <w:br/>
            </w:r>
            <w:r>
              <w:rPr>
                <w:rFonts w:ascii="Times New Roman" w:hAnsi="Times New Roman"/>
                <w:i/>
                <w:color w:val="505050"/>
                <w:sz w:val="17"/>
              </w:rPr>
              <w:t>Department of Artificial Intelligence and Data Science</w:t>
              <w:br/>
              <w:t>Dr. Mahalingam College of Engineering and Technology</w:t>
            </w:r>
          </w:p>
        </w:tc>
      </w:tr>
    </w:tbl>
    <w:p>
      <w:pPr>
        <w:spacing w:before="160" w:after="120"/>
      </w:pPr>
    </w:p>
    <w:p>
      <w:pPr>
        <w:spacing w:before="80" w:after="80"/>
        <w:ind w:left="360" w:right="360"/>
        <w:jc w:val="both"/>
      </w:pPr>
      <w:r>
        <w:rPr>
          <w:rFonts w:ascii="Times New Roman" w:hAnsi="Times New Roman"/>
          <w:b/>
          <w:sz w:val="19"/>
        </w:rPr>
        <w:t xml:space="preserve">Abstract— </w:t>
      </w:r>
      <w:r>
        <w:rPr>
          <w:rFonts w:ascii="Times New Roman" w:hAnsi="Times New Roman"/>
          <w:b/>
          <w:sz w:val="19"/>
        </w:rPr>
        <w:t>The orchestration of Service Function Chains (SFCs) composed of Cloud-Native Network Functions (CNFs) across heterogeneous Cloud-Continuum infrastructure (Edge, Fog, Cloud) is a cornerstone of 5G and emerging 6G mobile networks. However, joint placement optimization under dynamic network conditions remains fundamentally bounded by two unaddressed bottlenecks: the non-stationary temporal fluctuations of continuum compute and link capacities, and the transient service disruptions caused by uncoordinated stateful CNF migration. Existing optimization paradigms, including Mixed-Integer Linear Programming (MILP), greedy heuristics, and emerging Denoising Diffusion Probabilistic Models (DDPM), treat placement either as static snapshot matching or ignore dynamic application state (active session contexts, socket buffers, ephemeral memory), yielding severe placement-cost penalties and SLA violations. In this paper, we propose TGNN-NCO, an end-to-end framework combining Spatio-Temporal Graph Neural Networks (TGNN) with Actor-Critic Neural Combinatorial Optimization (NCO) and an autoregressive pointer decoder. Our approach couples vectorized spatial graph convolutions with a temporal Gated Recurrent Unit (GRU) across a chronological sliding window (W=5) to track continuous network drift. To ensure strict SLA compliance, we design an autoregressive pointer decoder with Service-Function-Chain-priority ordering (tightest-budget first) and dynamic residual-capacity masking, mathematically guaranteeing zero node capacity violations by construction. Furthermore, we incorporate an analytical dirty-memory state migration penalty into the objective function to discourage detrimental container relocations. Extensive empirical evaluations across six temporal stress scenarios demonstrate that TGNN-NCO achieves a 98.5% feasibility rate (outperforming static GNNs by 14.3% and greedy heuristics by up to 27.5%), maintains sub-linear inference time (&lt;= 5.1 ms for 100 continuum nodes, offering a 23,500x speedup over exact MILP), and preserves a tight optimality gap bounded within 0% to 5% of the theoretical ground truth.</w:t>
      </w:r>
    </w:p>
    <w:p>
      <w:pPr>
        <w:spacing w:after="280"/>
        <w:ind w:left="360" w:right="360"/>
      </w:pPr>
      <w:r>
        <w:rPr>
          <w:rFonts w:ascii="Times New Roman" w:hAnsi="Times New Roman"/>
          <w:b/>
          <w:sz w:val="19"/>
        </w:rPr>
        <w:t xml:space="preserve">Index Terms— </w:t>
      </w:r>
      <w:r>
        <w:rPr>
          <w:rFonts w:ascii="Times New Roman" w:hAnsi="Times New Roman"/>
          <w:i/>
          <w:sz w:val="19"/>
        </w:rPr>
        <w:t>Cloud Continuum, Cloud-Native Network Functions (CNF), Service Function Chaining (SFC), Spatio-Temporal Graph Neural Networks, Neural Combinatorial Optimization, State Migration, Reinforcement Learning.</w:t>
      </w:r>
    </w:p>
    <w:p>
      <w:pPr>
        <w:keepNext/>
        <w:spacing w:before="280" w:after="80"/>
      </w:pPr>
      <w:r>
        <w:rPr>
          <w:rFonts w:ascii="Times New Roman" w:hAnsi="Times New Roman"/>
          <w:b/>
          <w:color w:val="0A192F"/>
          <w:sz w:val="22"/>
        </w:rPr>
        <w:t>I. INTRODUCTION</w:t>
      </w:r>
    </w:p>
    <w:p>
      <w:pPr>
        <w:spacing w:before="0" w:after="120" w:line="276" w:lineRule="auto"/>
        <w:jc w:val="both"/>
      </w:pPr>
      <w:r>
        <w:rPr>
          <w:rFonts w:ascii="Times New Roman" w:hAnsi="Times New Roman"/>
          <w:sz w:val="20"/>
        </w:rPr>
        <w:t>The continuous evolution of mobile telecommunications toward 5G-Advanced and 6G architectures has accelerated the transition from monolithic telecommunication appliances to Cloud-Native Network Functions (CNFs) [1]. Deployed as lightweight, containerized microservices (e.g., User Plane Functions [UPF], Access and Mobility Management Functions [AMF], and edge firewalls), CNFs are sequentially interconnected to form Service Function Chains (SFCs) that enforce specialized packet-processing policies [2]. Concurrently, physical infrastructure has transitioned into a highly distributed Cloud Continuum, spanning resource-constrained Edge access points, intermediate Fog aggregation clusters, and centralized hyperscale Data Centers (Cloud).</w:t>
      </w:r>
    </w:p>
    <w:p>
      <w:pPr>
        <w:spacing w:before="0" w:after="120" w:line="276" w:lineRule="auto"/>
        <w:jc w:val="both"/>
      </w:pPr>
      <w:r>
        <w:rPr>
          <w:rFonts w:ascii="Times New Roman" w:hAnsi="Times New Roman"/>
          <w:sz w:val="20"/>
        </w:rPr>
        <w:t>Operating SFCs across this heterogeneous continuum introduces a multi-dimensional, NP-hard combinatorial optimization problem: mapping ordered CNF instances onto physical computing nodes while minimizing operational deployment costs and packet traversal latency, subject to strict multi-resource capacities (CPU, RAM, Storage) and link bandwidth constraints. This challenge is substantially compounded by two real-world phenomena:</w:t>
      </w:r>
    </w:p>
    <w:p>
      <w:pPr>
        <w:pStyle w:val="ListBullet"/>
        <w:spacing w:before="0" w:after="80" w:line="276" w:lineRule="auto"/>
        <w:jc w:val="both"/>
      </w:pPr>
      <w:r>
        <w:rPr>
          <w:rFonts w:ascii="Times New Roman" w:hAnsi="Times New Roman"/>
          <w:b/>
          <w:sz w:val="20"/>
        </w:rPr>
        <w:t xml:space="preserve">Continuous Non-Stationary Temporal Dynamics: </w:t>
      </w:r>
      <w:r>
        <w:rPr>
          <w:rFonts w:ascii="Times New Roman" w:hAnsi="Times New Roman"/>
          <w:sz w:val="20"/>
        </w:rPr>
        <w:t>Available compute resources, background traffic loads, and communication link latencies across the continuum fluctuate rapidly over time due to user mobility, diurnal traffic cycles, and stochastic node failures. Classical static optimizers produce placements that rapidly degrade into SLA violations within minutes of deployment.</w:t>
      </w:r>
    </w:p>
    <w:p>
      <w:pPr>
        <w:pStyle w:val="ListBullet"/>
        <w:spacing w:before="0" w:after="80" w:line="276" w:lineRule="auto"/>
        <w:jc w:val="both"/>
      </w:pPr>
      <w:r>
        <w:rPr>
          <w:rFonts w:ascii="Times New Roman" w:hAnsi="Times New Roman"/>
          <w:b/>
          <w:sz w:val="20"/>
        </w:rPr>
        <w:t xml:space="preserve">Dynamic Application State and Migration Overhead: </w:t>
      </w:r>
      <w:r>
        <w:rPr>
          <w:rFonts w:ascii="Times New Roman" w:hAnsi="Times New Roman"/>
          <w:sz w:val="20"/>
        </w:rPr>
        <w:t>Unlike stateless web services, core network CNFs maintain significant volatile application state, including active subscriber session tables, in-flight TCP socket buffers, encryption contexts, and ephemeral memory pages [3]. Moving a containerized CNF to an alternate compute node incurs severe pre-copy dirty-memory transfer delays and transient link bandwidth saturation. When algorithmic schedulers neglect this state migration penalty, the latency savings gained from relocations are completely negated by state-transfer-induced service disruptions.</w:t>
      </w:r>
    </w:p>
    <w:p>
      <w:pPr>
        <w:spacing w:before="0" w:after="120" w:line="276" w:lineRule="auto"/>
        <w:jc w:val="both"/>
      </w:pPr>
      <w:r>
        <w:rPr>
          <w:rFonts w:ascii="Times New Roman" w:hAnsi="Times New Roman"/>
          <w:sz w:val="20"/>
        </w:rPr>
        <w:t>Current literature treats CNF placement predominantly through two isolated perspectives. On one hand, inter-domain federation frameworks (such as GSMA Operator Platforms, 3GPP Service-Based Architecture, and O-RAN near-RT RICs) standardize cross-operator control-plane signaling and container lifecycle hooks [4]-[7]. However, these frameworks focus strictly on administrative negotiation and lack algorithmic intelligence for dynamic, state-aware placement optimization. On the other hand, intra-domain algorithmic schedulers have recently leveraged Denoising Diffusion Probabilistic Models (DDPM) coupled with Graph Neural Networks (GNNs) [8], [9]. While capable of generating structured assignment matrices, diffusion models require dozens of iterative stochastic reverse-sampling steps, rendering them too computationally slow for real-time edge control (&gt; 1 second). Moreover, diffusion models enforce resource limits via soft penalty guidance, frequently yielding constraint-violating assignments under tight capacity regimes, while ignoring temporal state history and dirty-memory transfer penalties.</w:t>
      </w:r>
    </w:p>
    <w:p>
      <w:pPr>
        <w:spacing w:before="0" w:after="120" w:line="276" w:lineRule="auto"/>
        <w:jc w:val="both"/>
      </w:pPr>
      <w:r>
        <w:rPr>
          <w:rFonts w:ascii="Times New Roman" w:hAnsi="Times New Roman"/>
          <w:sz w:val="20"/>
        </w:rPr>
        <w:t>To address these fundamental limitations, we propose TGNN-NCO, an end-to-end framework combining Spatio-Temporal Graph Neural Networks (TGNN) with Neural Combinatorial Optimization (NCO) for near real-time, state-aware CNF placement across the cloud continuum. TGNN-NCO captures continuous network drift through a sliding-window temporal graph encoder and utilizes an autoregressive pointer decoder with dynamic residual-capacity masking to guarantee zero capacity violations by construction.</w:t>
      </w:r>
    </w:p>
    <w:p>
      <w:pPr>
        <w:keepNext/>
        <w:spacing w:before="200" w:after="60"/>
      </w:pPr>
      <w:r>
        <w:rPr>
          <w:rFonts w:ascii="Times New Roman" w:hAnsi="Times New Roman"/>
          <w:b/>
          <w:i/>
          <w:color w:val="1E283C"/>
          <w:sz w:val="21"/>
        </w:rPr>
        <w:t>A. Contributions</w:t>
      </w:r>
    </w:p>
    <w:p>
      <w:pPr>
        <w:pStyle w:val="ListBullet"/>
        <w:spacing w:before="0" w:after="80" w:line="276" w:lineRule="auto"/>
        <w:jc w:val="both"/>
      </w:pPr>
      <w:r>
        <w:rPr>
          <w:rFonts w:ascii="Times New Roman" w:hAnsi="Times New Roman"/>
          <w:b/>
          <w:sz w:val="20"/>
        </w:rPr>
        <w:t xml:space="preserve">State-Aware Multi-Objective Formulation: </w:t>
      </w:r>
      <w:r>
        <w:rPr>
          <w:rFonts w:ascii="Times New Roman" w:hAnsi="Times New Roman"/>
          <w:sz w:val="20"/>
        </w:rPr>
        <w:t>We formalize the dynamic cloud-continuum CNF placement problem incorporating an analytical dirty-memory pre-copy migration penalty, jointly optimizing compute expenditure, traversal delay, and state-transfer overhead under non-stationary continuum dynamics.</w:t>
      </w:r>
    </w:p>
    <w:p>
      <w:pPr>
        <w:pStyle w:val="ListBullet"/>
        <w:spacing w:before="0" w:after="80" w:line="276" w:lineRule="auto"/>
        <w:jc w:val="both"/>
      </w:pPr>
      <w:r>
        <w:rPr>
          <w:rFonts w:ascii="Times New Roman" w:hAnsi="Times New Roman"/>
          <w:b/>
          <w:sz w:val="20"/>
        </w:rPr>
        <w:t xml:space="preserve">Spatio-Temporal Graph Neural Network Architecture: </w:t>
      </w:r>
      <w:r>
        <w:rPr>
          <w:rFonts w:ascii="Times New Roman" w:hAnsi="Times New Roman"/>
          <w:sz w:val="20"/>
        </w:rPr>
        <w:t>We design a vectorized TGNN encoder that merges spatial graph convolutions over Waxman network topologies with temporal Gated Recurrent Units (GRU) operating on a sliding window (W=5), capturing both spatial network topology and non-stationary resource fluctuations.</w:t>
      </w:r>
    </w:p>
    <w:p>
      <w:pPr>
        <w:pStyle w:val="ListBullet"/>
        <w:spacing w:before="0" w:after="80" w:line="276" w:lineRule="auto"/>
        <w:jc w:val="both"/>
      </w:pPr>
      <w:r>
        <w:rPr>
          <w:rFonts w:ascii="Times New Roman" w:hAnsi="Times New Roman"/>
          <w:b/>
          <w:sz w:val="20"/>
        </w:rPr>
        <w:t xml:space="preserve">Autoregressive Pointer Decoder with Hard Feasibility Guarantees: </w:t>
      </w:r>
      <w:r>
        <w:rPr>
          <w:rFonts w:ascii="Times New Roman" w:hAnsi="Times New Roman"/>
          <w:sz w:val="20"/>
        </w:rPr>
        <w:t>We introduce an autoregressive cross-attention decoder operating under an SFC-priority sequence (tightest delay budget first) paired with a dynamic residual-capacity action mask. This ensures that node CPU, RAM, and Storage constraints are strictly satisfied by construction (0% violation) without relying on heuristic repair.</w:t>
      </w:r>
    </w:p>
    <w:p>
      <w:pPr>
        <w:pStyle w:val="ListBullet"/>
        <w:spacing w:before="0" w:after="80" w:line="276" w:lineRule="auto"/>
        <w:jc w:val="both"/>
      </w:pPr>
      <w:r>
        <w:rPr>
          <w:rFonts w:ascii="Times New Roman" w:hAnsi="Times New Roman"/>
          <w:b/>
          <w:sz w:val="20"/>
        </w:rPr>
        <w:t xml:space="preserve">Curriculum-Annealed Reinforcement Learning: </w:t>
      </w:r>
      <w:r>
        <w:rPr>
          <w:rFonts w:ascii="Times New Roman" w:hAnsi="Times New Roman"/>
          <w:sz w:val="20"/>
        </w:rPr>
        <w:t>We formulate a Proximal Policy Optimization (PPO) pipeline with Generalized Advantage Estimation (GAE) and curriculum penalty annealing (beta(t)), enabling stable convergence from random exploration to near-optimal, high-feasibility policies.</w:t>
      </w:r>
    </w:p>
    <w:p>
      <w:pPr>
        <w:pStyle w:val="ListBullet"/>
        <w:spacing w:before="0" w:after="80" w:line="276" w:lineRule="auto"/>
        <w:jc w:val="both"/>
      </w:pPr>
      <w:r>
        <w:rPr>
          <w:rFonts w:ascii="Times New Roman" w:hAnsi="Times New Roman"/>
          <w:b/>
          <w:sz w:val="20"/>
        </w:rPr>
        <w:t xml:space="preserve">Comprehensive Empirical Benchmarking: </w:t>
      </w:r>
      <w:r>
        <w:rPr>
          <w:rFonts w:ascii="Times New Roman" w:hAnsi="Times New Roman"/>
          <w:sz w:val="20"/>
        </w:rPr>
        <w:t>We benchmark TGNN-NCO against exact Mixed-Integer Non-Linear Programming (GEKKO MINLP), greedy heuristics, and neural ablations across six exogenous temporal stress regimes. Our framework delivers a 98.5% feasibility rate, sub-5.1 ms inference latency (23,500x faster than MINLP at N=100), and an optimality gap strictly bounded within 0% to 5%.</w:t>
      </w:r>
    </w:p>
    <w:p>
      <w:pPr>
        <w:keepNext/>
        <w:spacing w:before="280" w:after="80"/>
      </w:pPr>
      <w:r>
        <w:rPr>
          <w:rFonts w:ascii="Times New Roman" w:hAnsi="Times New Roman"/>
          <w:b/>
          <w:color w:val="0A192F"/>
          <w:sz w:val="22"/>
        </w:rPr>
        <w:t>II. RELATED WORK &amp; RESEARCH GAP</w:t>
      </w:r>
    </w:p>
    <w:p>
      <w:pPr>
        <w:spacing w:before="0" w:after="120" w:line="276" w:lineRule="auto"/>
        <w:jc w:val="both"/>
      </w:pPr>
      <w:r>
        <w:rPr>
          <w:rFonts w:ascii="Times New Roman" w:hAnsi="Times New Roman"/>
          <w:sz w:val="20"/>
        </w:rPr>
        <w:t>The operational mechanisms governing Service Function Chaining (SFC) in virtualized mobile networks span inter-domain control-plane orchestration and intra-domain resource optimization.</w:t>
      </w:r>
    </w:p>
    <w:p>
      <w:pPr>
        <w:keepNext/>
        <w:spacing w:before="200" w:after="60"/>
      </w:pPr>
      <w:r>
        <w:rPr>
          <w:rFonts w:ascii="Times New Roman" w:hAnsi="Times New Roman"/>
          <w:b/>
          <w:i/>
          <w:color w:val="1E283C"/>
          <w:sz w:val="21"/>
        </w:rPr>
        <w:t>A. Inter-Domain Federation Frameworks</w:t>
      </w:r>
    </w:p>
    <w:p>
      <w:pPr>
        <w:spacing w:before="0" w:after="120" w:line="276" w:lineRule="auto"/>
        <w:jc w:val="both"/>
      </w:pPr>
      <w:r>
        <w:rPr>
          <w:rFonts w:ascii="Times New Roman" w:hAnsi="Times New Roman"/>
          <w:sz w:val="20"/>
        </w:rPr>
        <w:t>The deployment of 5G and future 6G network slices frequently traverses multi-operator boundaries, especially in Connected and Automated Mobility (CAM) and Cellular Vehicle-to-Everything (C-V2X) scenarios [4]. To maintain service continuity when user equipment roams between visited Mobile Network Operators (MNOs), standardization bodies have established federated orchestration frameworks: the GSMA Operator Platform Group (OPG) standardizes East-West interfaces (OPG.01/02) enabling mutual discovery, slice template negotiation, and federated edge resource sharing [5]; 3GPP Service-Based Architecture (SBA) defines Network Slice Selection Functions (NSSF) and Network Exposure Functions (NEF) for cross-domain slice coordination [6]; and the O-RAN Alliance introduces Near-Real-Time RAN Intelligent Controllers (RICs) utilizing standardized E2 and A1 interfaces to execute AI-driven optimization xApps [7]. Dalgitsis et al. [4] introduced a cloud-native framework utilizing standardized container lifecycle hooks to automate CNF deployment across heterogeneous multi-operator platforms. However, these frameworks focus on administrative negotiation and do not resolve the algorithmic problem of dynamic multi-constraint placement.</w:t>
      </w:r>
    </w:p>
    <w:p>
      <w:pPr>
        <w:keepNext/>
        <w:spacing w:before="200" w:after="60"/>
      </w:pPr>
      <w:r>
        <w:rPr>
          <w:rFonts w:ascii="Times New Roman" w:hAnsi="Times New Roman"/>
          <w:b/>
          <w:i/>
          <w:color w:val="1E283C"/>
          <w:sz w:val="21"/>
        </w:rPr>
        <w:t>B. Intra-Domain CNF Placement Optimization</w:t>
      </w:r>
    </w:p>
    <w:p>
      <w:pPr>
        <w:spacing w:before="0" w:after="120" w:line="276" w:lineRule="auto"/>
        <w:jc w:val="both"/>
      </w:pPr>
      <w:r>
        <w:rPr>
          <w:rFonts w:ascii="Times New Roman" w:hAnsi="Times New Roman"/>
          <w:sz w:val="20"/>
        </w:rPr>
        <w:t>Intra-domain placement addresses the NP-hard Virtual Network Function Placement and Routing (VNF-PR) problem [2]. Classical exact formulations employ Mixed-Integer Linear Programming (MILP) or Mixed-Integer Non-Linear Programming (MINLP) [10]. While optimal, exact solvers exhibit exponential complexity O(2^N), proving intractable for topologies beyond N=15 nodes under sub-second control horizons. Heuristic algorithms, such as First-Fit Decreasing (FFD) and shortest-path greedy algorithms, execute in milliseconds but yield high constraint violation rates when link bandwidth or latency budgets are tight.</w:t>
      </w:r>
    </w:p>
    <w:p>
      <w:pPr>
        <w:spacing w:before="0" w:after="120" w:line="276" w:lineRule="auto"/>
        <w:jc w:val="both"/>
      </w:pPr>
      <w:r>
        <w:rPr>
          <w:rFonts w:ascii="Times New Roman" w:hAnsi="Times New Roman"/>
          <w:sz w:val="20"/>
        </w:rPr>
        <w:t>Deep Reinforcement Learning (DRL) and Deep Generative Models have emerged to address combinatorial routing and placement. Graph Neural Networks (GNNs) [11], [12] embed network topologies, while Neural Combinatorial Optimization (NCO) [13]-[15] uses attention mechanisms to solve routing tasks. Recently, Vázquez-Rodríguez et al. [8] pioneered CNFP, framing placement as conditional continuous-to-discrete matrix denoising using Denoising Diffusion Probabilistic Models (DDPM) [16], [17].</w:t>
      </w:r>
    </w:p>
    <w:p>
      <w:pPr>
        <w:keepNext/>
        <w:spacing w:before="200" w:after="60"/>
      </w:pPr>
      <w:r>
        <w:rPr>
          <w:rFonts w:ascii="Times New Roman" w:hAnsi="Times New Roman"/>
          <w:b/>
          <w:i/>
          <w:color w:val="1E283C"/>
          <w:sz w:val="21"/>
        </w:rPr>
        <w:t>C. The Unaddressed Research Gap: Dynamic Application State</w:t>
      </w:r>
    </w:p>
    <w:p>
      <w:pPr>
        <w:spacing w:before="0" w:after="120" w:line="276" w:lineRule="auto"/>
        <w:jc w:val="both"/>
      </w:pPr>
      <w:r>
        <w:rPr>
          <w:rFonts w:ascii="Times New Roman" w:hAnsi="Times New Roman"/>
          <w:sz w:val="20"/>
        </w:rPr>
        <w:t>Despite these advancements, an acute architectural gap exists between federation protocols and algorithmic placement models, as summarized in Table I. Current state-of-the-art placement models (including DDPM and static GNNs) treat CNFs as stateless compute tasks. In reality, telecom microservices maintain rich, dynamic application states consisting of: (1) Active Subscriber Session Contexts (GTP-U tunnels, subscriber IP bindings, charging records within UPF/AMF); (2) In-Flight TCP/IP Socket Buffers in edge firewalls; and (3) Dynamic In-Memory Caches in edge inference services.</w:t>
      </w:r>
    </w:p>
    <w:p>
      <w:pPr>
        <w:spacing w:before="0" w:after="120" w:line="276" w:lineRule="auto"/>
        <w:jc w:val="both"/>
      </w:pPr>
      <w:r>
        <w:rPr>
          <w:rFonts w:ascii="Times New Roman" w:hAnsi="Times New Roman"/>
          <w:sz w:val="20"/>
        </w:rPr>
        <w:t>Neglecting this volatile application state causes three catastrophic operational failures: state disruption during mobility handoffs, severe placement cost penalties from uncoordinated state transfer, and bandwidth synchronization overhead on constrained edge-to-cloud links. Furthermore, existing DDPM-based methods require dozens of sequential diffusion iterations (&gt; 1 second), making them too slow to react to continuous network fluctuations, and rely on soft loss penalties that fail to guarantee hard capacity constraint satisfaction. Our work directly bridges this gap by integrating an analytical dirty-memory state migration model into an ultra-fast, zero-violation Spatio-Temporal NCO framework.</w:t>
      </w:r>
    </w:p>
    <w:p>
      <w:pPr>
        <w:spacing w:before="160" w:after="80"/>
        <w:jc w:val="center"/>
      </w:pPr>
      <w:r>
        <w:rPr>
          <w:rFonts w:ascii="Times New Roman" w:hAnsi="Times New Roman"/>
          <w:b/>
          <w:sz w:val="19"/>
        </w:rPr>
        <w:t>TABLE I: System Integration Matrix: Comparison of Placement Paradigms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D9E1E8"/>
            <w:tcMar>
              <w:top w:w="60" w:type="dxa"/>
              <w:bottom w:w="60" w:type="dxa"/>
              <w:left w:w="80" w:type="dxa"/>
              <w:right w:w="80" w:type="dxa"/>
            </w:tcMar>
          </w:tcPr>
          <w:p>
            <w:r>
              <w:rPr>
                <w:rFonts w:ascii="Times New Roman" w:hAnsi="Times New Roman"/>
                <w:b/>
                <w:sz w:val="17"/>
              </w:rPr>
              <w:t>Paradigm</w:t>
            </w:r>
          </w:p>
        </w:tc>
        <w:tc>
          <w:tcPr>
            <w:tcW w:type="dxa" w:w="2016"/>
            <w:shd w:fill="D9E1E8"/>
            <w:tcMar>
              <w:top w:w="60" w:type="dxa"/>
              <w:bottom w:w="60" w:type="dxa"/>
              <w:left w:w="80" w:type="dxa"/>
              <w:right w:w="80" w:type="dxa"/>
            </w:tcMar>
          </w:tcPr>
          <w:p>
            <w:r>
              <w:rPr>
                <w:rFonts w:ascii="Times New Roman" w:hAnsi="Times New Roman"/>
                <w:b/>
                <w:sz w:val="17"/>
              </w:rPr>
              <w:t>Core Mechanism</w:t>
            </w:r>
          </w:p>
        </w:tc>
        <w:tc>
          <w:tcPr>
            <w:tcW w:type="dxa" w:w="2016"/>
            <w:shd w:fill="D9E1E8"/>
            <w:tcMar>
              <w:top w:w="60" w:type="dxa"/>
              <w:bottom w:w="60" w:type="dxa"/>
              <w:left w:w="80" w:type="dxa"/>
              <w:right w:w="80" w:type="dxa"/>
            </w:tcMar>
          </w:tcPr>
          <w:p>
            <w:r>
              <w:rPr>
                <w:rFonts w:ascii="Times New Roman" w:hAnsi="Times New Roman"/>
                <w:b/>
                <w:sz w:val="17"/>
              </w:rPr>
              <w:t>Inference Speed</w:t>
            </w:r>
          </w:p>
        </w:tc>
        <w:tc>
          <w:tcPr>
            <w:tcW w:type="dxa" w:w="2016"/>
            <w:shd w:fill="D9E1E8"/>
            <w:tcMar>
              <w:top w:w="60" w:type="dxa"/>
              <w:bottom w:w="60" w:type="dxa"/>
              <w:left w:w="80" w:type="dxa"/>
              <w:right w:w="80" w:type="dxa"/>
            </w:tcMar>
          </w:tcPr>
          <w:p>
            <w:r>
              <w:rPr>
                <w:rFonts w:ascii="Times New Roman" w:hAnsi="Times New Roman"/>
                <w:b/>
                <w:sz w:val="17"/>
              </w:rPr>
              <w:t>Constraint Handling</w:t>
            </w:r>
          </w:p>
        </w:tc>
        <w:tc>
          <w:tcPr>
            <w:tcW w:type="dxa" w:w="2016"/>
            <w:shd w:fill="D9E1E8"/>
            <w:tcMar>
              <w:top w:w="60" w:type="dxa"/>
              <w:bottom w:w="60" w:type="dxa"/>
              <w:left w:w="80" w:type="dxa"/>
              <w:right w:w="80" w:type="dxa"/>
            </w:tcMar>
          </w:tcPr>
          <w:p>
            <w:r>
              <w:rPr>
                <w:rFonts w:ascii="Times New Roman" w:hAnsi="Times New Roman"/>
                <w:b/>
                <w:sz w:val="17"/>
              </w:rPr>
              <w:t>Dynamic State Treatment</w:t>
            </w:r>
          </w:p>
        </w:tc>
      </w:tr>
      <w:tr>
        <w:tc>
          <w:tcPr>
            <w:tcW w:type="dxa" w:w="2016"/>
            <w:tcMar>
              <w:top w:w="50" w:type="dxa"/>
              <w:bottom w:w="50" w:type="dxa"/>
              <w:left w:w="80" w:type="dxa"/>
              <w:right w:w="80" w:type="dxa"/>
            </w:tcMar>
          </w:tcPr>
          <w:p>
            <w:r>
              <w:rPr>
                <w:rFonts w:ascii="Times New Roman" w:hAnsi="Times New Roman"/>
                <w:sz w:val="16"/>
              </w:rPr>
              <w:t>Inter-Domain Federation [4], [5]</w:t>
            </w:r>
          </w:p>
        </w:tc>
        <w:tc>
          <w:tcPr>
            <w:tcW w:type="dxa" w:w="2016"/>
            <w:tcMar>
              <w:top w:w="50" w:type="dxa"/>
              <w:bottom w:w="50" w:type="dxa"/>
              <w:left w:w="80" w:type="dxa"/>
              <w:right w:w="80" w:type="dxa"/>
            </w:tcMar>
          </w:tcPr>
          <w:p>
            <w:r>
              <w:rPr>
                <w:rFonts w:ascii="Times New Roman" w:hAnsi="Times New Roman"/>
                <w:sz w:val="16"/>
              </w:rPr>
              <w:t>GSMA OP &amp; SFaaS Hooks</w:t>
            </w:r>
          </w:p>
        </w:tc>
        <w:tc>
          <w:tcPr>
            <w:tcW w:type="dxa" w:w="2016"/>
            <w:tcMar>
              <w:top w:w="50" w:type="dxa"/>
              <w:bottom w:w="50" w:type="dxa"/>
              <w:left w:w="80" w:type="dxa"/>
              <w:right w:w="80" w:type="dxa"/>
            </w:tcMar>
          </w:tcPr>
          <w:p>
            <w:r>
              <w:rPr>
                <w:rFonts w:ascii="Times New Roman" w:hAnsi="Times New Roman"/>
                <w:sz w:val="16"/>
              </w:rPr>
              <w:t>Minutes (Control Plane)</w:t>
            </w:r>
          </w:p>
        </w:tc>
        <w:tc>
          <w:tcPr>
            <w:tcW w:type="dxa" w:w="2016"/>
            <w:tcMar>
              <w:top w:w="50" w:type="dxa"/>
              <w:bottom w:w="50" w:type="dxa"/>
              <w:left w:w="80" w:type="dxa"/>
              <w:right w:w="80" w:type="dxa"/>
            </w:tcMar>
          </w:tcPr>
          <w:p>
            <w:r>
              <w:rPr>
                <w:rFonts w:ascii="Times New Roman" w:hAnsi="Times New Roman"/>
                <w:sz w:val="16"/>
              </w:rPr>
              <w:t>Manual / Template-Based</w:t>
            </w:r>
          </w:p>
        </w:tc>
        <w:tc>
          <w:tcPr>
            <w:tcW w:type="dxa" w:w="2016"/>
            <w:tcMar>
              <w:top w:w="50" w:type="dxa"/>
              <w:bottom w:w="50" w:type="dxa"/>
              <w:left w:w="80" w:type="dxa"/>
              <w:right w:w="80" w:type="dxa"/>
            </w:tcMar>
          </w:tcPr>
          <w:p>
            <w:r>
              <w:rPr>
                <w:rFonts w:ascii="Times New Roman" w:hAnsi="Times New Roman"/>
                <w:sz w:val="16"/>
              </w:rPr>
              <w:t>External sync; causes session disruption</w:t>
            </w:r>
          </w:p>
        </w:tc>
      </w:tr>
      <w:tr>
        <w:tc>
          <w:tcPr>
            <w:tcW w:type="dxa" w:w="2016"/>
            <w:shd w:fill="F7F9FA"/>
            <w:tcMar>
              <w:top w:w="50" w:type="dxa"/>
              <w:bottom w:w="50" w:type="dxa"/>
              <w:left w:w="80" w:type="dxa"/>
              <w:right w:w="80" w:type="dxa"/>
            </w:tcMar>
          </w:tcPr>
          <w:p>
            <w:r>
              <w:rPr>
                <w:rFonts w:ascii="Times New Roman" w:hAnsi="Times New Roman"/>
                <w:sz w:val="16"/>
              </w:rPr>
              <w:t>Exact Solvers (MINLP) [10]</w:t>
            </w:r>
          </w:p>
        </w:tc>
        <w:tc>
          <w:tcPr>
            <w:tcW w:type="dxa" w:w="2016"/>
            <w:shd w:fill="F7F9FA"/>
            <w:tcMar>
              <w:top w:w="50" w:type="dxa"/>
              <w:bottom w:w="50" w:type="dxa"/>
              <w:left w:w="80" w:type="dxa"/>
              <w:right w:w="80" w:type="dxa"/>
            </w:tcMar>
          </w:tcPr>
          <w:p>
            <w:r>
              <w:rPr>
                <w:rFonts w:ascii="Times New Roman" w:hAnsi="Times New Roman"/>
                <w:sz w:val="16"/>
              </w:rPr>
              <w:t>Branch-and-Bound (APOPT)</w:t>
            </w:r>
          </w:p>
        </w:tc>
        <w:tc>
          <w:tcPr>
            <w:tcW w:type="dxa" w:w="2016"/>
            <w:shd w:fill="F7F9FA"/>
            <w:tcMar>
              <w:top w:w="50" w:type="dxa"/>
              <w:bottom w:w="50" w:type="dxa"/>
              <w:left w:w="80" w:type="dxa"/>
              <w:right w:w="80" w:type="dxa"/>
            </w:tcMar>
          </w:tcPr>
          <w:p>
            <w:r>
              <w:rPr>
                <w:rFonts w:ascii="Times New Roman" w:hAnsi="Times New Roman"/>
                <w:sz w:val="16"/>
              </w:rPr>
              <w:t>Exponential (&gt; 100s at N=50)</w:t>
            </w:r>
          </w:p>
        </w:tc>
        <w:tc>
          <w:tcPr>
            <w:tcW w:type="dxa" w:w="2016"/>
            <w:shd w:fill="F7F9FA"/>
            <w:tcMar>
              <w:top w:w="50" w:type="dxa"/>
              <w:bottom w:w="50" w:type="dxa"/>
              <w:left w:w="80" w:type="dxa"/>
              <w:right w:w="80" w:type="dxa"/>
            </w:tcMar>
          </w:tcPr>
          <w:p>
            <w:r>
              <w:rPr>
                <w:rFonts w:ascii="Times New Roman" w:hAnsi="Times New Roman"/>
                <w:sz w:val="16"/>
              </w:rPr>
              <w:t>Hard Mathematical Proof</w:t>
            </w:r>
          </w:p>
        </w:tc>
        <w:tc>
          <w:tcPr>
            <w:tcW w:type="dxa" w:w="2016"/>
            <w:shd w:fill="F7F9FA"/>
            <w:tcMar>
              <w:top w:w="50" w:type="dxa"/>
              <w:bottom w:w="50" w:type="dxa"/>
              <w:left w:w="80" w:type="dxa"/>
              <w:right w:w="80" w:type="dxa"/>
            </w:tcMar>
          </w:tcPr>
          <w:p>
            <w:r>
              <w:rPr>
                <w:rFonts w:ascii="Times New Roman" w:hAnsi="Times New Roman"/>
                <w:sz w:val="16"/>
              </w:rPr>
              <w:t>Static snapshot only; state ignored</w:t>
            </w:r>
          </w:p>
        </w:tc>
      </w:tr>
      <w:tr>
        <w:tc>
          <w:tcPr>
            <w:tcW w:type="dxa" w:w="2016"/>
            <w:tcMar>
              <w:top w:w="50" w:type="dxa"/>
              <w:bottom w:w="50" w:type="dxa"/>
              <w:left w:w="80" w:type="dxa"/>
              <w:right w:w="80" w:type="dxa"/>
            </w:tcMar>
          </w:tcPr>
          <w:p>
            <w:r>
              <w:rPr>
                <w:rFonts w:ascii="Times New Roman" w:hAnsi="Times New Roman"/>
                <w:sz w:val="16"/>
              </w:rPr>
              <w:t>Heuristics (Greedy FFD)</w:t>
            </w:r>
          </w:p>
        </w:tc>
        <w:tc>
          <w:tcPr>
            <w:tcW w:type="dxa" w:w="2016"/>
            <w:tcMar>
              <w:top w:w="50" w:type="dxa"/>
              <w:bottom w:w="50" w:type="dxa"/>
              <w:left w:w="80" w:type="dxa"/>
              <w:right w:w="80" w:type="dxa"/>
            </w:tcMar>
          </w:tcPr>
          <w:p>
            <w:r>
              <w:rPr>
                <w:rFonts w:ascii="Times New Roman" w:hAnsi="Times New Roman"/>
                <w:sz w:val="16"/>
              </w:rPr>
              <w:t>Rule-based demand sorting</w:t>
            </w:r>
          </w:p>
        </w:tc>
        <w:tc>
          <w:tcPr>
            <w:tcW w:type="dxa" w:w="2016"/>
            <w:tcMar>
              <w:top w:w="50" w:type="dxa"/>
              <w:bottom w:w="50" w:type="dxa"/>
              <w:left w:w="80" w:type="dxa"/>
              <w:right w:w="80" w:type="dxa"/>
            </w:tcMar>
          </w:tcPr>
          <w:p>
            <w:r>
              <w:rPr>
                <w:rFonts w:ascii="Times New Roman" w:hAnsi="Times New Roman"/>
                <w:sz w:val="16"/>
              </w:rPr>
              <w:t>Ultra-fast (&lt; 1 ms)</w:t>
            </w:r>
          </w:p>
        </w:tc>
        <w:tc>
          <w:tcPr>
            <w:tcW w:type="dxa" w:w="2016"/>
            <w:tcMar>
              <w:top w:w="50" w:type="dxa"/>
              <w:bottom w:w="50" w:type="dxa"/>
              <w:left w:w="80" w:type="dxa"/>
              <w:right w:w="80" w:type="dxa"/>
            </w:tcMar>
          </w:tcPr>
          <w:p>
            <w:r>
              <w:rPr>
                <w:rFonts w:ascii="Times New Roman" w:hAnsi="Times New Roman"/>
                <w:sz w:val="16"/>
              </w:rPr>
              <w:t>Hard checks (heuristic fallback)</w:t>
            </w:r>
          </w:p>
        </w:tc>
        <w:tc>
          <w:tcPr>
            <w:tcW w:type="dxa" w:w="2016"/>
            <w:tcMar>
              <w:top w:w="50" w:type="dxa"/>
              <w:bottom w:w="50" w:type="dxa"/>
              <w:left w:w="80" w:type="dxa"/>
              <w:right w:w="80" w:type="dxa"/>
            </w:tcMar>
          </w:tcPr>
          <w:p>
            <w:r>
              <w:rPr>
                <w:rFonts w:ascii="Times New Roman" w:hAnsi="Times New Roman"/>
                <w:sz w:val="16"/>
              </w:rPr>
              <w:t>Completely neglected</w:t>
            </w:r>
          </w:p>
        </w:tc>
      </w:tr>
      <w:tr>
        <w:tc>
          <w:tcPr>
            <w:tcW w:type="dxa" w:w="2016"/>
            <w:shd w:fill="F7F9FA"/>
            <w:tcMar>
              <w:top w:w="50" w:type="dxa"/>
              <w:bottom w:w="50" w:type="dxa"/>
              <w:left w:w="80" w:type="dxa"/>
              <w:right w:w="80" w:type="dxa"/>
            </w:tcMar>
          </w:tcPr>
          <w:p>
            <w:r>
              <w:rPr>
                <w:rFonts w:ascii="Times New Roman" w:hAnsi="Times New Roman"/>
                <w:sz w:val="16"/>
              </w:rPr>
              <w:t>Diffusion Placement (DDPM) [8]</w:t>
            </w:r>
          </w:p>
        </w:tc>
        <w:tc>
          <w:tcPr>
            <w:tcW w:type="dxa" w:w="2016"/>
            <w:shd w:fill="F7F9FA"/>
            <w:tcMar>
              <w:top w:w="50" w:type="dxa"/>
              <w:bottom w:w="50" w:type="dxa"/>
              <w:left w:w="80" w:type="dxa"/>
              <w:right w:w="80" w:type="dxa"/>
            </w:tcMar>
          </w:tcPr>
          <w:p>
            <w:r>
              <w:rPr>
                <w:rFonts w:ascii="Times New Roman" w:hAnsi="Times New Roman"/>
                <w:sz w:val="16"/>
              </w:rPr>
              <w:t>Reverse Gaussian Denoising</w:t>
            </w:r>
          </w:p>
        </w:tc>
        <w:tc>
          <w:tcPr>
            <w:tcW w:type="dxa" w:w="2016"/>
            <w:shd w:fill="F7F9FA"/>
            <w:tcMar>
              <w:top w:w="50" w:type="dxa"/>
              <w:bottom w:w="50" w:type="dxa"/>
              <w:left w:w="80" w:type="dxa"/>
              <w:right w:w="80" w:type="dxa"/>
            </w:tcMar>
          </w:tcPr>
          <w:p>
            <w:r>
              <w:rPr>
                <w:rFonts w:ascii="Times New Roman" w:hAnsi="Times New Roman"/>
                <w:sz w:val="16"/>
              </w:rPr>
              <w:t>Slow (50-100 steps, ~1.5s)</w:t>
            </w:r>
          </w:p>
        </w:tc>
        <w:tc>
          <w:tcPr>
            <w:tcW w:type="dxa" w:w="2016"/>
            <w:shd w:fill="F7F9FA"/>
            <w:tcMar>
              <w:top w:w="50" w:type="dxa"/>
              <w:bottom w:w="50" w:type="dxa"/>
              <w:left w:w="80" w:type="dxa"/>
              <w:right w:w="80" w:type="dxa"/>
            </w:tcMar>
          </w:tcPr>
          <w:p>
            <w:r>
              <w:rPr>
                <w:rFonts w:ascii="Times New Roman" w:hAnsi="Times New Roman"/>
                <w:sz w:val="16"/>
              </w:rPr>
              <w:t>Soft penalty loss guidance</w:t>
            </w:r>
          </w:p>
        </w:tc>
        <w:tc>
          <w:tcPr>
            <w:tcW w:type="dxa" w:w="2016"/>
            <w:shd w:fill="F7F9FA"/>
            <w:tcMar>
              <w:top w:w="50" w:type="dxa"/>
              <w:bottom w:w="50" w:type="dxa"/>
              <w:left w:w="80" w:type="dxa"/>
              <w:right w:w="80" w:type="dxa"/>
            </w:tcMar>
          </w:tcPr>
          <w:p>
            <w:r>
              <w:rPr>
                <w:rFonts w:ascii="Times New Roman" w:hAnsi="Times New Roman"/>
                <w:sz w:val="16"/>
              </w:rPr>
              <w:t>Ignored; static graph only</w:t>
            </w:r>
          </w:p>
        </w:tc>
      </w:tr>
      <w:tr>
        <w:tc>
          <w:tcPr>
            <w:tcW w:type="dxa" w:w="2016"/>
            <w:shd w:fill="EBF5EA"/>
            <w:tcMar>
              <w:top w:w="50" w:type="dxa"/>
              <w:bottom w:w="50" w:type="dxa"/>
              <w:left w:w="80" w:type="dxa"/>
              <w:right w:w="80" w:type="dxa"/>
            </w:tcMar>
          </w:tcPr>
          <w:p>
            <w:r>
              <w:rPr>
                <w:rFonts w:ascii="Times New Roman" w:hAnsi="Times New Roman"/>
                <w:b/>
                <w:sz w:val="16"/>
              </w:rPr>
              <w:t>TGNN-NCO (Proposed)</w:t>
            </w:r>
          </w:p>
        </w:tc>
        <w:tc>
          <w:tcPr>
            <w:tcW w:type="dxa" w:w="2016"/>
            <w:shd w:fill="EBF5EA"/>
            <w:tcMar>
              <w:top w:w="50" w:type="dxa"/>
              <w:bottom w:w="50" w:type="dxa"/>
              <w:left w:w="80" w:type="dxa"/>
              <w:right w:w="80" w:type="dxa"/>
            </w:tcMar>
          </w:tcPr>
          <w:p>
            <w:r>
              <w:rPr>
                <w:rFonts w:ascii="Times New Roman" w:hAnsi="Times New Roman"/>
                <w:b/>
                <w:sz w:val="16"/>
              </w:rPr>
              <w:t>Spatio-Temporal GNN + NCO</w:t>
            </w:r>
          </w:p>
        </w:tc>
        <w:tc>
          <w:tcPr>
            <w:tcW w:type="dxa" w:w="2016"/>
            <w:shd w:fill="EBF5EA"/>
            <w:tcMar>
              <w:top w:w="50" w:type="dxa"/>
              <w:bottom w:w="50" w:type="dxa"/>
              <w:left w:w="80" w:type="dxa"/>
              <w:right w:w="80" w:type="dxa"/>
            </w:tcMar>
          </w:tcPr>
          <w:p>
            <w:r>
              <w:rPr>
                <w:rFonts w:ascii="Times New Roman" w:hAnsi="Times New Roman"/>
                <w:b/>
                <w:sz w:val="16"/>
              </w:rPr>
              <w:t>Real-Time (&lt;= 5.1 ms at N=100)</w:t>
            </w:r>
          </w:p>
        </w:tc>
        <w:tc>
          <w:tcPr>
            <w:tcW w:type="dxa" w:w="2016"/>
            <w:shd w:fill="EBF5EA"/>
            <w:tcMar>
              <w:top w:w="50" w:type="dxa"/>
              <w:bottom w:w="50" w:type="dxa"/>
              <w:left w:w="80" w:type="dxa"/>
              <w:right w:w="80" w:type="dxa"/>
            </w:tcMar>
          </w:tcPr>
          <w:p>
            <w:r>
              <w:rPr>
                <w:rFonts w:ascii="Times New Roman" w:hAnsi="Times New Roman"/>
                <w:b/>
                <w:sz w:val="16"/>
              </w:rPr>
              <w:t>Zero-violation by construction</w:t>
            </w:r>
          </w:p>
        </w:tc>
        <w:tc>
          <w:tcPr>
            <w:tcW w:type="dxa" w:w="2016"/>
            <w:shd w:fill="EBF5EA"/>
            <w:tcMar>
              <w:top w:w="50" w:type="dxa"/>
              <w:bottom w:w="50" w:type="dxa"/>
              <w:left w:w="80" w:type="dxa"/>
              <w:right w:w="80" w:type="dxa"/>
            </w:tcMar>
          </w:tcPr>
          <w:p>
            <w:r>
              <w:rPr>
                <w:rFonts w:ascii="Times New Roman" w:hAnsi="Times New Roman"/>
                <w:b/>
                <w:sz w:val="16"/>
              </w:rPr>
              <w:t>Explicit dirty-memory migration model</w:t>
            </w:r>
          </w:p>
        </w:tc>
      </w:tr>
    </w:tbl>
    <w:p>
      <w:pPr>
        <w:spacing w:after="120"/>
      </w:pPr>
    </w:p>
    <w:p>
      <w:pPr>
        <w:keepNext/>
        <w:spacing w:before="280" w:after="80"/>
      </w:pPr>
      <w:r>
        <w:rPr>
          <w:rFonts w:ascii="Times New Roman" w:hAnsi="Times New Roman"/>
          <w:b/>
          <w:color w:val="0A192F"/>
          <w:sz w:val="22"/>
        </w:rPr>
        <w:t>III. SYSTEM MODEL &amp; PROBLEM FORMULATION</w:t>
      </w:r>
    </w:p>
    <w:p>
      <w:pPr>
        <w:spacing w:before="0" w:after="120" w:line="276" w:lineRule="auto"/>
        <w:jc w:val="both"/>
      </w:pPr>
      <w:r>
        <w:rPr>
          <w:rFonts w:ascii="Times New Roman" w:hAnsi="Times New Roman"/>
          <w:sz w:val="20"/>
        </w:rPr>
        <w:t>We model the Cloud Continuum as a discrete-time scheduling environment with discrete intervals t in {0, 1, 2, ..., T}.</w:t>
      </w:r>
    </w:p>
    <w:p>
      <w:pPr>
        <w:keepNext/>
        <w:spacing w:before="200" w:after="60"/>
      </w:pPr>
      <w:r>
        <w:rPr>
          <w:rFonts w:ascii="Times New Roman" w:hAnsi="Times New Roman"/>
          <w:b/>
          <w:i/>
          <w:color w:val="1E283C"/>
          <w:sz w:val="21"/>
        </w:rPr>
        <w:t>A. Continuum Infrastructure Topology</w:t>
      </w:r>
    </w:p>
    <w:p>
      <w:pPr>
        <w:spacing w:before="0" w:after="120" w:line="276" w:lineRule="auto"/>
        <w:jc w:val="both"/>
      </w:pPr>
      <w:r>
        <w:rPr>
          <w:rFonts w:ascii="Times New Roman" w:hAnsi="Times New Roman"/>
          <w:sz w:val="20"/>
        </w:rPr>
        <w:t>The physical infrastructure at time t is represented by a directed, weighted graph G(t) = (V(t), E(t)), where V(t) denotes the set of active compute nodes bounded by |V(t)| &lt;= C_max = 50, and E(t) denotes operational communication links. Each node i in V(t) belongs to a continuum tier tau_i in {Edge (40%), Fog (30%), Cloud (30%)} with resource capacity vector r_i(t) = [C_i^cpu(t), C_i^ram(t), C_i^stor(t)]^T, representing available CPU cores ([4, 32] cores), RAM ([8, 128] GB), and storage ([50, 1000] GB). Each node incurs an infrastructure cost rate per allocated CPU core: kappa_i in {$0.05 (Edge), $0.10 (Fog), $0.20 (Cloud)}. Each link (i, j) in E(t) has bandwidth B_ij(t) in [100, 10000] Mbps and latency L_ij(t) in [1, 100] ms.</w:t>
      </w:r>
    </w:p>
    <w:p>
      <w:pPr>
        <w:keepNext/>
        <w:spacing w:before="200" w:after="60"/>
      </w:pPr>
      <w:r>
        <w:rPr>
          <w:rFonts w:ascii="Times New Roman" w:hAnsi="Times New Roman"/>
          <w:b/>
          <w:i/>
          <w:color w:val="1E283C"/>
          <w:sz w:val="21"/>
        </w:rPr>
        <w:t>B. Service Function Chains (SFC) and CNF Workload</w:t>
      </w:r>
    </w:p>
    <w:p>
      <w:pPr>
        <w:spacing w:before="0" w:after="120" w:line="276" w:lineRule="auto"/>
        <w:jc w:val="both"/>
      </w:pPr>
      <w:r>
        <w:rPr>
          <w:rFonts w:ascii="Times New Roman" w:hAnsi="Times New Roman"/>
          <w:sz w:val="20"/>
        </w:rPr>
        <w:t>At interval t, the system services active Service Function Chains S(t) = {h_1, ..., h_H}, bounded by H &lt;= H_max = 30. Each SFC h consists of l_h in [2, 8] ordered CNFs (C_h = (m_{h,1}, ..., m_{h,l_h})), with total CNFs bounded by M(t) &lt;= M_max = 150. Each CNF m demands compute resources d_m = [c_m^cpu, d_m^ram, s_m^stor]^T (CPU in [0.5, 8] cores, RAM in [0.5, 16] GB, Storage in [1, 50] GB, processing delay p_m in [0.1, 2.0] ms). Adjacent CNFs exchange traffic at rate R_{h,k} in [10, 1000] Mbps under end-to-end delay budget T_h in [20, 200] ms.</w:t>
      </w:r>
    </w:p>
    <w:p>
      <w:pPr>
        <w:keepNext/>
        <w:spacing w:before="200" w:after="60"/>
      </w:pPr>
      <w:r>
        <w:rPr>
          <w:rFonts w:ascii="Times New Roman" w:hAnsi="Times New Roman"/>
          <w:b/>
          <w:i/>
          <w:color w:val="1E283C"/>
          <w:sz w:val="21"/>
        </w:rPr>
        <w:t>C. Non-Stationary Stochastic Continuum Dynamics</w:t>
      </w:r>
    </w:p>
    <w:p>
      <w:pPr>
        <w:spacing w:before="0" w:after="120" w:line="276" w:lineRule="auto"/>
        <w:jc w:val="both"/>
      </w:pPr>
      <w:r>
        <w:rPr>
          <w:rFonts w:ascii="Times New Roman" w:hAnsi="Times New Roman"/>
          <w:sz w:val="20"/>
        </w:rPr>
        <w:t>Background resource utilization fluctuates smoothly via an Ornstein-Uhlenbeck (OU) mean-reverting stochastic process: dX_i(t) = theta_X (mu_X - X_i(t)) dt + sigma_X dW_t, with theta_X = 0.15, volatility sigma_cpu = 2.0 cores, sigma_ram = 5.0 GB, and sigma_stor = 50.0 GB. In addition, node failure/recovery occurs with p_fail = 0.01 per step, and SFC retirement occurs with p_retire = 0.10 upon reaching their Time-To-Live (TTL_h in [10, 40] steps), triggering dynamic SFC arrivals with p_arr = 0.30.</w:t>
      </w:r>
    </w:p>
    <w:p>
      <w:pPr>
        <w:keepNext/>
        <w:spacing w:before="200" w:after="60"/>
      </w:pPr>
      <w:r>
        <w:rPr>
          <w:rFonts w:ascii="Times New Roman" w:hAnsi="Times New Roman"/>
          <w:b/>
          <w:i/>
          <w:color w:val="1E283C"/>
          <w:sz w:val="21"/>
        </w:rPr>
        <w:t>D. State Migration Cost Model</w:t>
      </w:r>
    </w:p>
    <w:p>
      <w:pPr>
        <w:spacing w:before="0" w:after="120" w:line="276" w:lineRule="auto"/>
        <w:jc w:val="both"/>
      </w:pPr>
      <w:r>
        <w:rPr>
          <w:rFonts w:ascii="Times New Roman" w:hAnsi="Times New Roman"/>
          <w:sz w:val="20"/>
        </w:rPr>
        <w:t>To faithfully capture the impact of dynamic application state, we ground our migration cost in the classic dirty-memory pre-copy migration formulation [3]. Let u_m(t-1) denote the physical node hosting CNF m at step t-1 (-1 for new arrivals), and let v_m(t) denote the candidate host at step t. A migration occurs if u_m(t-1) &gt;= 0 and u_m(t-1) != v_m(t). The pre-copy transfer duration T_m^mig in seconds is: T_m^mig(t) = (rho * d_m^ram * 1000) / B_{u_m, v_m}(t), where rho = 0.20 represents the empirical dirty-page fraction (20% of RAM). The migration penalty in equivalent latency units (milliseconds) is: Phi_m^mig(t) = alpha_mig * T_m^mig(t) * 1000, with alpha_mig = 0.50.</w:t>
      </w:r>
    </w:p>
    <w:p>
      <w:pPr>
        <w:keepNext/>
        <w:spacing w:before="200" w:after="60"/>
      </w:pPr>
      <w:r>
        <w:rPr>
          <w:rFonts w:ascii="Times New Roman" w:hAnsi="Times New Roman"/>
          <w:b/>
          <w:i/>
          <w:color w:val="1E283C"/>
          <w:sz w:val="21"/>
        </w:rPr>
        <w:t>E. Mathematical Optimization Formulation</w:t>
      </w:r>
    </w:p>
    <w:p>
      <w:pPr>
        <w:spacing w:before="0" w:after="120" w:line="276" w:lineRule="auto"/>
        <w:jc w:val="both"/>
      </w:pPr>
      <w:r>
        <w:rPr>
          <w:rFonts w:ascii="Times New Roman" w:hAnsi="Times New Roman"/>
          <w:sz w:val="20"/>
        </w:rPr>
        <w:t>Let x_{m,i}(t) in {0, 1} indicate whether CNF m is placed on node i at time t. The multi-objective cost function to be minimized is:</w:t>
        <w:br/>
        <w:t>min_{X(t)} J(X(t)) = sum_{m,i} x_{m,i}(t) c_m^cpu kappa_i + alpha sum_h max(0, D_h(t) - T_h) + sum_m Phi_m^mig(t)</w:t>
        <w:br/>
        <w:t>subject to: (C1) Unique Mapping: sum_i x_{m,i}(t) = 1; (C2) CPU Capacity: sum_m x_{m,i}(t) c_m^cpu &lt;= C_i^cpu(t); (C3) RAM Capacity: sum_m x_{m,i}(t) d_m^ram &lt;= C_i^ram(t); (C4) Storage Capacity: sum_m x_{m,i}(t) s_m^stor &lt;= C_i^stor(t); and (C5) Link Bandwidth: sum_{(u,v) in P_ij} R_uv(t) &lt;= B_ij(t).</w:t>
      </w:r>
    </w:p>
    <w:p>
      <w:pPr>
        <w:keepNext/>
        <w:spacing w:before="280" w:after="80"/>
      </w:pPr>
      <w:r>
        <w:rPr>
          <w:rFonts w:ascii="Times New Roman" w:hAnsi="Times New Roman"/>
          <w:b/>
          <w:color w:val="0A192F"/>
          <w:sz w:val="22"/>
        </w:rPr>
        <w:t>IV. PROPOSED TGNN-NCO METHODOLOGY</w:t>
      </w:r>
    </w:p>
    <w:p>
      <w:pPr>
        <w:spacing w:before="0" w:after="120" w:line="276" w:lineRule="auto"/>
        <w:jc w:val="both"/>
      </w:pPr>
      <w:r>
        <w:rPr>
          <w:rFonts w:ascii="Times New Roman" w:hAnsi="Times New Roman"/>
          <w:sz w:val="20"/>
        </w:rPr>
        <w:t>To solve the joint placement and migration problem in real time without constraint violations, we formulate an Actor-Critic architecture coupling a Spatio-Temporal Graph Neural Network encoder with an Autoregressive Pointer Decoder.</w:t>
      </w:r>
    </w:p>
    <w:p>
      <w:pPr>
        <w:keepNext/>
        <w:spacing w:before="200" w:after="60"/>
      </w:pPr>
      <w:r>
        <w:rPr>
          <w:rFonts w:ascii="Times New Roman" w:hAnsi="Times New Roman"/>
          <w:b/>
          <w:i/>
          <w:color w:val="1E283C"/>
          <w:sz w:val="21"/>
        </w:rPr>
        <w:t>A. Spatio-Temporal Graph Neural Network Encoder</w:t>
      </w:r>
    </w:p>
    <w:p>
      <w:pPr>
        <w:spacing w:before="0" w:after="120" w:line="276" w:lineRule="auto"/>
        <w:jc w:val="both"/>
      </w:pPr>
      <w:r>
        <w:rPr>
          <w:rFonts w:ascii="Times New Roman" w:hAnsi="Times New Roman"/>
          <w:sz w:val="20"/>
        </w:rPr>
        <w:t>Our TGNN encoder processes the current graph state G(t) and a sliding window of W=5 chronological snapshots [t-W+1, ..., t]. We employ a vectorized spatial matrix-multiplication convolution: H^(l) = ReLU(LayerNorm(tilde_A H^(l-1) W_spatial^(l))), where tilde_A = tilde_D^(-1/2) (A + I_N) tilde_D^(-1/2) is the normalized Waxman adjacency matrix, with d_hidden = 256. Spatial embeddings across all W+1 snapshots are passed through a temporal GRU layer: Z_V = GRU(S), producing final node embeddings Z_V in R^{B x C_max x 256} that capture both topological connectivity and historical load drift. CNF demands are projected via a 2-layer MLP to Z_M in R^{B x M_max x 256}.</w:t>
      </w:r>
    </w:p>
    <w:p>
      <w:pPr>
        <w:keepNext/>
        <w:spacing w:before="200" w:after="60"/>
      </w:pPr>
      <w:r>
        <w:rPr>
          <w:rFonts w:ascii="Times New Roman" w:hAnsi="Times New Roman"/>
          <w:b/>
          <w:i/>
          <w:color w:val="1E283C"/>
          <w:sz w:val="21"/>
        </w:rPr>
        <w:t>B. Autoregressive Pointer Decoder with Dynamic Residual Masking</w:t>
      </w:r>
    </w:p>
    <w:p>
      <w:pPr>
        <w:spacing w:before="0" w:after="120" w:line="276" w:lineRule="auto"/>
        <w:jc w:val="both"/>
      </w:pPr>
      <w:r>
        <w:rPr>
          <w:rFonts w:ascii="Times New Roman" w:hAnsi="Times New Roman"/>
          <w:sz w:val="20"/>
        </w:rPr>
        <w:t>Rather than predicting placements independently in parallel, our decoder sequentially assigns CNFs via an autoregressive cross-attention pointer mechanism:</w:t>
      </w:r>
    </w:p>
    <w:p>
      <w:pPr>
        <w:pStyle w:val="ListBullet"/>
        <w:spacing w:before="0" w:after="80" w:line="276" w:lineRule="auto"/>
        <w:jc w:val="both"/>
      </w:pPr>
      <w:r>
        <w:rPr>
          <w:rFonts w:ascii="Times New Roman" w:hAnsi="Times New Roman"/>
          <w:b/>
          <w:sz w:val="20"/>
        </w:rPr>
        <w:t xml:space="preserve">SFC-Priority Decode Sequencing: </w:t>
      </w:r>
      <w:r>
        <w:rPr>
          <w:rFonts w:ascii="Times New Roman" w:hAnsi="Times New Roman"/>
          <w:sz w:val="20"/>
        </w:rPr>
        <w:t>Active SFCs are pre-sorted in ascending order of delay budget T_h (tightest latency budget first), and decoded hop-by-hop (0 -&gt; 1 -&gt; ...). This ensures critical chains secure low-latency edge nodes before looser chains consume capacity.</w:t>
      </w:r>
    </w:p>
    <w:p>
      <w:pPr>
        <w:pStyle w:val="ListBullet"/>
        <w:spacing w:before="0" w:after="80" w:line="276" w:lineRule="auto"/>
        <w:jc w:val="both"/>
      </w:pPr>
      <w:r>
        <w:rPr>
          <w:rFonts w:ascii="Times New Roman" w:hAnsi="Times New Roman"/>
          <w:b/>
          <w:sz w:val="20"/>
        </w:rPr>
        <w:t xml:space="preserve">Cross-Attention Pointer Mechanism: </w:t>
      </w:r>
      <w:r>
        <w:rPr>
          <w:rFonts w:ascii="Times New Roman" w:hAnsi="Times New Roman"/>
          <w:sz w:val="20"/>
        </w:rPr>
        <w:t>At decode step k, CNF m attends to all node embeddings: Q = Z_M, K = Z_V, V = Z_V via MultiHeadAttention(Q, K, V) with 8 heads. Logits are computed as l_{m,i} = W_2 ReLU(W_1 (c_m + z_{V,i}) + b_1).</w:t>
      </w:r>
    </w:p>
    <w:p>
      <w:pPr>
        <w:pStyle w:val="ListBullet"/>
        <w:spacing w:before="0" w:after="80" w:line="276" w:lineRule="auto"/>
        <w:jc w:val="both"/>
      </w:pPr>
      <w:r>
        <w:rPr>
          <w:rFonts w:ascii="Times New Roman" w:hAnsi="Times New Roman"/>
          <w:b/>
          <w:sz w:val="20"/>
        </w:rPr>
        <w:t xml:space="preserve">Dynamic Residual Capacity Masking: </w:t>
      </w:r>
      <w:r>
        <w:rPr>
          <w:rFonts w:ascii="Times New Roman" w:hAnsi="Times New Roman"/>
          <w:sz w:val="20"/>
        </w:rPr>
        <w:t>The decoder maintains mutable remaining capacity vectors r_i^res(k). Node i is valid for CNF m if and only if r_i^res(k) &gt;= d_m. Invalid logits are masked to -infinity (-10^4) prior to Softmax, and r_{a_m}^res is decremented immediately upon assignment.</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Pr>
          <w:p>
            <w:pPr>
              <w:spacing w:before="80" w:after="80" w:line="276" w:lineRule="auto"/>
            </w:pPr>
            <w:r>
              <w:rPr>
                <w:rFonts w:ascii="Times New Roman" w:hAnsi="Times New Roman"/>
                <w:i/>
                <w:color w:val="283246"/>
                <w:sz w:val="19"/>
              </w:rPr>
              <w:t>Theorem 1 (Zero-Violation Guarantee): Under the dynamic residual-capacity masking policy, any discrete placement vector a_t satisfies node-level CPU, RAM, and Storage constraints (C2-C4) with a violation rate of exactly 0% by construction.</w:t>
            </w:r>
          </w:p>
        </w:tc>
      </w:tr>
    </w:tbl>
    <w:p>
      <w:pPr>
        <w:spacing w:after="80"/>
      </w:pPr>
    </w:p>
    <w:p>
      <w:pPr>
        <w:keepNext/>
        <w:spacing w:before="200" w:after="60"/>
      </w:pPr>
      <w:r>
        <w:rPr>
          <w:rFonts w:ascii="Times New Roman" w:hAnsi="Times New Roman"/>
          <w:b/>
          <w:i/>
          <w:color w:val="1E283C"/>
          <w:sz w:val="21"/>
        </w:rPr>
        <w:t>C. Critic Architecture and PPO Training Loop</w:t>
      </w:r>
    </w:p>
    <w:p>
      <w:pPr>
        <w:spacing w:before="0" w:after="120" w:line="276" w:lineRule="auto"/>
        <w:jc w:val="both"/>
      </w:pPr>
      <w:r>
        <w:rPr>
          <w:rFonts w:ascii="Times New Roman" w:hAnsi="Times New Roman"/>
          <w:sz w:val="20"/>
        </w:rPr>
        <w:t>The Critic network evaluates global state value V(s_t) using mean-pooled graph embeddings bar_z in R^256 passed through a 3-layer MLP (256 -&gt; 512 -&gt; 256 -&gt; 1). The policy is trained using PPO with Generalized Advantage Estimation (gamma=0.99, lambda=0.95) and curriculum penalty annealing schedule beta(t) transitioning from 1.0 to 10.0 between steps 50k and 150k.</w:t>
      </w:r>
    </w:p>
    <w:p>
      <w:pPr>
        <w:spacing w:before="160" w:after="40"/>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fig4_training_convergence.png"/>
                    <pic:cNvPicPr/>
                  </pic:nvPicPr>
                  <pic:blipFill>
                    <a:blip r:embed="rId9"/>
                    <a:stretch>
                      <a:fillRect/>
                    </a:stretch>
                  </pic:blipFill>
                  <pic:spPr>
                    <a:xfrm>
                      <a:off x="0" y="0"/>
                      <a:ext cx="5120640" cy="3072384"/>
                    </a:xfrm>
                    <a:prstGeom prst="rect"/>
                  </pic:spPr>
                </pic:pic>
              </a:graphicData>
            </a:graphic>
          </wp:inline>
        </w:drawing>
      </w:r>
    </w:p>
    <w:p>
      <w:pPr>
        <w:spacing w:before="40" w:after="200"/>
        <w:ind w:left="360" w:right="360"/>
        <w:jc w:val="both"/>
      </w:pPr>
      <w:r>
        <w:rPr>
          <w:rFonts w:ascii="Times New Roman" w:hAnsi="Times New Roman"/>
          <w:i/>
          <w:color w:val="323232"/>
          <w:sz w:val="18"/>
        </w:rPr>
        <w:t>Fig. 4. PPO policy training convergence curves across 200,000 environment timesteps. Mean reward (left, blue) and feasibility rate (right, green) ascend smoothly under curriculum penalty annealing beta(t), reaching 99% feasibility within 75,000 steps.</w:t>
      </w:r>
    </w:p>
    <w:p>
      <w:pPr>
        <w:keepNext/>
        <w:spacing w:before="280" w:after="80"/>
      </w:pPr>
      <w:r>
        <w:rPr>
          <w:rFonts w:ascii="Times New Roman" w:hAnsi="Times New Roman"/>
          <w:b/>
          <w:color w:val="0A192F"/>
          <w:sz w:val="22"/>
        </w:rPr>
        <w:t>V. SYSTEM DESIGN &amp; IMPLEMENTATION</w:t>
      </w:r>
    </w:p>
    <w:p>
      <w:pPr>
        <w:spacing w:before="0" w:after="120" w:line="276" w:lineRule="auto"/>
        <w:jc w:val="both"/>
      </w:pPr>
      <w:r>
        <w:rPr>
          <w:rFonts w:ascii="Times New Roman" w:hAnsi="Times New Roman"/>
          <w:sz w:val="20"/>
        </w:rPr>
        <w:t>The framework is implemented in Python 3.10 with PyTorch 2.0 and PyTorch Geometric (PyG 2.3). The continuum simulation engine generates 2D Waxman random topologies (alpha=0.5, beta=0.5). All-pairs shortest propagation paths are precomputed using the Floyd-Warshall algorithm via scipy.sparse.csgraph, eliminating online Dijkstra routing bottlenecks. To avoid GPU memory fragmentation, tensors are padded to static dimensions: C_max = 50, M_max = 150, H_max = 30, W = 5. An external dry-run Kubernetes API interface validates pod spec generation with nodeSelector affinity rules.</w:t>
      </w:r>
    </w:p>
    <w:p>
      <w:pPr>
        <w:keepNext/>
        <w:spacing w:before="280" w:after="80"/>
      </w:pPr>
      <w:r>
        <w:rPr>
          <w:rFonts w:ascii="Times New Roman" w:hAnsi="Times New Roman"/>
          <w:b/>
          <w:color w:val="0A192F"/>
          <w:sz w:val="22"/>
        </w:rPr>
        <w:t>VI. EVALUATION SETUP</w:t>
      </w:r>
    </w:p>
    <w:p>
      <w:pPr>
        <w:spacing w:before="0" w:after="120" w:line="276" w:lineRule="auto"/>
        <w:jc w:val="both"/>
      </w:pPr>
      <w:r>
        <w:rPr>
          <w:rFonts w:ascii="Times New Roman" w:hAnsi="Times New Roman"/>
          <w:sz w:val="20"/>
        </w:rPr>
        <w:t>We benchmark TGNN-NCO across six controlled exogenous temporal stress regimes generated via ExogenousTraceGenerator (fixed seed base = 123): Scenario A (Stable Workload), Scenario B (Load Burst: 2.5x traffic surge, 50% link capacity drop), Scenario C (Node Failure Stress: p_fail = 0.05), Scenario D (Link Degradation: 2x latency increase), Scenario E (High SFC Churn: p_arr = 0.50), and Scenario F (Recovery &amp; Stabilization). Solvers compared include exact GEKKO MINLP (60s timeout, C &lt;= 15, M &lt;= 30), GreedyFFD, GreedyLatencyAware, Static-GNN ablation (no GRU), Flat-RL ablation (no GNN), No-Mask ablation (unmasked RL), and theoretical comparison against DDPM-GNN [8].</w:t>
      </w:r>
    </w:p>
    <w:p>
      <w:pPr>
        <w:keepNext/>
        <w:spacing w:before="280" w:after="80"/>
      </w:pPr>
      <w:r>
        <w:rPr>
          <w:rFonts w:ascii="Times New Roman" w:hAnsi="Times New Roman"/>
          <w:b/>
          <w:color w:val="0A192F"/>
          <w:sz w:val="22"/>
        </w:rPr>
        <w:t>VII. RESULTS &amp; EMPIRICAL ANALYSIS</w:t>
      </w:r>
    </w:p>
    <w:p>
      <w:pPr>
        <w:spacing w:before="0" w:after="120" w:line="276" w:lineRule="auto"/>
        <w:jc w:val="both"/>
      </w:pPr>
      <w:r>
        <w:rPr>
          <w:rFonts w:ascii="Times New Roman" w:hAnsi="Times New Roman"/>
          <w:sz w:val="20"/>
        </w:rPr>
        <w:t>Table II reports quantitative benchmark performance across 500 test episodes (T=100 steps per episode). TGNN-NCO achieves a 98.5% feasibility rate with a mean deployment cost of $15.35 and an inference time of only 2.40 ms.</w:t>
      </w:r>
    </w:p>
    <w:p>
      <w:pPr>
        <w:spacing w:before="160" w:after="80"/>
        <w:jc w:val="center"/>
      </w:pPr>
      <w:r>
        <w:rPr>
          <w:rFonts w:ascii="Times New Roman" w:hAnsi="Times New Roman"/>
          <w:b/>
          <w:sz w:val="19"/>
        </w:rPr>
        <w:t>TABLE II: Comprehensive Benchmark Performance across Competing Solvers (In-Distribution, 500 Episodes, T=100 Steps)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1E8"/>
            <w:tcMar>
              <w:top w:w="60" w:type="dxa"/>
              <w:bottom w:w="60" w:type="dxa"/>
              <w:left w:w="60" w:type="dxa"/>
              <w:right w:w="60" w:type="dxa"/>
            </w:tcMar>
          </w:tcPr>
          <w:p>
            <w:r>
              <w:rPr>
                <w:rFonts w:ascii="Times New Roman" w:hAnsi="Times New Roman"/>
                <w:b/>
                <w:sz w:val="17"/>
              </w:rPr>
              <w:t>Placement Algorithm</w:t>
            </w:r>
          </w:p>
        </w:tc>
        <w:tc>
          <w:tcPr>
            <w:tcW w:type="dxa" w:w="1440"/>
            <w:shd w:fill="D9E1E8"/>
            <w:tcMar>
              <w:top w:w="60" w:type="dxa"/>
              <w:bottom w:w="60" w:type="dxa"/>
              <w:left w:w="60" w:type="dxa"/>
              <w:right w:w="60" w:type="dxa"/>
            </w:tcMar>
          </w:tcPr>
          <w:p>
            <w:r>
              <w:rPr>
                <w:rFonts w:ascii="Times New Roman" w:hAnsi="Times New Roman"/>
                <w:b/>
                <w:sz w:val="17"/>
              </w:rPr>
              <w:t>Feasibility (%)</w:t>
            </w:r>
          </w:p>
        </w:tc>
        <w:tc>
          <w:tcPr>
            <w:tcW w:type="dxa" w:w="1440"/>
            <w:shd w:fill="D9E1E8"/>
            <w:tcMar>
              <w:top w:w="60" w:type="dxa"/>
              <w:bottom w:w="60" w:type="dxa"/>
              <w:left w:w="60" w:type="dxa"/>
              <w:right w:w="60" w:type="dxa"/>
            </w:tcMar>
          </w:tcPr>
          <w:p>
            <w:r>
              <w:rPr>
                <w:rFonts w:ascii="Times New Roman" w:hAnsi="Times New Roman"/>
                <w:b/>
                <w:sz w:val="17"/>
              </w:rPr>
              <w:t>Cost ($)</w:t>
            </w:r>
          </w:p>
        </w:tc>
        <w:tc>
          <w:tcPr>
            <w:tcW w:type="dxa" w:w="1440"/>
            <w:shd w:fill="D9E1E8"/>
            <w:tcMar>
              <w:top w:w="60" w:type="dxa"/>
              <w:bottom w:w="60" w:type="dxa"/>
              <w:left w:w="60" w:type="dxa"/>
              <w:right w:w="60" w:type="dxa"/>
            </w:tcMar>
          </w:tcPr>
          <w:p>
            <w:r>
              <w:rPr>
                <w:rFonts w:ascii="Times New Roman" w:hAnsi="Times New Roman"/>
                <w:b/>
                <w:sz w:val="17"/>
              </w:rPr>
              <w:t>Latency (ms)</w:t>
            </w:r>
          </w:p>
        </w:tc>
        <w:tc>
          <w:tcPr>
            <w:tcW w:type="dxa" w:w="1440"/>
            <w:shd w:fill="D9E1E8"/>
            <w:tcMar>
              <w:top w:w="60" w:type="dxa"/>
              <w:bottom w:w="60" w:type="dxa"/>
              <w:left w:w="60" w:type="dxa"/>
              <w:right w:w="60" w:type="dxa"/>
            </w:tcMar>
          </w:tcPr>
          <w:p>
            <w:r>
              <w:rPr>
                <w:rFonts w:ascii="Times New Roman" w:hAnsi="Times New Roman"/>
                <w:b/>
                <w:sz w:val="17"/>
              </w:rPr>
              <w:t>Mig. Penalty (ms)</w:t>
            </w:r>
          </w:p>
        </w:tc>
        <w:tc>
          <w:tcPr>
            <w:tcW w:type="dxa" w:w="1440"/>
            <w:shd w:fill="D9E1E8"/>
            <w:tcMar>
              <w:top w:w="60" w:type="dxa"/>
              <w:bottom w:w="60" w:type="dxa"/>
              <w:left w:w="60" w:type="dxa"/>
              <w:right w:w="60" w:type="dxa"/>
            </w:tcMar>
          </w:tcPr>
          <w:p>
            <w:r>
              <w:rPr>
                <w:rFonts w:ascii="Times New Roman" w:hAnsi="Times New Roman"/>
                <w:b/>
                <w:sz w:val="17"/>
              </w:rPr>
              <w:t>Opt. Gap (%)</w:t>
            </w:r>
          </w:p>
        </w:tc>
        <w:tc>
          <w:tcPr>
            <w:tcW w:type="dxa" w:w="1440"/>
            <w:shd w:fill="D9E1E8"/>
            <w:tcMar>
              <w:top w:w="60" w:type="dxa"/>
              <w:bottom w:w="60" w:type="dxa"/>
              <w:left w:w="60" w:type="dxa"/>
              <w:right w:w="60" w:type="dxa"/>
            </w:tcMar>
          </w:tcPr>
          <w:p>
            <w:r>
              <w:rPr>
                <w:rFonts w:ascii="Times New Roman" w:hAnsi="Times New Roman"/>
                <w:b/>
                <w:sz w:val="17"/>
              </w:rPr>
              <w:t>Time (ms)</w:t>
            </w:r>
          </w:p>
        </w:tc>
      </w:tr>
      <w:tr>
        <w:tc>
          <w:tcPr>
            <w:tcW w:type="dxa" w:w="1440"/>
            <w:tcMar>
              <w:top w:w="50" w:type="dxa"/>
              <w:bottom w:w="50" w:type="dxa"/>
              <w:left w:w="60" w:type="dxa"/>
              <w:right w:w="60" w:type="dxa"/>
            </w:tcMar>
          </w:tcPr>
          <w:p>
            <w:r>
              <w:rPr>
                <w:rFonts w:ascii="Times New Roman" w:hAnsi="Times New Roman"/>
                <w:sz w:val="16"/>
              </w:rPr>
              <w:t>Exact MINLP (GEKKO) [10]</w:t>
            </w:r>
          </w:p>
        </w:tc>
        <w:tc>
          <w:tcPr>
            <w:tcW w:type="dxa" w:w="1440"/>
            <w:tcMar>
              <w:top w:w="50" w:type="dxa"/>
              <w:bottom w:w="50" w:type="dxa"/>
              <w:left w:w="60" w:type="dxa"/>
              <w:right w:w="60" w:type="dxa"/>
            </w:tcMar>
          </w:tcPr>
          <w:p>
            <w:r>
              <w:rPr>
                <w:rFonts w:ascii="Times New Roman" w:hAnsi="Times New Roman"/>
                <w:sz w:val="16"/>
              </w:rPr>
              <w:t>100.0%</w:t>
            </w:r>
          </w:p>
        </w:tc>
        <w:tc>
          <w:tcPr>
            <w:tcW w:type="dxa" w:w="1440"/>
            <w:tcMar>
              <w:top w:w="50" w:type="dxa"/>
              <w:bottom w:w="50" w:type="dxa"/>
              <w:left w:w="60" w:type="dxa"/>
              <w:right w:w="60" w:type="dxa"/>
            </w:tcMar>
          </w:tcPr>
          <w:p>
            <w:r>
              <w:rPr>
                <w:rFonts w:ascii="Times New Roman" w:hAnsi="Times New Roman"/>
                <w:sz w:val="16"/>
              </w:rPr>
              <w:t>14.82</w:t>
            </w:r>
          </w:p>
        </w:tc>
        <w:tc>
          <w:tcPr>
            <w:tcW w:type="dxa" w:w="1440"/>
            <w:tcMar>
              <w:top w:w="50" w:type="dxa"/>
              <w:bottom w:w="50" w:type="dxa"/>
              <w:left w:w="60" w:type="dxa"/>
              <w:right w:w="60" w:type="dxa"/>
            </w:tcMar>
          </w:tcPr>
          <w:p>
            <w:r>
              <w:rPr>
                <w:rFonts w:ascii="Times New Roman" w:hAnsi="Times New Roman"/>
                <w:sz w:val="16"/>
              </w:rPr>
              <w:t>42.15</w:t>
            </w:r>
          </w:p>
        </w:tc>
        <w:tc>
          <w:tcPr>
            <w:tcW w:type="dxa" w:w="1440"/>
            <w:tcMar>
              <w:top w:w="50" w:type="dxa"/>
              <w:bottom w:w="50" w:type="dxa"/>
              <w:left w:w="60" w:type="dxa"/>
              <w:right w:w="60" w:type="dxa"/>
            </w:tcMar>
          </w:tcPr>
          <w:p>
            <w:r>
              <w:rPr>
                <w:rFonts w:ascii="Times New Roman" w:hAnsi="Times New Roman"/>
                <w:sz w:val="16"/>
              </w:rPr>
              <w:t>0.00</w:t>
            </w:r>
          </w:p>
        </w:tc>
        <w:tc>
          <w:tcPr>
            <w:tcW w:type="dxa" w:w="1440"/>
            <w:tcMar>
              <w:top w:w="50" w:type="dxa"/>
              <w:bottom w:w="50" w:type="dxa"/>
              <w:left w:w="60" w:type="dxa"/>
              <w:right w:w="60" w:type="dxa"/>
            </w:tcMar>
          </w:tcPr>
          <w:p>
            <w:r>
              <w:rPr>
                <w:rFonts w:ascii="Times New Roman" w:hAnsi="Times New Roman"/>
                <w:sz w:val="16"/>
              </w:rPr>
              <w:t>0.0% (Optimal)</w:t>
            </w:r>
          </w:p>
        </w:tc>
        <w:tc>
          <w:tcPr>
            <w:tcW w:type="dxa" w:w="1440"/>
            <w:tcMar>
              <w:top w:w="50" w:type="dxa"/>
              <w:bottom w:w="50" w:type="dxa"/>
              <w:left w:w="60" w:type="dxa"/>
              <w:right w:w="60" w:type="dxa"/>
            </w:tcMar>
          </w:tcPr>
          <w:p>
            <w:r>
              <w:rPr>
                <w:rFonts w:ascii="Times New Roman" w:hAnsi="Times New Roman"/>
                <w:sz w:val="16"/>
              </w:rPr>
              <w:t>5,000.00*</w:t>
            </w:r>
          </w:p>
        </w:tc>
      </w:tr>
      <w:tr>
        <w:tc>
          <w:tcPr>
            <w:tcW w:type="dxa" w:w="1440"/>
            <w:shd w:fill="F7F9FA"/>
            <w:tcMar>
              <w:top w:w="50" w:type="dxa"/>
              <w:bottom w:w="50" w:type="dxa"/>
              <w:left w:w="60" w:type="dxa"/>
              <w:right w:w="60" w:type="dxa"/>
            </w:tcMar>
          </w:tcPr>
          <w:p>
            <w:r>
              <w:rPr>
                <w:rFonts w:ascii="Times New Roman" w:hAnsi="Times New Roman"/>
                <w:sz w:val="16"/>
              </w:rPr>
              <w:t>GreedyFFD</w:t>
            </w:r>
          </w:p>
        </w:tc>
        <w:tc>
          <w:tcPr>
            <w:tcW w:type="dxa" w:w="1440"/>
            <w:shd w:fill="F7F9FA"/>
            <w:tcMar>
              <w:top w:w="50" w:type="dxa"/>
              <w:bottom w:w="50" w:type="dxa"/>
              <w:left w:w="60" w:type="dxa"/>
              <w:right w:w="60" w:type="dxa"/>
            </w:tcMar>
          </w:tcPr>
          <w:p>
            <w:r>
              <w:rPr>
                <w:rFonts w:ascii="Times New Roman" w:hAnsi="Times New Roman"/>
                <w:sz w:val="16"/>
              </w:rPr>
              <w:t>71.0%</w:t>
            </w:r>
          </w:p>
        </w:tc>
        <w:tc>
          <w:tcPr>
            <w:tcW w:type="dxa" w:w="1440"/>
            <w:shd w:fill="F7F9FA"/>
            <w:tcMar>
              <w:top w:w="50" w:type="dxa"/>
              <w:bottom w:w="50" w:type="dxa"/>
              <w:left w:w="60" w:type="dxa"/>
              <w:right w:w="60" w:type="dxa"/>
            </w:tcMar>
          </w:tcPr>
          <w:p>
            <w:r>
              <w:rPr>
                <w:rFonts w:ascii="Times New Roman" w:hAnsi="Times New Roman"/>
                <w:sz w:val="16"/>
              </w:rPr>
              <w:t>22.45</w:t>
            </w:r>
          </w:p>
        </w:tc>
        <w:tc>
          <w:tcPr>
            <w:tcW w:type="dxa" w:w="1440"/>
            <w:shd w:fill="F7F9FA"/>
            <w:tcMar>
              <w:top w:w="50" w:type="dxa"/>
              <w:bottom w:w="50" w:type="dxa"/>
              <w:left w:w="60" w:type="dxa"/>
              <w:right w:w="60" w:type="dxa"/>
            </w:tcMar>
          </w:tcPr>
          <w:p>
            <w:r>
              <w:rPr>
                <w:rFonts w:ascii="Times New Roman" w:hAnsi="Times New Roman"/>
                <w:sz w:val="16"/>
              </w:rPr>
              <w:t>88.60</w:t>
            </w:r>
          </w:p>
        </w:tc>
        <w:tc>
          <w:tcPr>
            <w:tcW w:type="dxa" w:w="1440"/>
            <w:shd w:fill="F7F9FA"/>
            <w:tcMar>
              <w:top w:w="50" w:type="dxa"/>
              <w:bottom w:w="50" w:type="dxa"/>
              <w:left w:w="60" w:type="dxa"/>
              <w:right w:w="60" w:type="dxa"/>
            </w:tcMar>
          </w:tcPr>
          <w:p>
            <w:r>
              <w:rPr>
                <w:rFonts w:ascii="Times New Roman" w:hAnsi="Times New Roman"/>
                <w:sz w:val="16"/>
              </w:rPr>
              <w:t>142.30</w:t>
            </w:r>
          </w:p>
        </w:tc>
        <w:tc>
          <w:tcPr>
            <w:tcW w:type="dxa" w:w="1440"/>
            <w:shd w:fill="F7F9FA"/>
            <w:tcMar>
              <w:top w:w="50" w:type="dxa"/>
              <w:bottom w:w="50" w:type="dxa"/>
              <w:left w:w="60" w:type="dxa"/>
              <w:right w:w="60" w:type="dxa"/>
            </w:tcMar>
          </w:tcPr>
          <w:p>
            <w:r>
              <w:rPr>
                <w:rFonts w:ascii="Times New Roman" w:hAnsi="Times New Roman"/>
                <w:sz w:val="16"/>
              </w:rPr>
              <w:t>18.2%</w:t>
            </w:r>
          </w:p>
        </w:tc>
        <w:tc>
          <w:tcPr>
            <w:tcW w:type="dxa" w:w="1440"/>
            <w:shd w:fill="F7F9FA"/>
            <w:tcMar>
              <w:top w:w="50" w:type="dxa"/>
              <w:bottom w:w="50" w:type="dxa"/>
              <w:left w:w="60" w:type="dxa"/>
              <w:right w:w="60" w:type="dxa"/>
            </w:tcMar>
          </w:tcPr>
          <w:p>
            <w:r>
              <w:rPr>
                <w:rFonts w:ascii="Times New Roman" w:hAnsi="Times New Roman"/>
                <w:sz w:val="16"/>
              </w:rPr>
              <w:t>0.85</w:t>
            </w:r>
          </w:p>
        </w:tc>
      </w:tr>
      <w:tr>
        <w:tc>
          <w:tcPr>
            <w:tcW w:type="dxa" w:w="1440"/>
            <w:tcMar>
              <w:top w:w="50" w:type="dxa"/>
              <w:bottom w:w="50" w:type="dxa"/>
              <w:left w:w="60" w:type="dxa"/>
              <w:right w:w="60" w:type="dxa"/>
            </w:tcMar>
          </w:tcPr>
          <w:p>
            <w:r>
              <w:rPr>
                <w:rFonts w:ascii="Times New Roman" w:hAnsi="Times New Roman"/>
                <w:sz w:val="16"/>
              </w:rPr>
              <w:t>GreedyLatencyAware</w:t>
            </w:r>
          </w:p>
        </w:tc>
        <w:tc>
          <w:tcPr>
            <w:tcW w:type="dxa" w:w="1440"/>
            <w:tcMar>
              <w:top w:w="50" w:type="dxa"/>
              <w:bottom w:w="50" w:type="dxa"/>
              <w:left w:w="60" w:type="dxa"/>
              <w:right w:w="60" w:type="dxa"/>
            </w:tcMar>
          </w:tcPr>
          <w:p>
            <w:r>
              <w:rPr>
                <w:rFonts w:ascii="Times New Roman" w:hAnsi="Times New Roman"/>
                <w:sz w:val="16"/>
              </w:rPr>
              <w:t>78.4%</w:t>
            </w:r>
          </w:p>
        </w:tc>
        <w:tc>
          <w:tcPr>
            <w:tcW w:type="dxa" w:w="1440"/>
            <w:tcMar>
              <w:top w:w="50" w:type="dxa"/>
              <w:bottom w:w="50" w:type="dxa"/>
              <w:left w:w="60" w:type="dxa"/>
              <w:right w:w="60" w:type="dxa"/>
            </w:tcMar>
          </w:tcPr>
          <w:p>
            <w:r>
              <w:rPr>
                <w:rFonts w:ascii="Times New Roman" w:hAnsi="Times New Roman"/>
                <w:sz w:val="16"/>
              </w:rPr>
              <w:t>19.10</w:t>
            </w:r>
          </w:p>
        </w:tc>
        <w:tc>
          <w:tcPr>
            <w:tcW w:type="dxa" w:w="1440"/>
            <w:tcMar>
              <w:top w:w="50" w:type="dxa"/>
              <w:bottom w:w="50" w:type="dxa"/>
              <w:left w:w="60" w:type="dxa"/>
              <w:right w:w="60" w:type="dxa"/>
            </w:tcMar>
          </w:tcPr>
          <w:p>
            <w:r>
              <w:rPr>
                <w:rFonts w:ascii="Times New Roman" w:hAnsi="Times New Roman"/>
                <w:sz w:val="16"/>
              </w:rPr>
              <w:t>51.30</w:t>
            </w:r>
          </w:p>
        </w:tc>
        <w:tc>
          <w:tcPr>
            <w:tcW w:type="dxa" w:w="1440"/>
            <w:tcMar>
              <w:top w:w="50" w:type="dxa"/>
              <w:bottom w:w="50" w:type="dxa"/>
              <w:left w:w="60" w:type="dxa"/>
              <w:right w:w="60" w:type="dxa"/>
            </w:tcMar>
          </w:tcPr>
          <w:p>
            <w:r>
              <w:rPr>
                <w:rFonts w:ascii="Times New Roman" w:hAnsi="Times New Roman"/>
                <w:sz w:val="16"/>
              </w:rPr>
              <w:t>118.50</w:t>
            </w:r>
          </w:p>
        </w:tc>
        <w:tc>
          <w:tcPr>
            <w:tcW w:type="dxa" w:w="1440"/>
            <w:tcMar>
              <w:top w:w="50" w:type="dxa"/>
              <w:bottom w:w="50" w:type="dxa"/>
              <w:left w:w="60" w:type="dxa"/>
              <w:right w:w="60" w:type="dxa"/>
            </w:tcMar>
          </w:tcPr>
          <w:p>
            <w:r>
              <w:rPr>
                <w:rFonts w:ascii="Times New Roman" w:hAnsi="Times New Roman"/>
                <w:sz w:val="16"/>
              </w:rPr>
              <w:t>12.6%</w:t>
            </w:r>
          </w:p>
        </w:tc>
        <w:tc>
          <w:tcPr>
            <w:tcW w:type="dxa" w:w="1440"/>
            <w:tcMar>
              <w:top w:w="50" w:type="dxa"/>
              <w:bottom w:w="50" w:type="dxa"/>
              <w:left w:w="60" w:type="dxa"/>
              <w:right w:w="60" w:type="dxa"/>
            </w:tcMar>
          </w:tcPr>
          <w:p>
            <w:r>
              <w:rPr>
                <w:rFonts w:ascii="Times New Roman" w:hAnsi="Times New Roman"/>
                <w:sz w:val="16"/>
              </w:rPr>
              <w:t>197.40</w:t>
            </w:r>
          </w:p>
        </w:tc>
      </w:tr>
      <w:tr>
        <w:tc>
          <w:tcPr>
            <w:tcW w:type="dxa" w:w="1440"/>
            <w:shd w:fill="F7F9FA"/>
            <w:tcMar>
              <w:top w:w="50" w:type="dxa"/>
              <w:bottom w:w="50" w:type="dxa"/>
              <w:left w:w="60" w:type="dxa"/>
              <w:right w:w="60" w:type="dxa"/>
            </w:tcMar>
          </w:tcPr>
          <w:p>
            <w:r>
              <w:rPr>
                <w:rFonts w:ascii="Times New Roman" w:hAnsi="Times New Roman"/>
                <w:sz w:val="16"/>
              </w:rPr>
              <w:t>Flat-RL (No GNN)</w:t>
            </w:r>
          </w:p>
        </w:tc>
        <w:tc>
          <w:tcPr>
            <w:tcW w:type="dxa" w:w="1440"/>
            <w:shd w:fill="F7F9FA"/>
            <w:tcMar>
              <w:top w:w="50" w:type="dxa"/>
              <w:bottom w:w="50" w:type="dxa"/>
              <w:left w:w="60" w:type="dxa"/>
              <w:right w:w="60" w:type="dxa"/>
            </w:tcMar>
          </w:tcPr>
          <w:p>
            <w:r>
              <w:rPr>
                <w:rFonts w:ascii="Times New Roman" w:hAnsi="Times New Roman"/>
                <w:sz w:val="16"/>
              </w:rPr>
              <w:t>62.1%</w:t>
            </w:r>
          </w:p>
        </w:tc>
        <w:tc>
          <w:tcPr>
            <w:tcW w:type="dxa" w:w="1440"/>
            <w:shd w:fill="F7F9FA"/>
            <w:tcMar>
              <w:top w:w="50" w:type="dxa"/>
              <w:bottom w:w="50" w:type="dxa"/>
              <w:left w:w="60" w:type="dxa"/>
              <w:right w:w="60" w:type="dxa"/>
            </w:tcMar>
          </w:tcPr>
          <w:p>
            <w:r>
              <w:rPr>
                <w:rFonts w:ascii="Times New Roman" w:hAnsi="Times New Roman"/>
                <w:sz w:val="16"/>
              </w:rPr>
              <w:t>26.80</w:t>
            </w:r>
          </w:p>
        </w:tc>
        <w:tc>
          <w:tcPr>
            <w:tcW w:type="dxa" w:w="1440"/>
            <w:shd w:fill="F7F9FA"/>
            <w:tcMar>
              <w:top w:w="50" w:type="dxa"/>
              <w:bottom w:w="50" w:type="dxa"/>
              <w:left w:w="60" w:type="dxa"/>
              <w:right w:w="60" w:type="dxa"/>
            </w:tcMar>
          </w:tcPr>
          <w:p>
            <w:r>
              <w:rPr>
                <w:rFonts w:ascii="Times New Roman" w:hAnsi="Times New Roman"/>
                <w:sz w:val="16"/>
              </w:rPr>
              <w:t>94.20</w:t>
            </w:r>
          </w:p>
        </w:tc>
        <w:tc>
          <w:tcPr>
            <w:tcW w:type="dxa" w:w="1440"/>
            <w:shd w:fill="F7F9FA"/>
            <w:tcMar>
              <w:top w:w="50" w:type="dxa"/>
              <w:bottom w:w="50" w:type="dxa"/>
              <w:left w:w="60" w:type="dxa"/>
              <w:right w:w="60" w:type="dxa"/>
            </w:tcMar>
          </w:tcPr>
          <w:p>
            <w:r>
              <w:rPr>
                <w:rFonts w:ascii="Times New Roman" w:hAnsi="Times New Roman"/>
                <w:sz w:val="16"/>
              </w:rPr>
              <w:t>84.10</w:t>
            </w:r>
          </w:p>
        </w:tc>
        <w:tc>
          <w:tcPr>
            <w:tcW w:type="dxa" w:w="1440"/>
            <w:shd w:fill="F7F9FA"/>
            <w:tcMar>
              <w:top w:w="50" w:type="dxa"/>
              <w:bottom w:w="50" w:type="dxa"/>
              <w:left w:w="60" w:type="dxa"/>
              <w:right w:w="60" w:type="dxa"/>
            </w:tcMar>
          </w:tcPr>
          <w:p>
            <w:r>
              <w:rPr>
                <w:rFonts w:ascii="Times New Roman" w:hAnsi="Times New Roman"/>
                <w:sz w:val="16"/>
              </w:rPr>
              <w:t>24.5%</w:t>
            </w:r>
          </w:p>
        </w:tc>
        <w:tc>
          <w:tcPr>
            <w:tcW w:type="dxa" w:w="1440"/>
            <w:shd w:fill="F7F9FA"/>
            <w:tcMar>
              <w:top w:w="50" w:type="dxa"/>
              <w:bottom w:w="50" w:type="dxa"/>
              <w:left w:w="60" w:type="dxa"/>
              <w:right w:w="60" w:type="dxa"/>
            </w:tcMar>
          </w:tcPr>
          <w:p>
            <w:r>
              <w:rPr>
                <w:rFonts w:ascii="Times New Roman" w:hAnsi="Times New Roman"/>
                <w:sz w:val="16"/>
              </w:rPr>
              <w:t>1.85</w:t>
            </w:r>
          </w:p>
        </w:tc>
      </w:tr>
      <w:tr>
        <w:tc>
          <w:tcPr>
            <w:tcW w:type="dxa" w:w="1440"/>
            <w:tcMar>
              <w:top w:w="50" w:type="dxa"/>
              <w:bottom w:w="50" w:type="dxa"/>
              <w:left w:w="60" w:type="dxa"/>
              <w:right w:w="60" w:type="dxa"/>
            </w:tcMar>
          </w:tcPr>
          <w:p>
            <w:r>
              <w:rPr>
                <w:rFonts w:ascii="Times New Roman" w:hAnsi="Times New Roman"/>
                <w:sz w:val="16"/>
              </w:rPr>
              <w:t>Static-GNN (No GRU)</w:t>
            </w:r>
          </w:p>
        </w:tc>
        <w:tc>
          <w:tcPr>
            <w:tcW w:type="dxa" w:w="1440"/>
            <w:tcMar>
              <w:top w:w="50" w:type="dxa"/>
              <w:bottom w:w="50" w:type="dxa"/>
              <w:left w:w="60" w:type="dxa"/>
              <w:right w:w="60" w:type="dxa"/>
            </w:tcMar>
          </w:tcPr>
          <w:p>
            <w:r>
              <w:rPr>
                <w:rFonts w:ascii="Times New Roman" w:hAnsi="Times New Roman"/>
                <w:sz w:val="16"/>
              </w:rPr>
              <w:t>84.2%</w:t>
            </w:r>
          </w:p>
        </w:tc>
        <w:tc>
          <w:tcPr>
            <w:tcW w:type="dxa" w:w="1440"/>
            <w:tcMar>
              <w:top w:w="50" w:type="dxa"/>
              <w:bottom w:w="50" w:type="dxa"/>
              <w:left w:w="60" w:type="dxa"/>
              <w:right w:w="60" w:type="dxa"/>
            </w:tcMar>
          </w:tcPr>
          <w:p>
            <w:r>
              <w:rPr>
                <w:rFonts w:ascii="Times New Roman" w:hAnsi="Times New Roman"/>
                <w:sz w:val="16"/>
              </w:rPr>
              <w:t>17.50</w:t>
            </w:r>
          </w:p>
        </w:tc>
        <w:tc>
          <w:tcPr>
            <w:tcW w:type="dxa" w:w="1440"/>
            <w:tcMar>
              <w:top w:w="50" w:type="dxa"/>
              <w:bottom w:w="50" w:type="dxa"/>
              <w:left w:w="60" w:type="dxa"/>
              <w:right w:w="60" w:type="dxa"/>
            </w:tcMar>
          </w:tcPr>
          <w:p>
            <w:r>
              <w:rPr>
                <w:rFonts w:ascii="Times New Roman" w:hAnsi="Times New Roman"/>
                <w:sz w:val="16"/>
              </w:rPr>
              <w:t>49.80</w:t>
            </w:r>
          </w:p>
        </w:tc>
        <w:tc>
          <w:tcPr>
            <w:tcW w:type="dxa" w:w="1440"/>
            <w:tcMar>
              <w:top w:w="50" w:type="dxa"/>
              <w:bottom w:w="50" w:type="dxa"/>
              <w:left w:w="60" w:type="dxa"/>
              <w:right w:w="60" w:type="dxa"/>
            </w:tcMar>
          </w:tcPr>
          <w:p>
            <w:r>
              <w:rPr>
                <w:rFonts w:ascii="Times New Roman" w:hAnsi="Times New Roman"/>
                <w:sz w:val="16"/>
              </w:rPr>
              <w:t>62.40</w:t>
            </w:r>
          </w:p>
        </w:tc>
        <w:tc>
          <w:tcPr>
            <w:tcW w:type="dxa" w:w="1440"/>
            <w:tcMar>
              <w:top w:w="50" w:type="dxa"/>
              <w:bottom w:w="50" w:type="dxa"/>
              <w:left w:w="60" w:type="dxa"/>
              <w:right w:w="60" w:type="dxa"/>
            </w:tcMar>
          </w:tcPr>
          <w:p>
            <w:r>
              <w:rPr>
                <w:rFonts w:ascii="Times New Roman" w:hAnsi="Times New Roman"/>
                <w:sz w:val="16"/>
              </w:rPr>
              <w:t>6.8%</w:t>
            </w:r>
          </w:p>
        </w:tc>
        <w:tc>
          <w:tcPr>
            <w:tcW w:type="dxa" w:w="1440"/>
            <w:tcMar>
              <w:top w:w="50" w:type="dxa"/>
              <w:bottom w:w="50" w:type="dxa"/>
              <w:left w:w="60" w:type="dxa"/>
              <w:right w:w="60" w:type="dxa"/>
            </w:tcMar>
          </w:tcPr>
          <w:p>
            <w:r>
              <w:rPr>
                <w:rFonts w:ascii="Times New Roman" w:hAnsi="Times New Roman"/>
                <w:sz w:val="16"/>
              </w:rPr>
              <w:t>2.10</w:t>
            </w:r>
          </w:p>
        </w:tc>
      </w:tr>
      <w:tr>
        <w:tc>
          <w:tcPr>
            <w:tcW w:type="dxa" w:w="1440"/>
            <w:shd w:fill="F7F9FA"/>
            <w:tcMar>
              <w:top w:w="50" w:type="dxa"/>
              <w:bottom w:w="50" w:type="dxa"/>
              <w:left w:w="60" w:type="dxa"/>
              <w:right w:w="60" w:type="dxa"/>
            </w:tcMar>
          </w:tcPr>
          <w:p>
            <w:r>
              <w:rPr>
                <w:rFonts w:ascii="Times New Roman" w:hAnsi="Times New Roman"/>
                <w:sz w:val="16"/>
              </w:rPr>
              <w:t>No-Mask (Unsafe)</w:t>
            </w:r>
          </w:p>
        </w:tc>
        <w:tc>
          <w:tcPr>
            <w:tcW w:type="dxa" w:w="1440"/>
            <w:shd w:fill="F7F9FA"/>
            <w:tcMar>
              <w:top w:w="50" w:type="dxa"/>
              <w:bottom w:w="50" w:type="dxa"/>
              <w:left w:w="60" w:type="dxa"/>
              <w:right w:w="60" w:type="dxa"/>
            </w:tcMar>
          </w:tcPr>
          <w:p>
            <w:r>
              <w:rPr>
                <w:rFonts w:ascii="Times New Roman" w:hAnsi="Times New Roman"/>
                <w:sz w:val="16"/>
              </w:rPr>
              <w:t>14.5%</w:t>
            </w:r>
          </w:p>
        </w:tc>
        <w:tc>
          <w:tcPr>
            <w:tcW w:type="dxa" w:w="1440"/>
            <w:shd w:fill="F7F9FA"/>
            <w:tcMar>
              <w:top w:w="50" w:type="dxa"/>
              <w:bottom w:w="50" w:type="dxa"/>
              <w:left w:w="60" w:type="dxa"/>
              <w:right w:w="60" w:type="dxa"/>
            </w:tcMar>
          </w:tcPr>
          <w:p>
            <w:r>
              <w:rPr>
                <w:rFonts w:ascii="Times New Roman" w:hAnsi="Times New Roman"/>
                <w:sz w:val="16"/>
              </w:rPr>
              <w:t>38.90</w:t>
            </w:r>
          </w:p>
        </w:tc>
        <w:tc>
          <w:tcPr>
            <w:tcW w:type="dxa" w:w="1440"/>
            <w:shd w:fill="F7F9FA"/>
            <w:tcMar>
              <w:top w:w="50" w:type="dxa"/>
              <w:bottom w:w="50" w:type="dxa"/>
              <w:left w:w="60" w:type="dxa"/>
              <w:right w:w="60" w:type="dxa"/>
            </w:tcMar>
          </w:tcPr>
          <w:p>
            <w:r>
              <w:rPr>
                <w:rFonts w:ascii="Times New Roman" w:hAnsi="Times New Roman"/>
                <w:sz w:val="16"/>
              </w:rPr>
              <w:t>142.50</w:t>
            </w:r>
          </w:p>
        </w:tc>
        <w:tc>
          <w:tcPr>
            <w:tcW w:type="dxa" w:w="1440"/>
            <w:shd w:fill="F7F9FA"/>
            <w:tcMar>
              <w:top w:w="50" w:type="dxa"/>
              <w:bottom w:w="50" w:type="dxa"/>
              <w:left w:w="60" w:type="dxa"/>
              <w:right w:w="60" w:type="dxa"/>
            </w:tcMar>
          </w:tcPr>
          <w:p>
            <w:r>
              <w:rPr>
                <w:rFonts w:ascii="Times New Roman" w:hAnsi="Times New Roman"/>
                <w:sz w:val="16"/>
              </w:rPr>
              <w:t>210.00</w:t>
            </w:r>
          </w:p>
        </w:tc>
        <w:tc>
          <w:tcPr>
            <w:tcW w:type="dxa" w:w="1440"/>
            <w:shd w:fill="F7F9FA"/>
            <w:tcMar>
              <w:top w:w="50" w:type="dxa"/>
              <w:bottom w:w="50" w:type="dxa"/>
              <w:left w:w="60" w:type="dxa"/>
              <w:right w:w="60" w:type="dxa"/>
            </w:tcMar>
          </w:tcPr>
          <w:p>
            <w:r>
              <w:rPr>
                <w:rFonts w:ascii="Times New Roman" w:hAnsi="Times New Roman"/>
                <w:sz w:val="16"/>
              </w:rPr>
              <w:t>58.4%</w:t>
            </w:r>
          </w:p>
        </w:tc>
        <w:tc>
          <w:tcPr>
            <w:tcW w:type="dxa" w:w="1440"/>
            <w:shd w:fill="F7F9FA"/>
            <w:tcMar>
              <w:top w:w="50" w:type="dxa"/>
              <w:bottom w:w="50" w:type="dxa"/>
              <w:left w:w="60" w:type="dxa"/>
              <w:right w:w="60" w:type="dxa"/>
            </w:tcMar>
          </w:tcPr>
          <w:p>
            <w:r>
              <w:rPr>
                <w:rFonts w:ascii="Times New Roman" w:hAnsi="Times New Roman"/>
                <w:sz w:val="16"/>
              </w:rPr>
              <w:t>2.25</w:t>
            </w:r>
          </w:p>
        </w:tc>
      </w:tr>
      <w:tr>
        <w:tc>
          <w:tcPr>
            <w:tcW w:type="dxa" w:w="1440"/>
            <w:shd w:fill="EBF5EA"/>
            <w:tcMar>
              <w:top w:w="50" w:type="dxa"/>
              <w:bottom w:w="50" w:type="dxa"/>
              <w:left w:w="60" w:type="dxa"/>
              <w:right w:w="60" w:type="dxa"/>
            </w:tcMar>
          </w:tcPr>
          <w:p>
            <w:r>
              <w:rPr>
                <w:rFonts w:ascii="Times New Roman" w:hAnsi="Times New Roman"/>
                <w:b/>
                <w:sz w:val="16"/>
              </w:rPr>
              <w:t>TGNN-NCO (Proposed)</w:t>
            </w:r>
          </w:p>
        </w:tc>
        <w:tc>
          <w:tcPr>
            <w:tcW w:type="dxa" w:w="1440"/>
            <w:shd w:fill="EBF5EA"/>
            <w:tcMar>
              <w:top w:w="50" w:type="dxa"/>
              <w:bottom w:w="50" w:type="dxa"/>
              <w:left w:w="60" w:type="dxa"/>
              <w:right w:w="60" w:type="dxa"/>
            </w:tcMar>
          </w:tcPr>
          <w:p>
            <w:r>
              <w:rPr>
                <w:rFonts w:ascii="Times New Roman" w:hAnsi="Times New Roman"/>
                <w:b/>
                <w:sz w:val="16"/>
              </w:rPr>
              <w:t>98.5%</w:t>
            </w:r>
          </w:p>
        </w:tc>
        <w:tc>
          <w:tcPr>
            <w:tcW w:type="dxa" w:w="1440"/>
            <w:shd w:fill="EBF5EA"/>
            <w:tcMar>
              <w:top w:w="50" w:type="dxa"/>
              <w:bottom w:w="50" w:type="dxa"/>
              <w:left w:w="60" w:type="dxa"/>
              <w:right w:w="60" w:type="dxa"/>
            </w:tcMar>
          </w:tcPr>
          <w:p>
            <w:r>
              <w:rPr>
                <w:rFonts w:ascii="Times New Roman" w:hAnsi="Times New Roman"/>
                <w:b/>
                <w:sz w:val="16"/>
              </w:rPr>
              <w:t>15.35</w:t>
            </w:r>
          </w:p>
        </w:tc>
        <w:tc>
          <w:tcPr>
            <w:tcW w:type="dxa" w:w="1440"/>
            <w:shd w:fill="EBF5EA"/>
            <w:tcMar>
              <w:top w:w="50" w:type="dxa"/>
              <w:bottom w:w="50" w:type="dxa"/>
              <w:left w:w="60" w:type="dxa"/>
              <w:right w:w="60" w:type="dxa"/>
            </w:tcMar>
          </w:tcPr>
          <w:p>
            <w:r>
              <w:rPr>
                <w:rFonts w:ascii="Times New Roman" w:hAnsi="Times New Roman"/>
                <w:b/>
                <w:sz w:val="16"/>
              </w:rPr>
              <w:t>43.20</w:t>
            </w:r>
          </w:p>
        </w:tc>
        <w:tc>
          <w:tcPr>
            <w:tcW w:type="dxa" w:w="1440"/>
            <w:shd w:fill="EBF5EA"/>
            <w:tcMar>
              <w:top w:w="50" w:type="dxa"/>
              <w:bottom w:w="50" w:type="dxa"/>
              <w:left w:w="60" w:type="dxa"/>
              <w:right w:w="60" w:type="dxa"/>
            </w:tcMar>
          </w:tcPr>
          <w:p>
            <w:r>
              <w:rPr>
                <w:rFonts w:ascii="Times New Roman" w:hAnsi="Times New Roman"/>
                <w:b/>
                <w:sz w:val="16"/>
              </w:rPr>
              <w:t>18.20</w:t>
            </w:r>
          </w:p>
        </w:tc>
        <w:tc>
          <w:tcPr>
            <w:tcW w:type="dxa" w:w="1440"/>
            <w:shd w:fill="EBF5EA"/>
            <w:tcMar>
              <w:top w:w="50" w:type="dxa"/>
              <w:bottom w:w="50" w:type="dxa"/>
              <w:left w:w="60" w:type="dxa"/>
              <w:right w:w="60" w:type="dxa"/>
            </w:tcMar>
          </w:tcPr>
          <w:p>
            <w:r>
              <w:rPr>
                <w:rFonts w:ascii="Times New Roman" w:hAnsi="Times New Roman"/>
                <w:b/>
                <w:sz w:val="16"/>
              </w:rPr>
              <w:t>3.2%</w:t>
            </w:r>
          </w:p>
        </w:tc>
        <w:tc>
          <w:tcPr>
            <w:tcW w:type="dxa" w:w="1440"/>
            <w:shd w:fill="EBF5EA"/>
            <w:tcMar>
              <w:top w:w="50" w:type="dxa"/>
              <w:bottom w:w="50" w:type="dxa"/>
              <w:left w:w="60" w:type="dxa"/>
              <w:right w:w="60" w:type="dxa"/>
            </w:tcMar>
          </w:tcPr>
          <w:p>
            <w:r>
              <w:rPr>
                <w:rFonts w:ascii="Times New Roman" w:hAnsi="Times New Roman"/>
                <w:b/>
                <w:sz w:val="16"/>
              </w:rPr>
              <w:t>2.40</w:t>
            </w:r>
          </w:p>
        </w:tc>
      </w:tr>
    </w:tbl>
    <w:p>
      <w:pPr>
        <w:spacing w:after="120"/>
      </w:pPr>
    </w:p>
    <w:p>
      <w:pPr>
        <w:keepNext/>
        <w:spacing w:before="200" w:after="60"/>
      </w:pPr>
      <w:r>
        <w:rPr>
          <w:rFonts w:ascii="Times New Roman" w:hAnsi="Times New Roman"/>
          <w:b/>
          <w:i/>
          <w:color w:val="1E283C"/>
          <w:sz w:val="21"/>
        </w:rPr>
        <w:t>A. Feasibility Rate and Constraint Adherence</w:t>
      </w:r>
    </w:p>
    <w:p>
      <w:pPr>
        <w:spacing w:before="0" w:after="120" w:line="276" w:lineRule="auto"/>
        <w:jc w:val="both"/>
      </w:pPr>
      <w:r>
        <w:rPr>
          <w:rFonts w:ascii="Times New Roman" w:hAnsi="Times New Roman"/>
          <w:sz w:val="20"/>
        </w:rPr>
        <w:t>As shown in Fig. 1 and Table II, TGNN-NCO achieves a 98.5% feasibility rate, significantly outperforming Static-GNN (84.2%), Greedy-Latency (78.4%), and GreedyFFD (71.0%). In TGNN-NCO, node capacity violations remain strictly at 0% across all episodes, validating Theorem 1. The residual 1.5% infeasibility stems entirely from transient link bandwidth saturation during multi-node failure cascades.</w:t>
      </w:r>
    </w:p>
    <w:p>
      <w:pPr>
        <w:spacing w:before="160" w:after="40"/>
        <w:jc w:val="center"/>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fig1_feasibility_rate.png"/>
                    <pic:cNvPicPr/>
                  </pic:nvPicPr>
                  <pic:blipFill>
                    <a:blip r:embed="rId10"/>
                    <a:stretch>
                      <a:fillRect/>
                    </a:stretch>
                  </pic:blipFill>
                  <pic:spPr>
                    <a:xfrm>
                      <a:off x="0" y="0"/>
                      <a:ext cx="5120640" cy="3413760"/>
                    </a:xfrm>
                    <a:prstGeom prst="rect"/>
                  </pic:spPr>
                </pic:pic>
              </a:graphicData>
            </a:graphic>
          </wp:inline>
        </w:drawing>
      </w:r>
    </w:p>
    <w:p>
      <w:pPr>
        <w:spacing w:before="40" w:after="200"/>
        <w:ind w:left="360" w:right="360"/>
        <w:jc w:val="both"/>
      </w:pPr>
      <w:r>
        <w:rPr>
          <w:rFonts w:ascii="Times New Roman" w:hAnsi="Times New Roman"/>
          <w:i/>
          <w:color w:val="323232"/>
          <w:sz w:val="18"/>
        </w:rPr>
        <w:t>Fig. 1. In-Distribution Feasibility Rate comparison across competing algorithms under continuous temporal continuum fluctuations. TGNN-NCO attains 98.5% feasibility, outperforming Static-GNN (84.2%), Greedy-Latency (78.4%), and GreedyFFD (71.0%).</w:t>
      </w:r>
    </w:p>
    <w:p>
      <w:pPr>
        <w:keepNext/>
        <w:spacing w:before="200" w:after="60"/>
      </w:pPr>
      <w:r>
        <w:rPr>
          <w:rFonts w:ascii="Times New Roman" w:hAnsi="Times New Roman"/>
          <w:b/>
          <w:i/>
          <w:color w:val="1E283C"/>
          <w:sz w:val="21"/>
        </w:rPr>
        <w:t>B. Inference Latency and Out-of-Distribution Scalability</w:t>
      </w:r>
    </w:p>
    <w:p>
      <w:pPr>
        <w:spacing w:before="0" w:after="120" w:line="276" w:lineRule="auto"/>
        <w:jc w:val="both"/>
      </w:pPr>
      <w:r>
        <w:rPr>
          <w:rFonts w:ascii="Times New Roman" w:hAnsi="Times New Roman"/>
          <w:sz w:val="20"/>
        </w:rPr>
        <w:t>Fig. 2 plots placement decision time as physical topology scales from N=20 to N=100 nodes. TGNN-NCO scales sub-linearly: 1.2 ms at N=20, 2.4 ms at N=50, and 5.1 ms at N=100. In comparison, Greedy-Latency scales to 1,850 ms due to repeated Dijkstra searches, while exact MINLP explodes to 120,000 ms (2 minutes). At N=100, TGNN-NCO delivers a 23,500x speedup over exact optimization and operates 300x faster than iterative DDPM diffusion models (~1.5 s).</w:t>
      </w:r>
    </w:p>
    <w:p>
      <w:pPr>
        <w:spacing w:before="160" w:after="40"/>
        <w:jc w:val="center"/>
      </w:pPr>
      <w:r>
        <w:drawing>
          <wp:inline xmlns:a="http://schemas.openxmlformats.org/drawingml/2006/main" xmlns:pic="http://schemas.openxmlformats.org/drawingml/2006/picture">
            <wp:extent cx="5120640" cy="3308721"/>
            <wp:docPr id="3" name="Picture 3"/>
            <wp:cNvGraphicFramePr>
              <a:graphicFrameLocks noChangeAspect="1"/>
            </wp:cNvGraphicFramePr>
            <a:graphic>
              <a:graphicData uri="http://schemas.openxmlformats.org/drawingml/2006/picture">
                <pic:pic>
                  <pic:nvPicPr>
                    <pic:cNvPr id="0" name="fig2_inference_time_ood.png"/>
                    <pic:cNvPicPr/>
                  </pic:nvPicPr>
                  <pic:blipFill>
                    <a:blip r:embed="rId11"/>
                    <a:stretch>
                      <a:fillRect/>
                    </a:stretch>
                  </pic:blipFill>
                  <pic:spPr>
                    <a:xfrm>
                      <a:off x="0" y="0"/>
                      <a:ext cx="5120640" cy="3308721"/>
                    </a:xfrm>
                    <a:prstGeom prst="rect"/>
                  </pic:spPr>
                </pic:pic>
              </a:graphicData>
            </a:graphic>
          </wp:inline>
        </w:drawing>
      </w:r>
    </w:p>
    <w:p>
      <w:pPr>
        <w:spacing w:before="40" w:after="200"/>
        <w:ind w:left="360" w:right="360"/>
        <w:jc w:val="both"/>
      </w:pPr>
      <w:r>
        <w:rPr>
          <w:rFonts w:ascii="Times New Roman" w:hAnsi="Times New Roman"/>
          <w:i/>
          <w:color w:val="323232"/>
          <w:sz w:val="18"/>
        </w:rPr>
        <w:t>Fig. 2. Out-of-Distribution (OOD) Scalability: Placement inference time (milliseconds, log-scale) as infrastructure node count scales from N=20 to N=100. TGNN-NCO scales sub-linearly to 5.1 ms at N=100, achieving a 23,500x speedup over exact MINLP (120 s).</w:t>
      </w:r>
    </w:p>
    <w:p>
      <w:pPr>
        <w:keepNext/>
        <w:spacing w:before="200" w:after="60"/>
      </w:pPr>
      <w:r>
        <w:rPr>
          <w:rFonts w:ascii="Times New Roman" w:hAnsi="Times New Roman"/>
          <w:b/>
          <w:i/>
          <w:color w:val="1E283C"/>
          <w:sz w:val="21"/>
        </w:rPr>
        <w:t>C. Optimality Gap versus Exact MILP</w:t>
      </w:r>
    </w:p>
    <w:p>
      <w:pPr>
        <w:spacing w:before="0" w:after="120" w:line="276" w:lineRule="auto"/>
        <w:jc w:val="both"/>
      </w:pPr>
      <w:r>
        <w:rPr>
          <w:rFonts w:ascii="Times New Roman" w:hAnsi="Times New Roman"/>
          <w:sz w:val="20"/>
        </w:rPr>
        <w:t>Fig. 3 presents the empirical Cumulative Distribution Function (CDF) of the Optimality Gap compared against the ground-truth GEKKO MINLP solver on solvable instances (C &lt;= 15, M &lt;= 30). TGNN-NCO achieves a median optimality gap of only 3.2%, with over 92% of placements falling within 4.5% of the theoretical minimum cost, and a worst-case gap strictly under 7.0%. In contrast, GreedyFFD exhibits a median gap of 18.2%, stretching beyond 32.5%.</w:t>
      </w:r>
    </w:p>
    <w:p>
      <w:pPr>
        <w:spacing w:before="160" w:after="40"/>
        <w:jc w:val="center"/>
      </w:pPr>
      <w:r>
        <w:drawing>
          <wp:inline xmlns:a="http://schemas.openxmlformats.org/drawingml/2006/main" xmlns:pic="http://schemas.openxmlformats.org/drawingml/2006/picture">
            <wp:extent cx="5120640" cy="3308721"/>
            <wp:docPr id="4" name="Picture 4"/>
            <wp:cNvGraphicFramePr>
              <a:graphicFrameLocks noChangeAspect="1"/>
            </wp:cNvGraphicFramePr>
            <a:graphic>
              <a:graphicData uri="http://schemas.openxmlformats.org/drawingml/2006/picture">
                <pic:pic>
                  <pic:nvPicPr>
                    <pic:cNvPr id="0" name="fig3_optimality_gap.png"/>
                    <pic:cNvPicPr/>
                  </pic:nvPicPr>
                  <pic:blipFill>
                    <a:blip r:embed="rId12"/>
                    <a:stretch>
                      <a:fillRect/>
                    </a:stretch>
                  </pic:blipFill>
                  <pic:spPr>
                    <a:xfrm>
                      <a:off x="0" y="0"/>
                      <a:ext cx="5120640" cy="3308721"/>
                    </a:xfrm>
                    <a:prstGeom prst="rect"/>
                  </pic:spPr>
                </pic:pic>
              </a:graphicData>
            </a:graphic>
          </wp:inline>
        </w:drawing>
      </w:r>
    </w:p>
    <w:p>
      <w:pPr>
        <w:spacing w:before="40" w:after="200"/>
        <w:ind w:left="360" w:right="360"/>
        <w:jc w:val="both"/>
      </w:pPr>
      <w:r>
        <w:rPr>
          <w:rFonts w:ascii="Times New Roman" w:hAnsi="Times New Roman"/>
          <w:i/>
          <w:color w:val="323232"/>
          <w:sz w:val="18"/>
        </w:rPr>
        <w:t>Fig. 3. Optimality Gap Empirical Cumulative Distribution Function (CDF) compared against the exact GEKKO MINLP ground truth. TGNN-NCO's optimality gap is strictly bounded between 0% and 5% (median 3.2%), whereas GreedyFFD spreads from 10% to over 32% (median 18.0%).</w:t>
      </w:r>
    </w:p>
    <w:p>
      <w:pPr>
        <w:keepNext/>
        <w:spacing w:before="200" w:after="60"/>
      </w:pPr>
      <w:r>
        <w:rPr>
          <w:rFonts w:ascii="Times New Roman" w:hAnsi="Times New Roman"/>
          <w:b/>
          <w:i/>
          <w:color w:val="1E283C"/>
          <w:sz w:val="21"/>
        </w:rPr>
        <w:t>D. Ablation Study: Architecture and Mask Contribution</w:t>
      </w:r>
    </w:p>
    <w:p>
      <w:pPr>
        <w:spacing w:before="0" w:after="120" w:line="276" w:lineRule="auto"/>
        <w:jc w:val="both"/>
      </w:pPr>
      <w:r>
        <w:rPr>
          <w:rFonts w:ascii="Times New Roman" w:hAnsi="Times New Roman"/>
          <w:sz w:val="20"/>
        </w:rPr>
        <w:t>Fig. 5 dissects the relative contributions of individual architectural components: (1) Temporal GRU Module (+14.3% feasibility gain over Static-GNN: 98.5% vs 84.2%), as Static-GNN fails to foresee load drift under Ornstein-Uhlenbeck noise; (2) Spatial Graph Convolutions (+36.4% gain over Flat-RL: 98.5% vs 62.1%), proving the necessity of topology awareness; and (3) Dynamic Action Masking (+84.0% gain over No-Mask: 98.5% vs 14.5%), proving that unconstrained RL completely fails in high-dimensional combinatorial spaces.</w:t>
      </w:r>
    </w:p>
    <w:p>
      <w:pPr>
        <w:spacing w:before="160" w:after="40"/>
        <w:jc w:val="center"/>
      </w:pPr>
      <w:r>
        <w:drawing>
          <wp:inline xmlns:a="http://schemas.openxmlformats.org/drawingml/2006/main" xmlns:pic="http://schemas.openxmlformats.org/drawingml/2006/picture">
            <wp:extent cx="5120640" cy="3151163"/>
            <wp:docPr id="5" name="Picture 5"/>
            <wp:cNvGraphicFramePr>
              <a:graphicFrameLocks noChangeAspect="1"/>
            </wp:cNvGraphicFramePr>
            <a:graphic>
              <a:graphicData uri="http://schemas.openxmlformats.org/drawingml/2006/picture">
                <pic:pic>
                  <pic:nvPicPr>
                    <pic:cNvPr id="0" name="fig5_ablation_study.png"/>
                    <pic:cNvPicPr/>
                  </pic:nvPicPr>
                  <pic:blipFill>
                    <a:blip r:embed="rId13"/>
                    <a:stretch>
                      <a:fillRect/>
                    </a:stretch>
                  </pic:blipFill>
                  <pic:spPr>
                    <a:xfrm>
                      <a:off x="0" y="0"/>
                      <a:ext cx="5120640" cy="3151163"/>
                    </a:xfrm>
                    <a:prstGeom prst="rect"/>
                  </pic:spPr>
                </pic:pic>
              </a:graphicData>
            </a:graphic>
          </wp:inline>
        </w:drawing>
      </w:r>
    </w:p>
    <w:p>
      <w:pPr>
        <w:spacing w:before="40" w:after="200"/>
        <w:ind w:left="360" w:right="360"/>
        <w:jc w:val="both"/>
      </w:pPr>
      <w:r>
        <w:rPr>
          <w:rFonts w:ascii="Times New Roman" w:hAnsi="Times New Roman"/>
          <w:i/>
          <w:color w:val="323232"/>
          <w:sz w:val="18"/>
        </w:rPr>
        <w:t>Fig. 5. Architectural and Masking Ablation Study on Feasibility Rate (%). Removing the temporal GRU (Static-GNN) degrades feasibility to 84.2%; removing graph convolutions (Flat-RL) degrades feasibility to 62.1%; removing the action mask (No-Mask) causes catastrophic failure (14.5%).</w:t>
      </w:r>
    </w:p>
    <w:p>
      <w:pPr>
        <w:keepNext/>
        <w:spacing w:before="200" w:after="60"/>
      </w:pPr>
      <w:r>
        <w:rPr>
          <w:rFonts w:ascii="Times New Roman" w:hAnsi="Times New Roman"/>
          <w:b/>
          <w:i/>
          <w:color w:val="1E283C"/>
          <w:sz w:val="21"/>
        </w:rPr>
        <w:t>E. Impact of State-Aware Migration Penalization</w:t>
      </w:r>
    </w:p>
    <w:p>
      <w:pPr>
        <w:spacing w:before="0" w:after="120" w:line="276" w:lineRule="auto"/>
        <w:jc w:val="both"/>
      </w:pPr>
      <w:r>
        <w:rPr>
          <w:rFonts w:ascii="Times New Roman" w:hAnsi="Times New Roman"/>
          <w:sz w:val="20"/>
        </w:rPr>
        <w:t>Incorporating the dirty-memory migration penalty Phi^mig reduces accumulated migration penalties from 142.3 ms (GreedyFFD) and 62.4 ms (Static-GNN) down to 18.2 ms in TGNN-NCO (Table II). By penalizing container relocations based on raw RAM footprints and link bandwidth, TGNN-NCO eliminates wasteful container thrashing, retaining stateful CNFs on stable nodes unless the latency gains of relocation significantly surpass the dirty-page transfer cost.</w:t>
      </w:r>
    </w:p>
    <w:p>
      <w:pPr>
        <w:keepNext/>
        <w:spacing w:before="280" w:after="80"/>
      </w:pPr>
      <w:r>
        <w:rPr>
          <w:rFonts w:ascii="Times New Roman" w:hAnsi="Times New Roman"/>
          <w:b/>
          <w:color w:val="0A192F"/>
          <w:sz w:val="22"/>
        </w:rPr>
        <w:t>VIII. DISCUSSION, PRACTICAL CONSIDERATIONS &amp; LIMITATIONS</w:t>
      </w:r>
    </w:p>
    <w:p>
      <w:pPr>
        <w:spacing w:before="0" w:after="120" w:line="276" w:lineRule="auto"/>
        <w:jc w:val="both"/>
      </w:pPr>
      <w:r>
        <w:rPr>
          <w:rFonts w:ascii="Times New Roman" w:hAnsi="Times New Roman"/>
          <w:sz w:val="20"/>
        </w:rPr>
        <w:t>While TGNN-NCO establishes state-of-the-art performance, several practical considerations and research boundaries should be acknowledged: (1) Simulation Fidelity vs. Physical Bare-Metal Deployment: Evaluated on high-fidelity Gymnasium simulation with Waxman topologies; physical over-the-air validation on an operational 5G core testbed (e.g., Open5GS or free5GC connected to OpenAirInterface RAN) is planned for future work. (2) Inter-Domain Federation Signaling: Although our model mathematically formalizes cross-operator handoffs per Dalgitsis et al. [4], full protocol integration with real GSMA OPG East-West REST APIs and 3GPP SBA Service Communication Proxies (SCP) remains to be implemented. (3) State Migration Granularity: Our analytical migration penalty assumes standard pre-copy dirty memory iteration (rho=0.20). Emerging cloud-native paradigms, such as userfaultfd post-copy migration, state-externalized databases (e.g., Redis/Couchbase), and eBPF socket handoff hooks, may alter the migration latency profile. (4) Extreme Scalability (N &gt; 500): While TGNN-NCO scales sub-linearly to 100 nodes (5.1 ms), scaling to continent-wide multi-cluster federations with thousands of nodes will necessitate hierarchical graph clustering or multi-agent reinforcement learning (MARL).</w:t>
      </w:r>
    </w:p>
    <w:p>
      <w:pPr>
        <w:keepNext/>
        <w:spacing w:before="280" w:after="80"/>
      </w:pPr>
      <w:r>
        <w:rPr>
          <w:rFonts w:ascii="Times New Roman" w:hAnsi="Times New Roman"/>
          <w:b/>
          <w:color w:val="0A192F"/>
          <w:sz w:val="22"/>
        </w:rPr>
        <w:t>IX. CONCLUSION &amp; FUTURE WORK</w:t>
      </w:r>
    </w:p>
    <w:p>
      <w:pPr>
        <w:spacing w:before="0" w:after="120" w:line="276" w:lineRule="auto"/>
        <w:jc w:val="both"/>
      </w:pPr>
      <w:r>
        <w:rPr>
          <w:rFonts w:ascii="Times New Roman" w:hAnsi="Times New Roman"/>
          <w:sz w:val="20"/>
        </w:rPr>
        <w:t>In this paper, we addressed the dual challenge of continuous network non-stationarity and uncoordinated application state migration in Cloud-Continuum CNF orchestration. We proposed TGNN-NCO, an end-to-end framework uniting Spatio-Temporal Graph Neural Networks, Actor-Critic reinforcement learning, and an autoregressive pointer decoder. By coupling vectorized spatial convolutions with temporal GRU sequence modeling over a sliding window (W=5), TGNN-NCO accurately tracks non-stationary load drift. Through SFC-priority ordering and dynamic residual-capacity masking, the framework mathematically guarantees zero node capacity violations by construction. Furthermore, incorporating an analytical dirty-memory pre-copy migration penalty prevents container thrashing and preserves session continuity. Extensive empirical evaluations across six temporal stress scenarios demonstrate that TGNN-NCO achieves a 98.5% feasibility rate, maintains sub-5.1 ms inference latency (23,500x faster than exact MINLP at N=100), and achieves an optimality gap within 0% to 5% of the theoretical ground truth. Future work will deploy TGNN-NCO as an O-RAN xApp integrated with a physical Kubernetes edge testbed.</w:t>
      </w:r>
    </w:p>
    <w:p>
      <w:pPr>
        <w:keepNext/>
        <w:spacing w:before="280" w:after="80"/>
      </w:pPr>
      <w:r>
        <w:rPr>
          <w:rFonts w:ascii="Times New Roman" w:hAnsi="Times New Roman"/>
          <w:b/>
          <w:color w:val="0A192F"/>
          <w:sz w:val="22"/>
        </w:rPr>
        <w:t>X. REFERENCES</w:t>
      </w:r>
    </w:p>
    <w:p>
      <w:pPr>
        <w:spacing w:before="0" w:after="60" w:line="264" w:lineRule="auto"/>
        <w:ind w:left="360" w:hanging="360"/>
        <w:jc w:val="both"/>
      </w:pPr>
      <w:r>
        <w:rPr>
          <w:rFonts w:ascii="Times New Roman" w:hAnsi="Times New Roman"/>
          <w:sz w:val="17"/>
        </w:rPr>
        <w:t>[1] R. Mijumbi, J. Serrat, J.-L. Gorricho, N. Bouten, F. De Turck, and R. Boutaba, "Network Function Virtualization: State-of-the-Art and Research Challenges," IEEE Communications Surveys &amp; Tutorials, vol. 18, no. 1, pp. 236-262, 2016.</w:t>
      </w:r>
    </w:p>
    <w:p>
      <w:pPr>
        <w:spacing w:before="0" w:after="60" w:line="264" w:lineRule="auto"/>
        <w:ind w:left="360" w:hanging="360"/>
        <w:jc w:val="both"/>
      </w:pPr>
      <w:r>
        <w:rPr>
          <w:rFonts w:ascii="Times New Roman" w:hAnsi="Times New Roman"/>
          <w:sz w:val="17"/>
        </w:rPr>
        <w:t>[2] J. G. Herrera and J. F. Botero, "Resource allocation in NFV: A comprehensive survey," IEEE Transactions on Network and Service Management, vol. 13, no. 3, pp. 518-532, 2016.</w:t>
      </w:r>
    </w:p>
    <w:p>
      <w:pPr>
        <w:spacing w:before="0" w:after="60" w:line="264" w:lineRule="auto"/>
        <w:ind w:left="360" w:hanging="360"/>
        <w:jc w:val="both"/>
      </w:pPr>
      <w:r>
        <w:rPr>
          <w:rFonts w:ascii="Times New Roman" w:hAnsi="Times New Roman"/>
          <w:sz w:val="17"/>
        </w:rPr>
        <w:t>[3] C. Clark, K. Fraser, S. Hand, J. G. Hansen, E. Jul, C. Limpach, I. Pratt, and A. Warfield, "Live migration of virtual machines," in Proc. 2nd USENIX/ACM Symposium on Networked Systems Design and Implementation (NSDI), 2005, pp. 273-286.</w:t>
      </w:r>
    </w:p>
    <w:p>
      <w:pPr>
        <w:spacing w:before="0" w:after="60" w:line="264" w:lineRule="auto"/>
        <w:ind w:left="360" w:hanging="360"/>
        <w:jc w:val="both"/>
      </w:pPr>
      <w:r>
        <w:rPr>
          <w:rFonts w:ascii="Times New Roman" w:hAnsi="Times New Roman"/>
          <w:sz w:val="17"/>
        </w:rPr>
        <w:t>[4] M. Dalgitsis, N. Cadenelli, M. A. Serrano, N. Bartzoudis, L. Alonso, and A. Antonopoulos, "Cloud-Native Orchestration Framework for Network Slice Federation Across Administrative Domains in 5G/6G Mobile Networks," IEEE Transactions on Vehicular Technology, vol. 73, no. 7, pp. 9306-9319, July 2024.</w:t>
      </w:r>
    </w:p>
    <w:p>
      <w:pPr>
        <w:spacing w:before="0" w:after="60" w:line="264" w:lineRule="auto"/>
        <w:ind w:left="360" w:hanging="360"/>
        <w:jc w:val="both"/>
      </w:pPr>
      <w:r>
        <w:rPr>
          <w:rFonts w:ascii="Times New Roman" w:hAnsi="Times New Roman"/>
          <w:sz w:val="17"/>
        </w:rPr>
        <w:t>[5] GSM Association, "Operator Platform Concept and Architecture Version 2.0," GSMA PRD OPG.01, Tech. Rep., 2021.</w:t>
      </w:r>
    </w:p>
    <w:p>
      <w:pPr>
        <w:spacing w:before="0" w:after="60" w:line="264" w:lineRule="auto"/>
        <w:ind w:left="360" w:hanging="360"/>
        <w:jc w:val="both"/>
      </w:pPr>
      <w:r>
        <w:rPr>
          <w:rFonts w:ascii="Times New Roman" w:hAnsi="Times New Roman"/>
          <w:sz w:val="17"/>
        </w:rPr>
        <w:t>[6] 3GPP, "System architecture for the 5G System (5GS)," 3rd Generation Partnership Project (3GPP), TS 23.501, Rel-18, Tech. Rep., 2023.</w:t>
      </w:r>
    </w:p>
    <w:p>
      <w:pPr>
        <w:spacing w:before="0" w:after="60" w:line="264" w:lineRule="auto"/>
        <w:ind w:left="360" w:hanging="360"/>
        <w:jc w:val="both"/>
      </w:pPr>
      <w:r>
        <w:rPr>
          <w:rFonts w:ascii="Times New Roman" w:hAnsi="Times New Roman"/>
          <w:sz w:val="17"/>
        </w:rPr>
        <w:t>[7] O-RAN Alliance, "O-RAN Architecture Description v08.00," O-RAN Alliance Working Group 1, Tech. Rep., 2023.</w:t>
      </w:r>
    </w:p>
    <w:p>
      <w:pPr>
        <w:spacing w:before="0" w:after="60" w:line="264" w:lineRule="auto"/>
        <w:ind w:left="360" w:hanging="360"/>
        <w:jc w:val="both"/>
      </w:pPr>
      <w:r>
        <w:rPr>
          <w:rFonts w:ascii="Times New Roman" w:hAnsi="Times New Roman"/>
          <w:sz w:val="17"/>
        </w:rPr>
        <w:t>[8] Á. Vázquez-Rodríguez, M. Fernández-Veiga, and C. Giraldo-Rodríguez, "CNFP: Optimizing Cloud-Native Network Function Placement with Diffusion Models on the Cloud Continuum," arXiv preprint arXiv:2511.01343, 2025.</w:t>
      </w:r>
    </w:p>
    <w:p>
      <w:pPr>
        <w:spacing w:before="0" w:after="60" w:line="264" w:lineRule="auto"/>
        <w:ind w:left="360" w:hanging="360"/>
        <w:jc w:val="both"/>
      </w:pPr>
      <w:r>
        <w:rPr>
          <w:rFonts w:ascii="Times New Roman" w:hAnsi="Times New Roman"/>
          <w:sz w:val="17"/>
        </w:rPr>
        <w:t>[9] J. Ho, A. Jain, and P. Abbeel, "Denoising Diffusion Probabilistic Models," in Advances in Neural Information Processing Systems (NeurIPS), 2020.</w:t>
      </w:r>
    </w:p>
    <w:p>
      <w:pPr>
        <w:spacing w:before="0" w:after="60" w:line="264" w:lineRule="auto"/>
        <w:ind w:left="360" w:hanging="360"/>
        <w:jc w:val="both"/>
      </w:pPr>
      <w:r>
        <w:rPr>
          <w:rFonts w:ascii="Times New Roman" w:hAnsi="Times New Roman"/>
          <w:sz w:val="17"/>
        </w:rPr>
        <w:t>[10] L. D. R. Beal, D. C. Hill, R. A. Martin, and J. D. Hedengren, "GEKKO Optimization Suite," Processes, vol. 6, no. 8, p. 106, July 2018.</w:t>
      </w:r>
    </w:p>
    <w:p>
      <w:pPr>
        <w:spacing w:before="0" w:after="60" w:line="264" w:lineRule="auto"/>
        <w:ind w:left="360" w:hanging="360"/>
        <w:jc w:val="both"/>
      </w:pPr>
      <w:r>
        <w:rPr>
          <w:rFonts w:ascii="Times New Roman" w:hAnsi="Times New Roman"/>
          <w:sz w:val="17"/>
        </w:rPr>
        <w:t>[11] T. N. Kipf and M. Welling, "Semi-Supervised Classification with Graph Convolutional Networks," in Proc. International Conference on Learning Representations (ICLR), 2017.</w:t>
      </w:r>
    </w:p>
    <w:p>
      <w:pPr>
        <w:spacing w:before="0" w:after="60" w:line="264" w:lineRule="auto"/>
        <w:ind w:left="360" w:hanging="360"/>
        <w:jc w:val="both"/>
      </w:pPr>
      <w:r>
        <w:rPr>
          <w:rFonts w:ascii="Times New Roman" w:hAnsi="Times New Roman"/>
          <w:sz w:val="17"/>
        </w:rPr>
        <w:t>[12] W. L. Hamilton, R. Ying, and J. Leskovec, "Inductive Representation Learning on Large Graphs," in Advances in Neural Information Processing Systems (NeurIPS), 2017.</w:t>
      </w:r>
    </w:p>
    <w:p>
      <w:pPr>
        <w:spacing w:before="0" w:after="60" w:line="264" w:lineRule="auto"/>
        <w:ind w:left="360" w:hanging="360"/>
        <w:jc w:val="both"/>
      </w:pPr>
      <w:r>
        <w:rPr>
          <w:rFonts w:ascii="Times New Roman" w:hAnsi="Times New Roman"/>
          <w:sz w:val="17"/>
        </w:rPr>
        <w:t>[13] O. Vinyals, M. Fortunato, and N. Jaitly, "Pointer Networks," in Advances in Neural Information Processing Systems (NeurIPS), 2015, pp. 2692-2700.</w:t>
      </w:r>
    </w:p>
    <w:p>
      <w:pPr>
        <w:spacing w:before="0" w:after="60" w:line="264" w:lineRule="auto"/>
        <w:ind w:left="360" w:hanging="360"/>
        <w:jc w:val="both"/>
      </w:pPr>
      <w:r>
        <w:rPr>
          <w:rFonts w:ascii="Times New Roman" w:hAnsi="Times New Roman"/>
          <w:sz w:val="17"/>
        </w:rPr>
        <w:t>[14] I. Bello, H. Pham, Q. V. Le, M. Norouzi, and S. Bengio, "Neural Combinatorial Optimization with Reinforcement Learning," arXiv preprint arXiv:1611.09940, 2016.</w:t>
      </w:r>
    </w:p>
    <w:p>
      <w:pPr>
        <w:spacing w:before="0" w:after="60" w:line="264" w:lineRule="auto"/>
        <w:ind w:left="360" w:hanging="360"/>
        <w:jc w:val="both"/>
      </w:pPr>
      <w:r>
        <w:rPr>
          <w:rFonts w:ascii="Times New Roman" w:hAnsi="Times New Roman"/>
          <w:sz w:val="17"/>
        </w:rPr>
        <w:t>[15] W. Kool, H. van Hoof, and M. Welling, "Attention, Learn to Solve Routing Problems!," in Proc. International Conference on Learning Representations (ICLR), 2019.</w:t>
      </w:r>
    </w:p>
    <w:p>
      <w:pPr>
        <w:spacing w:before="0" w:after="60" w:line="264" w:lineRule="auto"/>
        <w:ind w:left="360" w:hanging="360"/>
        <w:jc w:val="both"/>
      </w:pPr>
      <w:r>
        <w:rPr>
          <w:rFonts w:ascii="Times New Roman" w:hAnsi="Times New Roman"/>
          <w:sz w:val="17"/>
        </w:rPr>
        <w:t>[16] Y. Song, J. Sohl-Dickstein, D. P. Kingma, A. Kumar, S. Ermon, and B. Poole, "Score-Based Generative Modeling through Stochastic Differential Equations," in Proc. International Conference on Learning Representations (ICLR), 2021.</w:t>
      </w:r>
    </w:p>
    <w:p>
      <w:pPr>
        <w:spacing w:before="0" w:after="60" w:line="264" w:lineRule="auto"/>
        <w:ind w:left="360" w:hanging="360"/>
        <w:jc w:val="both"/>
      </w:pPr>
      <w:r>
        <w:rPr>
          <w:rFonts w:ascii="Times New Roman" w:hAnsi="Times New Roman"/>
          <w:sz w:val="17"/>
        </w:rPr>
        <w:t>[17] S. Huang and S. Ontañón, "A Closer Look at Invalid Action Masking in Policy Gradient Algorithms," The International FLAIRS Conference Proceedings, vol. 35, 2022.</w:t>
      </w:r>
    </w:p>
    <w:p>
      <w:pPr>
        <w:spacing w:before="0" w:after="60" w:line="264" w:lineRule="auto"/>
        <w:ind w:left="360" w:hanging="360"/>
        <w:jc w:val="both"/>
      </w:pPr>
      <w:r>
        <w:rPr>
          <w:rFonts w:ascii="Times New Roman" w:hAnsi="Times New Roman"/>
          <w:sz w:val="17"/>
        </w:rPr>
        <w:t>[18] J. Schulman, F. Wolski, P. Dhariwal, A. Radford, and O. Klimov, "Proximal Policy Optimization Algorithms," arXiv preprint arXiv:1707.06347, 2017.</w:t>
      </w:r>
    </w:p>
    <w:p>
      <w:pPr>
        <w:spacing w:before="0" w:after="60" w:line="264" w:lineRule="auto"/>
        <w:ind w:left="360" w:hanging="360"/>
        <w:jc w:val="both"/>
      </w:pPr>
      <w:r>
        <w:rPr>
          <w:rFonts w:ascii="Times New Roman" w:hAnsi="Times New Roman"/>
          <w:sz w:val="17"/>
        </w:rPr>
        <w:t>[19] A. Pareja, G. Domeniconi, J. Chen, T. Ma, T. Suzumura, H. Kanezashi, T. Kaler, T. Schardl, and C. E. Leiserson, "EvolveGCN: Evolving Graph Convolutional Networks for Dynamic Graphs," in Proc. AAAI Conference on Artificial Intelligence, vol. 34, no. 04, 2020, pp. 5363-5370.</w:t>
      </w:r>
    </w:p>
    <w:p>
      <w:pPr>
        <w:spacing w:before="0" w:after="60" w:line="264" w:lineRule="auto"/>
        <w:ind w:left="360" w:hanging="360"/>
        <w:jc w:val="both"/>
      </w:pPr>
      <w:r>
        <w:rPr>
          <w:rFonts w:ascii="Times New Roman" w:hAnsi="Times New Roman"/>
          <w:sz w:val="17"/>
        </w:rPr>
        <w:t>[20] B. M. Waxman, "Routing of multipoint connections," IEEE Journal on Selected Areas in Communications, vol. 6, no. 9, pp. 1617-1622, 1988.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