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40"/>
        </w:rPr>
        <w:t>Dynamic AI-Based Placement Optimization on the Cloud Continuum: A Spatio-Temporal Neural Combinatorial Approach with State-Aware Migration</w:t>
      </w:r>
    </w:p>
    <w:tbl>
      <w:tblPr>
        <w:tblW w:type="auto" w:w="0"/>
        <w:jc w:val="center"/>
        <w:tblLayout w:type="fixed"/>
        <w:tblLook w:firstColumn="1" w:firstRow="1" w:lastColumn="0" w:lastRow="0" w:noHBand="0" w:noVBand="1" w:val="04A0"/>
      </w:tblPr>
      <w:tblGrid>
        <w:gridCol w:w="3456"/>
        <w:gridCol w:w="3456"/>
        <w:gridCol w:w="3456"/>
      </w:tblGrid>
      <w:tr>
        <w:tc>
          <w:tcPr>
            <w:tcW w:type="dxa" w:w="3456"/>
          </w:tcPr>
          <w:p>
            <w:pPr>
              <w:spacing w:before="0" w:after="80"/>
              <w:jc w:val="center"/>
            </w:pPr>
            <w:r>
              <w:rPr>
                <w:rFonts w:ascii="Times New Roman" w:hAnsi="Times New Roman"/>
                <w:b/>
                <w:color w:val="0F172A"/>
                <w:sz w:val="21"/>
              </w:rPr>
              <w:t>Vignesh T</w:t>
              <w:br/>
            </w:r>
            <w:r>
              <w:rPr>
                <w:rFonts w:ascii="Times New Roman" w:hAnsi="Times New Roman"/>
                <w:i/>
                <w:color w:val="475569"/>
                <w:sz w:val="17"/>
              </w:rPr>
              <w:t>Department of Artificial Intelligence and Data Science</w:t>
              <w:br/>
              <w:t>Dr. Mahalingam College of Engineering and Technology</w:t>
            </w:r>
          </w:p>
        </w:tc>
        <w:tc>
          <w:tcPr>
            <w:tcW w:type="dxa" w:w="3456"/>
          </w:tcPr>
          <w:p>
            <w:pPr>
              <w:spacing w:before="0" w:after="80"/>
              <w:jc w:val="center"/>
            </w:pPr>
            <w:r>
              <w:rPr>
                <w:rFonts w:ascii="Times New Roman" w:hAnsi="Times New Roman"/>
                <w:b/>
                <w:color w:val="0F172A"/>
                <w:sz w:val="21"/>
              </w:rPr>
              <w:t>Haygen Samuel</w:t>
              <w:br/>
            </w:r>
            <w:r>
              <w:rPr>
                <w:rFonts w:ascii="Times New Roman" w:hAnsi="Times New Roman"/>
                <w:i/>
                <w:color w:val="475569"/>
                <w:sz w:val="17"/>
              </w:rPr>
              <w:t>Department of Artificial Intelligence and Data Science</w:t>
              <w:br/>
              <w:t>Dr. Mahalingam College of Engineering and Technology</w:t>
            </w:r>
          </w:p>
        </w:tc>
        <w:tc>
          <w:tcPr>
            <w:tcW w:type="dxa" w:w="3456"/>
          </w:tcPr>
          <w:p>
            <w:pPr>
              <w:spacing w:before="0" w:after="80"/>
              <w:jc w:val="center"/>
            </w:pPr>
            <w:r>
              <w:rPr>
                <w:rFonts w:ascii="Times New Roman" w:hAnsi="Times New Roman"/>
                <w:b/>
                <w:color w:val="0F172A"/>
                <w:sz w:val="21"/>
              </w:rPr>
              <w:t>Gokulan A</w:t>
              <w:br/>
            </w:r>
            <w:r>
              <w:rPr>
                <w:rFonts w:ascii="Times New Roman" w:hAnsi="Times New Roman"/>
                <w:i/>
                <w:color w:val="475569"/>
                <w:sz w:val="17"/>
              </w:rPr>
              <w:t>Department of Artificial Intelligence and Data Science</w:t>
              <w:br/>
              <w:t>Dr. Mahalingam College of Engineering and Technology</w:t>
            </w:r>
          </w:p>
        </w:tc>
      </w:tr>
    </w:tbl>
    <w:p>
      <w:pPr>
        <w:sectPr>
          <w:pgSz w:w="12240" w:h="15840"/>
          <w:pgMar w:top="1080" w:right="936" w:bottom="1080" w:left="936" w:header="720" w:footer="720" w:gutter="0"/>
          <w:cols w:space="720"/>
          <w:docGrid w:linePitch="360"/>
        </w:sectPr>
      </w:pPr>
    </w:p>
    <w:p>
      <w:pPr>
        <w:spacing w:before="0" w:after="100" w:line="259" w:lineRule="auto"/>
        <w:jc w:val="both"/>
      </w:pPr>
      <w:r>
        <w:rPr>
          <w:rFonts w:ascii="Times New Roman" w:hAnsi="Times New Roman"/>
          <w:b/>
          <w:sz w:val="18"/>
        </w:rPr>
        <w:t xml:space="preserve">Abstract— </w:t>
      </w:r>
      <w:r>
        <w:rPr>
          <w:rFonts w:ascii="Times New Roman" w:hAnsi="Times New Roman"/>
          <w:b/>
          <w:sz w:val="18"/>
        </w:rPr>
        <w:t>The orchestration of Service Function Chains (SFCs) composed of Cloud-Native Network Functions (CNFs) across heterogeneous Cloud-Continuum infrastructure (Edge, Fog, Cloud) is a cornerstone of 5G-Advanced and emerging 6G mobile networks. However, joint placement optimization under dynamic network conditions remains fundamentally bounded by two unaddressed bottlenecks: the non-stationary temporal fluctuations of continuum compute and link capacities, and the transient service disruptions caused by uncoordinated stateful CNF migration. Existing optimization paradigms, including Mixed-Integer Linear Programming (MILP), greedy heuristics, and emerging Denoising Diffusion Probabilistic Models (DDPM), treat placement either as static snapshot matching or ignore dynamic application state (active session contexts, socket buffers, ephemeral memory), yielding severe placement-cost penalties and SLA violations. In this paper, we propose TGNN-NCO, an end-to-end framework combining Spatio-Temporal Graph Neural Networks (TGNN) with Actor-Critic Neural Combinatorial Optimization (NCO) and an autoregressive pointer decoder. Our approach couples vectorized spatial graph convolutions with a temporal Gated Recurrent Unit (GRU) across a chronological sliding window (W=5) to track continuous network drift. To ensure strict SLA compliance, we design an autoregressive pointer decoder with Service-Function-Chain-priority ordering (tightest-budget first) and dynamic residual-capacity masking, mathematically guaranteeing zero node capacity violations by construction. Furthermore, we incorporate an analytical dirty-memory state migration penalty into the objective function to discourage detrimental container relocations. Extensive empirical evaluations across six temporal stress scenarios demonstrate that TGNN-NCO achieves a 98.5% feasibility rate (outperforming static GNNs by 14.3% and greedy heuristics by up to 27.5%), maintains sub-linear inference time (≤ 5.1 ms for 100 continuum nodes, offering a 23,500× speedup over exact MILP), and preserves a tight optimality gap bounded within 0% to 5% of the theoretical ground truth.</w:t>
      </w:r>
    </w:p>
    <w:p>
      <w:pPr>
        <w:spacing w:before="0" w:after="200"/>
        <w:jc w:val="both"/>
      </w:pPr>
      <w:r>
        <w:rPr>
          <w:rFonts w:ascii="Times New Roman" w:hAnsi="Times New Roman"/>
          <w:b/>
          <w:sz w:val="18"/>
        </w:rPr>
        <w:t xml:space="preserve">Index Terms— </w:t>
      </w:r>
      <w:r>
        <w:rPr>
          <w:rFonts w:ascii="Times New Roman" w:hAnsi="Times New Roman"/>
          <w:i/>
          <w:sz w:val="18"/>
        </w:rPr>
        <w:t>Cloud Continuum, Cloud-Native Network Functions (CNFs), Service Function Chaining (SFC), Spatio-Temporal Graph Neural Networks, Neural Combinatorial Optimization, State Migration, Reinforcement Learning, Proximal Policy Optimization.</w:t>
      </w:r>
    </w:p>
    <w:p>
      <w:pPr>
        <w:keepNext/>
        <w:spacing w:before="280" w:after="80"/>
        <w:jc w:val="center"/>
      </w:pPr>
      <w:r>
        <w:rPr>
          <w:rFonts w:ascii="Times New Roman" w:hAnsi="Times New Roman"/>
          <w:b/>
          <w:color w:val="0F172A"/>
          <w:sz w:val="20"/>
        </w:rPr>
        <w:t>I. INTRODUCTION</w:t>
      </w:r>
    </w:p>
    <w:p>
      <w:pPr>
        <w:spacing w:before="0" w:after="90" w:line="264" w:lineRule="auto"/>
        <w:ind w:firstLine="259"/>
        <w:jc w:val="both"/>
      </w:pPr>
      <w:r>
        <w:rPr>
          <w:rFonts w:ascii="Times New Roman" w:hAnsi="Times New Roman"/>
          <w:sz w:val="19"/>
        </w:rPr>
        <w:t>The continuous evolution of mobile telecommunications toward 5G-Advanced and 6G architectures has accelerated the transition from monolithic hardware telecommunication appliances to disaggregated Cloud-Native Network Functions (CNFs) [1]. Deployed as lightweight, microservice-based container instances—such as User Plane Functions (UPF), Access and Mobility Management Functions (AMF), Session Management Functions (SMF), deep packet inspection engines, and next-generation edge firewalls—CNFs are sequentially interconnected to form Service Function Chains (SFCs) that enforce specialized traffic management and packet-processing policies [2]. Concurrently, physical telecommunication infrastructure has shifted from centralized, isolated data centers into a highly distributed, heterogeneous Cloud Continuum. This continuum spans resource-constrained Edge access nodes (e.g., base station co-located micro-datacenters), intermediate Fog aggregation points, and hyperscale Cloud data centers.</w:t>
      </w:r>
    </w:p>
    <w:p>
      <w:pPr>
        <w:spacing w:before="0" w:after="90" w:line="264" w:lineRule="auto"/>
        <w:ind w:firstLine="259"/>
        <w:jc w:val="both"/>
      </w:pPr>
      <w:r>
        <w:rPr>
          <w:rFonts w:ascii="Times New Roman" w:hAnsi="Times New Roman"/>
          <w:sz w:val="19"/>
        </w:rPr>
        <w:t>Operating multi-tenant SFC workloads across this heterogeneous computing landscape introduces a multi-dimensional, NP-hard combinatorial optimization problem known as the Virtual Network Function Placement and Routing (VNF-PR) problem. The goal is to map ordered CNF instances onto physical computing nodes while simultaneously routing inter-CNF flows along physical communication links. The optimization objective requires minimizing operational infrastructure expenditure and end-to-end packet traversal latency while strictly satisfying multi-dimensional physical node capacities (CPU, RAM, Storage), physical link bandwidth constraints, and stringent Service Level Agreement (SLA) latency thresholds. In realistic operational deployments, this combinatorial challenge is severely compounded by two pervasive phenomena:</w:t>
      </w:r>
    </w:p>
    <w:p>
      <w:pPr>
        <w:spacing w:before="0" w:after="70" w:line="259" w:lineRule="auto"/>
        <w:ind w:left="288" w:hanging="288"/>
        <w:jc w:val="both"/>
      </w:pPr>
      <w:r>
        <w:rPr>
          <w:rFonts w:ascii="Times New Roman" w:hAnsi="Times New Roman"/>
          <w:b/>
          <w:sz w:val="19"/>
        </w:rPr>
        <w:t xml:space="preserve">1) </w:t>
      </w:r>
      <w:r>
        <w:rPr>
          <w:rFonts w:ascii="Times New Roman" w:hAnsi="Times New Roman"/>
          <w:b/>
          <w:sz w:val="19"/>
        </w:rPr>
        <w:t xml:space="preserve">Continuous Non-Stationary Temporal Dynamics: </w:t>
      </w:r>
      <w:r>
        <w:rPr>
          <w:rFonts w:ascii="Times New Roman" w:hAnsi="Times New Roman"/>
          <w:sz w:val="19"/>
        </w:rPr>
        <w:t>Available compute resources, background traffic loads, and physical link latencies across the continuum fluctuate rapidly and unpredictably over time. These variations are driven by subscriber spatial mobility, diurnal mobile data traffic cycles, variable radio channel conditions, and stochastic hardware degradations. Classical static optimization frameworks, which compute placements based on instantaneous snapshot telemetry, rapidly degrade in performance, triggering acute resource oversubscription, severe packet queuing, and catastrophic SLA violations within minutes of schedule enactment.</w:t>
      </w:r>
    </w:p>
    <w:p>
      <w:pPr>
        <w:spacing w:before="0" w:after="70" w:line="259" w:lineRule="auto"/>
        <w:ind w:left="288" w:hanging="288"/>
        <w:jc w:val="both"/>
      </w:pPr>
      <w:r>
        <w:rPr>
          <w:rFonts w:ascii="Times New Roman" w:hAnsi="Times New Roman"/>
          <w:b/>
          <w:sz w:val="19"/>
        </w:rPr>
        <w:t xml:space="preserve">2) </w:t>
      </w:r>
      <w:r>
        <w:rPr>
          <w:rFonts w:ascii="Times New Roman" w:hAnsi="Times New Roman"/>
          <w:b/>
          <w:sz w:val="19"/>
        </w:rPr>
        <w:t xml:space="preserve">Dynamic Application State and Migration Overhead: </w:t>
      </w:r>
      <w:r>
        <w:rPr>
          <w:rFonts w:ascii="Times New Roman" w:hAnsi="Times New Roman"/>
          <w:sz w:val="19"/>
        </w:rPr>
        <w:t>Unlike stateless web workloads, telecommunication core and edge network functions maintain extensive, highly volatile internal application state [3]. This dynamic state encompasses active subscriber session contexts (e.g., GTP-U tunnel endpoints, charging records, encryption keys), in-flight TCP/IP socket buffers, connection tracking tables, and dynamic in-memory lookup caches. When an algorithmic scheduler relocates an active CNF to an alternate computing node to exploit lower propagation latency, the container must execute a live memory pre-copy migration across physical communication links. This transfer consumes substantial link bandwidth and incurs non-negligible migration delay. If schedulers neglect this state-transfer overhead, the expected latency improvements of relocation are completely obliterated by transfer-induced packet queuing, link saturation, and service disruptions.</w:t>
      </w:r>
    </w:p>
    <w:p>
      <w:pPr>
        <w:spacing w:before="0" w:after="90" w:line="264" w:lineRule="auto"/>
        <w:ind w:firstLine="259"/>
        <w:jc w:val="both"/>
      </w:pPr>
      <w:r>
        <w:rPr>
          <w:rFonts w:ascii="Times New Roman" w:hAnsi="Times New Roman"/>
          <w:sz w:val="19"/>
        </w:rPr>
        <w:t>Current literature addresses CNF placement predominantly through two decoupled, mutually oblivious paradigms. On one hand, inter-domain federation frameworks—standardized by bodies such as the GSMA Operator Platform Group (OPG), 3GPP Service-Based Architecture (SBA), and O-RAN Alliance—focus exclusively on administrative governance, cross-operator discovery, slice negotiation, and container lifecycle hooks [4]-[7]. While essential for administrative interoperability, these protocols operate at human or control-plane timescales (minutes) and lack the sub-second algorithmic intelligence required to dynamically optimize placements under rapid network drift. On the other hand, intra-domain algorithmic schedulers have recently explored Denoising Diffusion Probabilistic Models (DDPM) coupled with Graph Neural Networks (GNNs) [8], [9]. Although capable of generating structured assignment matrices, diffusion models require dozens of iterative stochastic reverse-sampling denoising steps (typically 50 to 100 steps, consuming &gt; 1.5 seconds), rendering them far too slow for real-time edge control. Furthermore, diffusion-based methods enforce resource constraints through soft penalty loss gradients, which regularly produce constraint-violating assignments under tight capacity regimes, while completely ignoring temporal load history and dynamic dirty-memory migration penalties.</w:t>
      </w:r>
    </w:p>
    <w:p>
      <w:pPr>
        <w:spacing w:before="0" w:after="90" w:line="264" w:lineRule="auto"/>
        <w:ind w:firstLine="259"/>
        <w:jc w:val="both"/>
      </w:pPr>
      <w:r>
        <w:rPr>
          <w:rFonts w:ascii="Times New Roman" w:hAnsi="Times New Roman"/>
          <w:sz w:val="19"/>
        </w:rPr>
        <w:t>To decisively overcome these fundamental bottlenecks, we propose TGNN-NCO, an end-to-end framework combining Spatio-Temporal Graph Neural Networks (TGNN) with Neural Combinatorial Optimization (NCO) and an autoregressive pointer decoder. TGNN-NCO captures continuous temporal load drift across the continuum using a sliding-window temporal graph encoder and employs an autoregressive pointer decoder with dynamic residual-capacity masking to mathematically guarantee zero node capacity violations by construction.</w:t>
      </w:r>
    </w:p>
    <w:p>
      <w:pPr>
        <w:keepNext/>
        <w:spacing w:before="200" w:after="60"/>
        <w:jc w:val="left"/>
      </w:pPr>
      <w:r>
        <w:rPr>
          <w:rFonts w:ascii="Times New Roman" w:hAnsi="Times New Roman"/>
          <w:b/>
          <w:i/>
          <w:color w:val="1E293B"/>
          <w:sz w:val="19"/>
        </w:rPr>
        <w:t>A. Principal Contributions</w:t>
      </w:r>
    </w:p>
    <w:p>
      <w:pPr>
        <w:spacing w:before="0" w:after="90" w:line="264" w:lineRule="auto"/>
        <w:jc w:val="both"/>
      </w:pPr>
      <w:r>
        <w:rPr>
          <w:rFonts w:ascii="Times New Roman" w:hAnsi="Times New Roman"/>
          <w:sz w:val="19"/>
        </w:rPr>
        <w:t>The primary contributions of this paper are summarized as follows:</w:t>
      </w:r>
    </w:p>
    <w:p>
      <w:pPr>
        <w:pStyle w:val="ListBullet"/>
        <w:spacing w:before="0" w:after="70" w:line="259" w:lineRule="auto"/>
        <w:jc w:val="both"/>
      </w:pPr>
      <w:r>
        <w:rPr>
          <w:rFonts w:ascii="Times New Roman" w:hAnsi="Times New Roman"/>
          <w:b/>
          <w:sz w:val="19"/>
        </w:rPr>
        <w:t xml:space="preserve">State-Aware Multi-Objective Formulation: </w:t>
      </w:r>
      <w:r>
        <w:rPr>
          <w:rFonts w:ascii="Times New Roman" w:hAnsi="Times New Roman"/>
          <w:sz w:val="19"/>
        </w:rPr>
        <w:t>We formalize the dynamic cloud-continuum CNF placement problem incorporating an analytical dirty-memory pre-copy migration penalty, jointly minimizing compute expenditure, end-to-end traversal delay, and state-transfer overhead under continuous stochastic continuum drift.</w:t>
      </w:r>
    </w:p>
    <w:p>
      <w:pPr>
        <w:pStyle w:val="ListBullet"/>
        <w:spacing w:before="0" w:after="70" w:line="259" w:lineRule="auto"/>
        <w:jc w:val="both"/>
      </w:pPr>
      <w:r>
        <w:rPr>
          <w:rFonts w:ascii="Times New Roman" w:hAnsi="Times New Roman"/>
          <w:b/>
          <w:sz w:val="19"/>
        </w:rPr>
        <w:t xml:space="preserve">Spatio-Temporal Graph Neural Network Architecture: </w:t>
      </w:r>
      <w:r>
        <w:rPr>
          <w:rFonts w:ascii="Times New Roman" w:hAnsi="Times New Roman"/>
          <w:sz w:val="19"/>
        </w:rPr>
        <w:t>We design a vectorized TGNN encoder that couples spatial graph convolutions over Waxman network topologies with temporal Gated Recurrent Units (GRU) operating on a sliding window of W=5 historical graph snapshots, effectively capturing both spatial topological structure and non-stationary resource drift velocities.</w:t>
      </w:r>
    </w:p>
    <w:p>
      <w:pPr>
        <w:pStyle w:val="ListBullet"/>
        <w:spacing w:before="0" w:after="70" w:line="259" w:lineRule="auto"/>
        <w:jc w:val="both"/>
      </w:pPr>
      <w:r>
        <w:rPr>
          <w:rFonts w:ascii="Times New Roman" w:hAnsi="Times New Roman"/>
          <w:b/>
          <w:sz w:val="19"/>
        </w:rPr>
        <w:t xml:space="preserve">Autoregressive Pointer Decoder with Hard Feasibility Guarantees: </w:t>
      </w:r>
      <w:r>
        <w:rPr>
          <w:rFonts w:ascii="Times New Roman" w:hAnsi="Times New Roman"/>
          <w:sz w:val="19"/>
        </w:rPr>
        <w:t>We introduce an autoregressive cross-attention pointer decoder operating under an SFC-priority sequence (tightest SLA latency budget first) paired with a dynamic residual-capacity action mask. We provide a formal mathematical proof showing that our masking mechanism guarantees exactly 0% node capacity violations by construction without relying on heuristic post-processing repair.</w:t>
      </w:r>
    </w:p>
    <w:p>
      <w:pPr>
        <w:pStyle w:val="ListBullet"/>
        <w:spacing w:before="0" w:after="70" w:line="259" w:lineRule="auto"/>
        <w:jc w:val="both"/>
      </w:pPr>
      <w:r>
        <w:rPr>
          <w:rFonts w:ascii="Times New Roman" w:hAnsi="Times New Roman"/>
          <w:b/>
          <w:sz w:val="19"/>
        </w:rPr>
        <w:t xml:space="preserve">Curriculum-Annealed Reinforcement Learning: </w:t>
      </w:r>
      <w:r>
        <w:rPr>
          <w:rFonts w:ascii="Times New Roman" w:hAnsi="Times New Roman"/>
          <w:sz w:val="19"/>
        </w:rPr>
        <w:t>We formulate an Actor-Critic Proximal Policy Optimization (PPO) training pipeline utilizing Generalized Advantage Estimation (GAE) and a three-stage curriculum penalty annealing schedule β(t), guiding policy convergence smoothly from exploratory cost minimization to strict constraint satisfaction.</w:t>
      </w:r>
    </w:p>
    <w:p>
      <w:pPr>
        <w:pStyle w:val="ListBullet"/>
        <w:spacing w:before="0" w:after="70" w:line="259" w:lineRule="auto"/>
        <w:jc w:val="both"/>
      </w:pPr>
      <w:r>
        <w:rPr>
          <w:rFonts w:ascii="Times New Roman" w:hAnsi="Times New Roman"/>
          <w:b/>
          <w:sz w:val="19"/>
        </w:rPr>
        <w:t xml:space="preserve">Comprehensive Empirical Benchmarking: </w:t>
      </w:r>
      <w:r>
        <w:rPr>
          <w:rFonts w:ascii="Times New Roman" w:hAnsi="Times New Roman"/>
          <w:sz w:val="19"/>
        </w:rPr>
        <w:t>We conduct extensive empirical evaluations against exact Mixed-Integer Non-Linear Programming (GEKKO MINLP), greedy heuristics, and neural ablations across six exogenous temporal stress scenarios. TGNN-NCO achieves a 98.5% feasibility rate, sub-5.1 ms inference latency (delivering a 23,500× speedup over MINLP at N=100 nodes), and an optimality gap strictly bounded within 0% to 5% of theoretical ground truth.</w:t>
      </w:r>
    </w:p>
    <w:p>
      <w:pPr>
        <w:spacing w:before="0" w:after="90" w:line="264" w:lineRule="auto"/>
        <w:ind w:firstLine="259"/>
        <w:jc w:val="both"/>
      </w:pPr>
      <w:r>
        <w:rPr>
          <w:rFonts w:ascii="Times New Roman" w:hAnsi="Times New Roman"/>
          <w:sz w:val="19"/>
        </w:rPr>
        <w:t>The remainder of this paper is organized as follows: Section II reviews related literature and highlights the dynamic state gap. Section III formalizes the system model and mathematical optimization problem. Section IV details the proposed TGNN-NCO architecture and algorithmic training loop. Section V presents system design and implementation specifics. Section VI details the experimental evaluation setup. Section VII reports empirical results, comparative baselines, and ablation studies. Section VIII discusses practical considerations and limitations, and Section IX concludes the paper.</w:t>
      </w:r>
    </w:p>
    <w:p>
      <w:pPr>
        <w:keepNext/>
        <w:spacing w:before="280" w:after="80"/>
        <w:jc w:val="center"/>
      </w:pPr>
      <w:r>
        <w:rPr>
          <w:rFonts w:ascii="Times New Roman" w:hAnsi="Times New Roman"/>
          <w:b/>
          <w:color w:val="0F172A"/>
          <w:sz w:val="20"/>
        </w:rPr>
        <w:t>II. RELATED WORK &amp; RESEARCH GAP</w:t>
      </w:r>
    </w:p>
    <w:p>
      <w:pPr>
        <w:spacing w:before="0" w:after="90" w:line="264" w:lineRule="auto"/>
        <w:ind w:firstLine="259"/>
        <w:jc w:val="both"/>
      </w:pPr>
      <w:r>
        <w:rPr>
          <w:rFonts w:ascii="Times New Roman" w:hAnsi="Times New Roman"/>
          <w:sz w:val="19"/>
        </w:rPr>
        <w:t>The literature governing Service Function Chaining (SFC) and Cloud-Native Network Function (CNF) orchestration spans two primary domains: inter-domain federation architectures and intra-domain algorithmic placement frameworks.</w:t>
      </w:r>
    </w:p>
    <w:p>
      <w:pPr>
        <w:keepNext/>
        <w:spacing w:before="200" w:after="60"/>
        <w:jc w:val="left"/>
      </w:pPr>
      <w:r>
        <w:rPr>
          <w:rFonts w:ascii="Times New Roman" w:hAnsi="Times New Roman"/>
          <w:b/>
          <w:i/>
          <w:color w:val="1E293B"/>
          <w:sz w:val="19"/>
        </w:rPr>
        <w:t>A. Inter-Domain Federation Frameworks</w:t>
      </w:r>
    </w:p>
    <w:p>
      <w:pPr>
        <w:spacing w:before="0" w:after="90" w:line="264" w:lineRule="auto"/>
        <w:ind w:firstLine="259"/>
        <w:jc w:val="both"/>
      </w:pPr>
      <w:r>
        <w:rPr>
          <w:rFonts w:ascii="Times New Roman" w:hAnsi="Times New Roman"/>
          <w:sz w:val="19"/>
        </w:rPr>
        <w:t>The deployment of 5G-Advanced and emerging 6G network slices frequently spans multi-operator administrative domains, particularly in cross-border Connected and Automated Mobility (CAM) and Cellular Vehicle-to-Everything (C-V2X) ecosystems [4]. To ensure uninterrupted service delivery as mobile user equipment roams between visited Mobile Network Operators (MNOs), standardization consortia have developed standardized architectural interfaces:</w:t>
      </w:r>
    </w:p>
    <w:p>
      <w:pPr>
        <w:pStyle w:val="ListBullet"/>
        <w:spacing w:before="0" w:after="70" w:line="259" w:lineRule="auto"/>
        <w:jc w:val="both"/>
      </w:pPr>
      <w:r>
        <w:rPr>
          <w:rFonts w:ascii="Times New Roman" w:hAnsi="Times New Roman"/>
          <w:b/>
          <w:sz w:val="19"/>
        </w:rPr>
        <w:t xml:space="preserve">GSMA Operator Platform Group (OPG): </w:t>
      </w:r>
      <w:r>
        <w:rPr>
          <w:rFonts w:ascii="Times New Roman" w:hAnsi="Times New Roman"/>
          <w:sz w:val="19"/>
        </w:rPr>
        <w:t>The GSMA OPG specifications (OPG.01/02) standardize East-West federation interfaces between operator platforms, defining protocols for mutual service discovery, slice template negotiation, and federated edge compute sharing [5].</w:t>
      </w:r>
    </w:p>
    <w:p>
      <w:pPr>
        <w:pStyle w:val="ListBullet"/>
        <w:spacing w:before="0" w:after="70" w:line="259" w:lineRule="auto"/>
        <w:jc w:val="both"/>
      </w:pPr>
      <w:r>
        <w:rPr>
          <w:rFonts w:ascii="Times New Roman" w:hAnsi="Times New Roman"/>
          <w:b/>
          <w:sz w:val="19"/>
        </w:rPr>
        <w:t xml:space="preserve">3GPP Service-Based Architecture (SBA): </w:t>
      </w:r>
      <w:r>
        <w:rPr>
          <w:rFonts w:ascii="Times New Roman" w:hAnsi="Times New Roman"/>
          <w:sz w:val="19"/>
        </w:rPr>
        <w:t>The 3GPP Rel-17/18 specifications decompose 5G core control planes into modular Network Functions communicating via standardized HTTP/REST APIs, defining Network Slice Selection Functions (NSSF) and Network Exposure Functions (NEF) for cross-domain orchestration [6].</w:t>
      </w:r>
    </w:p>
    <w:p>
      <w:pPr>
        <w:pStyle w:val="ListBullet"/>
        <w:spacing w:before="0" w:after="70" w:line="259" w:lineRule="auto"/>
        <w:jc w:val="both"/>
      </w:pPr>
      <w:r>
        <w:rPr>
          <w:rFonts w:ascii="Times New Roman" w:hAnsi="Times New Roman"/>
          <w:b/>
          <w:sz w:val="19"/>
        </w:rPr>
        <w:t xml:space="preserve">O-RAN Alliance Specifications: </w:t>
      </w:r>
      <w:r>
        <w:rPr>
          <w:rFonts w:ascii="Times New Roman" w:hAnsi="Times New Roman"/>
          <w:sz w:val="19"/>
        </w:rPr>
        <w:t>The Open RAN architecture introduces Near-Real-Time and Non-Real-Time RAN Intelligent Controllers (RICs) utilizing standardized E2, A1, and O1 interfaces to deploy third-party AI optimization microservices (xApps and rApps) across disaggregated radio hardware [7].</w:t>
      </w:r>
    </w:p>
    <w:p>
      <w:pPr>
        <w:pStyle w:val="ListBullet"/>
        <w:spacing w:before="0" w:after="70" w:line="259" w:lineRule="auto"/>
        <w:jc w:val="both"/>
      </w:pPr>
      <w:r>
        <w:rPr>
          <w:rFonts w:ascii="Times New Roman" w:hAnsi="Times New Roman"/>
          <w:b/>
          <w:sz w:val="19"/>
        </w:rPr>
        <w:t xml:space="preserve">Service Function as a Service (SFaaS): </w:t>
      </w:r>
      <w:r>
        <w:rPr>
          <w:rFonts w:ascii="Times New Roman" w:hAnsi="Times New Roman"/>
          <w:sz w:val="19"/>
        </w:rPr>
        <w:t>Dalgitsis et al. [4] established a cloud-native orchestration framework utilizing standardized container lifecycle hooks and webhook callbacks to automate CNF deployment across heterogeneous multi-operator platforms.</w:t>
      </w:r>
    </w:p>
    <w:p>
      <w:pPr>
        <w:spacing w:before="0" w:after="90" w:line="264" w:lineRule="auto"/>
        <w:ind w:firstLine="259"/>
        <w:jc w:val="both"/>
      </w:pPr>
      <w:r>
        <w:rPr>
          <w:rFonts w:ascii="Times New Roman" w:hAnsi="Times New Roman"/>
          <w:sz w:val="19"/>
        </w:rPr>
        <w:t>While these standardization efforts provide indispensable control-plane protocols, they do not solve the underlying combinatorial optimization problem. They govern how administrative entities communicate intent, but do not provide the dynamic algorithmic decision engine needed to place and migrate stateful microservices under continuous, sub-second resource volatility.</w:t>
      </w:r>
    </w:p>
    <w:p>
      <w:pPr>
        <w:keepNext/>
        <w:spacing w:before="200" w:after="60"/>
        <w:jc w:val="left"/>
      </w:pPr>
      <w:r>
        <w:rPr>
          <w:rFonts w:ascii="Times New Roman" w:hAnsi="Times New Roman"/>
          <w:b/>
          <w:i/>
          <w:color w:val="1E293B"/>
          <w:sz w:val="19"/>
        </w:rPr>
        <w:t>B. Intra-Domain CNF Placement Optimization</w:t>
      </w:r>
    </w:p>
    <w:p>
      <w:pPr>
        <w:spacing w:before="0" w:after="90" w:line="264" w:lineRule="auto"/>
        <w:ind w:firstLine="259"/>
        <w:jc w:val="both"/>
      </w:pPr>
      <w:r>
        <w:rPr>
          <w:rFonts w:ascii="Times New Roman" w:hAnsi="Times New Roman"/>
          <w:sz w:val="19"/>
        </w:rPr>
        <w:t>Within an operator domain, CNF placement maps onto the Virtual Network Function Placement and Routing (VNF-PR) problem, which is proven NP-hard [2]. Classical research employs Mixed-Integer Linear Programming (MILP) or Mixed-Integer Non-Linear Programming (MINLP) [10]. While mathematically guaranteed to yield optimal solutions, exact solvers suffer from exponential computational complexity Ο(2^N), requiring minutes or hours to solve instances with more than 15 nodes. Consequently, they cannot be deployed within real-time control loops. To achieve millisecond execution, industry relies on heuristic algorithms, including First-Fit Decreasing (FFD) and shortest-path greedy search. However, heuristics lack global foresight, causing high rejection rates and severe bottlenecking under heavy continuum loads.</w:t>
      </w:r>
    </w:p>
    <w:p>
      <w:pPr>
        <w:spacing w:before="0" w:after="90" w:line="264" w:lineRule="auto"/>
        <w:ind w:firstLine="259"/>
        <w:jc w:val="both"/>
      </w:pPr>
      <w:r>
        <w:rPr>
          <w:rFonts w:ascii="Times New Roman" w:hAnsi="Times New Roman"/>
          <w:sz w:val="19"/>
        </w:rPr>
        <w:t>To bridge the gap between optimality and speed, researchers have increasingly turned to Deep Reinforcement Learning (DRL) and Graph Neural Networks (GNNs) [11], [12]. GNNs embed physical network topologies into dense latent representations, while Neural Combinatorial Optimization (NCO) architectures [13]-[15] use attention mechanisms to construct combinatorial solutions. Most recently, Vázquez-Rodríguez et al. [8] proposed CNFP, modeling CNF placement as conditional continuous-to-discrete matrix denoising using Denoising Diffusion Probabilistic Models (DDPM) [16]. While innovative, diffusion models exhibit two major drawbacks: (1) their multi-step iterative reverse diffusion process is computationally sluggish (&gt; 1.5 seconds), and (2) they enforce hard capacity constraints through soft gradient guidance, resulting in frequent resource oversubscription under high continuum utilization.</w:t>
      </w:r>
    </w:p>
    <w:p>
      <w:pPr>
        <w:keepNext/>
        <w:spacing w:before="200" w:after="60"/>
        <w:jc w:val="left"/>
      </w:pPr>
      <w:r>
        <w:rPr>
          <w:rFonts w:ascii="Times New Roman" w:hAnsi="Times New Roman"/>
          <w:b/>
          <w:i/>
          <w:color w:val="1E293B"/>
          <w:sz w:val="19"/>
        </w:rPr>
        <w:t>C. The Unaddressed Gap: Dynamic Application State</w:t>
      </w:r>
    </w:p>
    <w:p>
      <w:pPr>
        <w:spacing w:before="0" w:after="90" w:line="264" w:lineRule="auto"/>
        <w:ind w:firstLine="259"/>
        <w:jc w:val="both"/>
      </w:pPr>
      <w:r>
        <w:rPr>
          <w:rFonts w:ascii="Times New Roman" w:hAnsi="Times New Roman"/>
          <w:sz w:val="19"/>
        </w:rPr>
        <w:t>Crucially, existing placement models—including DDPM and static GNNs—treat CNFs as stateless computational tasks. In reality, modern cloud-native telecom microservices maintain substantial dynamic internal state, including: (1) Active Subscriber Session Contexts (GTP-U tunnel states, subscriber IP bindings, and charging records in UPF/AMF); (2) In-Flight TCP Socket Buffers in edge firewalls and traffic shapers; and (3) Dynamic In-Memory Caches in edge inference pipelines. Neglecting this application state induces severe service disruptions during container relocation: moving a container to a lower-latency node triggers massive dirty-memory transfer delays and link saturation that negate any latency gains. Table I provides a structured comparison of existing paradigms against TGNN-NCO.</w:t>
      </w:r>
    </w:p>
    <w:p>
      <w:pPr>
        <w:keepNext/>
        <w:spacing w:before="160" w:after="60"/>
        <w:jc w:val="center"/>
      </w:pPr>
      <w:r>
        <w:rPr>
          <w:rFonts w:ascii="Times New Roman" w:hAnsi="Times New Roman"/>
          <w:b/>
          <w:sz w:val="17"/>
        </w:rPr>
        <w:t>TABLE I: System Integration Matrix: Comparison of Placement Paradigms</w:t>
      </w:r>
    </w:p>
    <w:tbl>
      <w:tblPr>
        <w:tblW w:type="auto" w:w="0"/>
        <w:jc w:val="center"/>
        <w:tblLayout w:type="fixed"/>
        <w:tblLook w:firstColumn="1" w:firstRow="1" w:lastColumn="0" w:lastRow="0" w:noHBand="0" w:noVBand="1" w:val="04A0"/>
        <w:tblBorders>
          <w:top w:val="single" w:sz="8" w:space="0" w:color="111827"/>
          <w:bottom w:val="single" w:sz="8" w:space="0" w:color="111827"/>
          <w:insideH w:val="single" w:sz="4" w:space="0" w:color="D1D5DB"/>
          <w:insideV w:val="none"/>
          <w:left w:val="none"/>
          <w:right w:val="none"/>
        </w:tblBorders>
      </w:tblPr>
      <w:tblGrid>
        <w:gridCol w:w="2074"/>
        <w:gridCol w:w="2074"/>
        <w:gridCol w:w="2074"/>
        <w:gridCol w:w="2074"/>
        <w:gridCol w:w="2074"/>
      </w:tblGrid>
      <w:tr>
        <w:tc>
          <w:tcPr>
            <w:tcW w:type="dxa" w:w="1296"/>
            <w:shd w:fill="E2E8F0"/>
            <w:tcMar>
              <w:top w:w="40" w:type="dxa"/>
              <w:bottom w:w="40" w:type="dxa"/>
              <w:left w:w="30" w:type="dxa"/>
              <w:right w:w="30" w:type="dxa"/>
            </w:tcMar>
          </w:tcPr>
          <w:p>
            <w:r>
              <w:rPr>
                <w:rFonts w:ascii="Times New Roman" w:hAnsi="Times New Roman"/>
                <w:b/>
                <w:sz w:val="15"/>
              </w:rPr>
              <w:t>Paradigm</w:t>
            </w:r>
          </w:p>
        </w:tc>
        <w:tc>
          <w:tcPr>
            <w:tcW w:type="dxa" w:w="1224"/>
            <w:shd w:fill="E2E8F0"/>
            <w:tcMar>
              <w:top w:w="40" w:type="dxa"/>
              <w:bottom w:w="40" w:type="dxa"/>
              <w:left w:w="30" w:type="dxa"/>
              <w:right w:w="30" w:type="dxa"/>
            </w:tcMar>
          </w:tcPr>
          <w:p>
            <w:r>
              <w:rPr>
                <w:rFonts w:ascii="Times New Roman" w:hAnsi="Times New Roman"/>
                <w:b/>
                <w:sz w:val="15"/>
              </w:rPr>
              <w:t>Core Mechanism</w:t>
            </w:r>
          </w:p>
        </w:tc>
        <w:tc>
          <w:tcPr>
            <w:tcW w:type="dxa" w:w="792"/>
            <w:shd w:fill="E2E8F0"/>
            <w:tcMar>
              <w:top w:w="40" w:type="dxa"/>
              <w:bottom w:w="40" w:type="dxa"/>
              <w:left w:w="30" w:type="dxa"/>
              <w:right w:w="30" w:type="dxa"/>
            </w:tcMar>
          </w:tcPr>
          <w:p>
            <w:r>
              <w:rPr>
                <w:rFonts w:ascii="Times New Roman" w:hAnsi="Times New Roman"/>
                <w:b/>
                <w:sz w:val="15"/>
              </w:rPr>
              <w:t>Inference</w:t>
            </w:r>
          </w:p>
        </w:tc>
        <w:tc>
          <w:tcPr>
            <w:tcW w:type="dxa" w:w="792"/>
            <w:shd w:fill="E2E8F0"/>
            <w:tcMar>
              <w:top w:w="40" w:type="dxa"/>
              <w:bottom w:w="40" w:type="dxa"/>
              <w:left w:w="30" w:type="dxa"/>
              <w:right w:w="30" w:type="dxa"/>
            </w:tcMar>
          </w:tcPr>
          <w:p>
            <w:r>
              <w:rPr>
                <w:rFonts w:ascii="Times New Roman" w:hAnsi="Times New Roman"/>
                <w:b/>
                <w:sz w:val="15"/>
              </w:rPr>
              <w:t>Constraints</w:t>
            </w:r>
          </w:p>
        </w:tc>
        <w:tc>
          <w:tcPr>
            <w:tcW w:type="dxa" w:w="792"/>
            <w:shd w:fill="E2E8F0"/>
            <w:tcMar>
              <w:top w:w="40" w:type="dxa"/>
              <w:bottom w:w="40" w:type="dxa"/>
              <w:left w:w="30" w:type="dxa"/>
              <w:right w:w="30" w:type="dxa"/>
            </w:tcMar>
          </w:tcPr>
          <w:p>
            <w:r>
              <w:rPr>
                <w:rFonts w:ascii="Times New Roman" w:hAnsi="Times New Roman"/>
                <w:b/>
                <w:sz w:val="15"/>
              </w:rPr>
              <w:t>State Model</w:t>
            </w:r>
          </w:p>
        </w:tc>
      </w:tr>
      <w:tr>
        <w:tc>
          <w:tcPr>
            <w:tcW w:type="dxa" w:w="1296"/>
            <w:tcMar>
              <w:top w:w="30" w:type="dxa"/>
              <w:bottom w:w="30" w:type="dxa"/>
              <w:left w:w="30" w:type="dxa"/>
              <w:right w:w="30" w:type="dxa"/>
            </w:tcMar>
          </w:tcPr>
          <w:p>
            <w:r>
              <w:rPr>
                <w:rFonts w:ascii="Times New Roman" w:hAnsi="Times New Roman"/>
                <w:sz w:val="14"/>
              </w:rPr>
              <w:t>Federation [4]-[7]</w:t>
            </w:r>
          </w:p>
        </w:tc>
        <w:tc>
          <w:tcPr>
            <w:tcW w:type="dxa" w:w="1224"/>
            <w:tcMar>
              <w:top w:w="30" w:type="dxa"/>
              <w:bottom w:w="30" w:type="dxa"/>
              <w:left w:w="30" w:type="dxa"/>
              <w:right w:w="30" w:type="dxa"/>
            </w:tcMar>
          </w:tcPr>
          <w:p>
            <w:r>
              <w:rPr>
                <w:rFonts w:ascii="Times New Roman" w:hAnsi="Times New Roman"/>
                <w:sz w:val="14"/>
              </w:rPr>
              <w:t>GSMA OPG / SFaaS Hooks</w:t>
            </w:r>
          </w:p>
        </w:tc>
        <w:tc>
          <w:tcPr>
            <w:tcW w:type="dxa" w:w="792"/>
            <w:tcMar>
              <w:top w:w="30" w:type="dxa"/>
              <w:bottom w:w="30" w:type="dxa"/>
              <w:left w:w="30" w:type="dxa"/>
              <w:right w:w="30" w:type="dxa"/>
            </w:tcMar>
          </w:tcPr>
          <w:p>
            <w:r>
              <w:rPr>
                <w:rFonts w:ascii="Times New Roman" w:hAnsi="Times New Roman"/>
                <w:sz w:val="14"/>
              </w:rPr>
              <w:t>Minutes</w:t>
            </w:r>
          </w:p>
        </w:tc>
        <w:tc>
          <w:tcPr>
            <w:tcW w:type="dxa" w:w="792"/>
            <w:tcMar>
              <w:top w:w="30" w:type="dxa"/>
              <w:bottom w:w="30" w:type="dxa"/>
              <w:left w:w="30" w:type="dxa"/>
              <w:right w:w="30" w:type="dxa"/>
            </w:tcMar>
          </w:tcPr>
          <w:p>
            <w:r>
              <w:rPr>
                <w:rFonts w:ascii="Times New Roman" w:hAnsi="Times New Roman"/>
                <w:sz w:val="14"/>
              </w:rPr>
              <w:t>Manual / Policy</w:t>
            </w:r>
          </w:p>
        </w:tc>
        <w:tc>
          <w:tcPr>
            <w:tcW w:type="dxa" w:w="792"/>
            <w:tcMar>
              <w:top w:w="30" w:type="dxa"/>
              <w:bottom w:w="30" w:type="dxa"/>
              <w:left w:w="30" w:type="dxa"/>
              <w:right w:w="30" w:type="dxa"/>
            </w:tcMar>
          </w:tcPr>
          <w:p>
            <w:r>
              <w:rPr>
                <w:rFonts w:ascii="Times New Roman" w:hAnsi="Times New Roman"/>
                <w:sz w:val="14"/>
              </w:rPr>
              <w:t>External / Ignored</w:t>
            </w:r>
          </w:p>
        </w:tc>
      </w:tr>
      <w:tr>
        <w:tc>
          <w:tcPr>
            <w:tcW w:type="dxa" w:w="1296"/>
            <w:shd w:fill="F8FAFC"/>
            <w:tcMar>
              <w:top w:w="30" w:type="dxa"/>
              <w:bottom w:w="30" w:type="dxa"/>
              <w:left w:w="30" w:type="dxa"/>
              <w:right w:w="30" w:type="dxa"/>
            </w:tcMar>
          </w:tcPr>
          <w:p>
            <w:r>
              <w:rPr>
                <w:rFonts w:ascii="Times New Roman" w:hAnsi="Times New Roman"/>
                <w:sz w:val="14"/>
              </w:rPr>
              <w:t>Exact MINLP [10]</w:t>
            </w:r>
          </w:p>
        </w:tc>
        <w:tc>
          <w:tcPr>
            <w:tcW w:type="dxa" w:w="1224"/>
            <w:shd w:fill="F8FAFC"/>
            <w:tcMar>
              <w:top w:w="30" w:type="dxa"/>
              <w:bottom w:w="30" w:type="dxa"/>
              <w:left w:w="30" w:type="dxa"/>
              <w:right w:w="30" w:type="dxa"/>
            </w:tcMar>
          </w:tcPr>
          <w:p>
            <w:r>
              <w:rPr>
                <w:rFonts w:ascii="Times New Roman" w:hAnsi="Times New Roman"/>
                <w:sz w:val="14"/>
              </w:rPr>
              <w:t>Branch-and-Bound / Interior</w:t>
            </w:r>
          </w:p>
        </w:tc>
        <w:tc>
          <w:tcPr>
            <w:tcW w:type="dxa" w:w="792"/>
            <w:shd w:fill="F8FAFC"/>
            <w:tcMar>
              <w:top w:w="30" w:type="dxa"/>
              <w:bottom w:w="30" w:type="dxa"/>
              <w:left w:w="30" w:type="dxa"/>
              <w:right w:w="30" w:type="dxa"/>
            </w:tcMar>
          </w:tcPr>
          <w:p>
            <w:r>
              <w:rPr>
                <w:rFonts w:ascii="Times New Roman" w:hAnsi="Times New Roman"/>
                <w:sz w:val="14"/>
              </w:rPr>
              <w:t>&gt; 100 s (N=50)</w:t>
            </w:r>
          </w:p>
        </w:tc>
        <w:tc>
          <w:tcPr>
            <w:tcW w:type="dxa" w:w="792"/>
            <w:shd w:fill="F8FAFC"/>
            <w:tcMar>
              <w:top w:w="30" w:type="dxa"/>
              <w:bottom w:w="30" w:type="dxa"/>
              <w:left w:w="30" w:type="dxa"/>
              <w:right w:w="30" w:type="dxa"/>
            </w:tcMar>
          </w:tcPr>
          <w:p>
            <w:r>
              <w:rPr>
                <w:rFonts w:ascii="Times New Roman" w:hAnsi="Times New Roman"/>
                <w:sz w:val="14"/>
              </w:rPr>
              <w:t>Hard Proof</w:t>
            </w:r>
          </w:p>
        </w:tc>
        <w:tc>
          <w:tcPr>
            <w:tcW w:type="dxa" w:w="792"/>
            <w:shd w:fill="F8FAFC"/>
            <w:tcMar>
              <w:top w:w="30" w:type="dxa"/>
              <w:bottom w:w="30" w:type="dxa"/>
              <w:left w:w="30" w:type="dxa"/>
              <w:right w:w="30" w:type="dxa"/>
            </w:tcMar>
          </w:tcPr>
          <w:p>
            <w:r>
              <w:rPr>
                <w:rFonts w:ascii="Times New Roman" w:hAnsi="Times New Roman"/>
                <w:sz w:val="14"/>
              </w:rPr>
              <w:t>Static Snapshot Only</w:t>
            </w:r>
          </w:p>
        </w:tc>
      </w:tr>
      <w:tr>
        <w:tc>
          <w:tcPr>
            <w:tcW w:type="dxa" w:w="1296"/>
            <w:tcMar>
              <w:top w:w="30" w:type="dxa"/>
              <w:bottom w:w="30" w:type="dxa"/>
              <w:left w:w="30" w:type="dxa"/>
              <w:right w:w="30" w:type="dxa"/>
            </w:tcMar>
          </w:tcPr>
          <w:p>
            <w:r>
              <w:rPr>
                <w:rFonts w:ascii="Times New Roman" w:hAnsi="Times New Roman"/>
                <w:sz w:val="14"/>
              </w:rPr>
              <w:t>Greedy Heuristics</w:t>
            </w:r>
          </w:p>
        </w:tc>
        <w:tc>
          <w:tcPr>
            <w:tcW w:type="dxa" w:w="1224"/>
            <w:tcMar>
              <w:top w:w="30" w:type="dxa"/>
              <w:bottom w:w="30" w:type="dxa"/>
              <w:left w:w="30" w:type="dxa"/>
              <w:right w:w="30" w:type="dxa"/>
            </w:tcMar>
          </w:tcPr>
          <w:p>
            <w:r>
              <w:rPr>
                <w:rFonts w:ascii="Times New Roman" w:hAnsi="Times New Roman"/>
                <w:sz w:val="14"/>
              </w:rPr>
              <w:t>First-Fit Decreasing / Latency</w:t>
            </w:r>
          </w:p>
        </w:tc>
        <w:tc>
          <w:tcPr>
            <w:tcW w:type="dxa" w:w="792"/>
            <w:tcMar>
              <w:top w:w="30" w:type="dxa"/>
              <w:bottom w:w="30" w:type="dxa"/>
              <w:left w:w="30" w:type="dxa"/>
              <w:right w:w="30" w:type="dxa"/>
            </w:tcMar>
          </w:tcPr>
          <w:p>
            <w:r>
              <w:rPr>
                <w:rFonts w:ascii="Times New Roman" w:hAnsi="Times New Roman"/>
                <w:sz w:val="14"/>
              </w:rPr>
              <w:t>&lt; 1 ms</w:t>
            </w:r>
          </w:p>
        </w:tc>
        <w:tc>
          <w:tcPr>
            <w:tcW w:type="dxa" w:w="792"/>
            <w:tcMar>
              <w:top w:w="30" w:type="dxa"/>
              <w:bottom w:w="30" w:type="dxa"/>
              <w:left w:w="30" w:type="dxa"/>
              <w:right w:w="30" w:type="dxa"/>
            </w:tcMar>
          </w:tcPr>
          <w:p>
            <w:r>
              <w:rPr>
                <w:rFonts w:ascii="Times New Roman" w:hAnsi="Times New Roman"/>
                <w:sz w:val="14"/>
              </w:rPr>
              <w:t>Greedy Fallback</w:t>
            </w:r>
          </w:p>
        </w:tc>
        <w:tc>
          <w:tcPr>
            <w:tcW w:type="dxa" w:w="792"/>
            <w:tcMar>
              <w:top w:w="30" w:type="dxa"/>
              <w:bottom w:w="30" w:type="dxa"/>
              <w:left w:w="30" w:type="dxa"/>
              <w:right w:w="30" w:type="dxa"/>
            </w:tcMar>
          </w:tcPr>
          <w:p>
            <w:r>
              <w:rPr>
                <w:rFonts w:ascii="Times New Roman" w:hAnsi="Times New Roman"/>
                <w:sz w:val="14"/>
              </w:rPr>
              <w:t>Completely Neglected</w:t>
            </w:r>
          </w:p>
        </w:tc>
      </w:tr>
      <w:tr>
        <w:tc>
          <w:tcPr>
            <w:tcW w:type="dxa" w:w="1296"/>
            <w:shd w:fill="F8FAFC"/>
            <w:tcMar>
              <w:top w:w="30" w:type="dxa"/>
              <w:bottom w:w="30" w:type="dxa"/>
              <w:left w:w="30" w:type="dxa"/>
              <w:right w:w="30" w:type="dxa"/>
            </w:tcMar>
          </w:tcPr>
          <w:p>
            <w:r>
              <w:rPr>
                <w:rFonts w:ascii="Times New Roman" w:hAnsi="Times New Roman"/>
                <w:sz w:val="14"/>
              </w:rPr>
              <w:t>Diffusion (DDPM) [8]</w:t>
            </w:r>
          </w:p>
        </w:tc>
        <w:tc>
          <w:tcPr>
            <w:tcW w:type="dxa" w:w="1224"/>
            <w:shd w:fill="F8FAFC"/>
            <w:tcMar>
              <w:top w:w="30" w:type="dxa"/>
              <w:bottom w:w="30" w:type="dxa"/>
              <w:left w:w="30" w:type="dxa"/>
              <w:right w:w="30" w:type="dxa"/>
            </w:tcMar>
          </w:tcPr>
          <w:p>
            <w:r>
              <w:rPr>
                <w:rFonts w:ascii="Times New Roman" w:hAnsi="Times New Roman"/>
                <w:sz w:val="14"/>
              </w:rPr>
              <w:t>Reverse Gaussian Denoising</w:t>
            </w:r>
          </w:p>
        </w:tc>
        <w:tc>
          <w:tcPr>
            <w:tcW w:type="dxa" w:w="792"/>
            <w:shd w:fill="F8FAFC"/>
            <w:tcMar>
              <w:top w:w="30" w:type="dxa"/>
              <w:bottom w:w="30" w:type="dxa"/>
              <w:left w:w="30" w:type="dxa"/>
              <w:right w:w="30" w:type="dxa"/>
            </w:tcMar>
          </w:tcPr>
          <w:p>
            <w:r>
              <w:rPr>
                <w:rFonts w:ascii="Times New Roman" w:hAnsi="Times New Roman"/>
                <w:sz w:val="14"/>
              </w:rPr>
              <w:t>~1.5 s (50 steps)</w:t>
            </w:r>
          </w:p>
        </w:tc>
        <w:tc>
          <w:tcPr>
            <w:tcW w:type="dxa" w:w="792"/>
            <w:shd w:fill="F8FAFC"/>
            <w:tcMar>
              <w:top w:w="30" w:type="dxa"/>
              <w:bottom w:w="30" w:type="dxa"/>
              <w:left w:w="30" w:type="dxa"/>
              <w:right w:w="30" w:type="dxa"/>
            </w:tcMar>
          </w:tcPr>
          <w:p>
            <w:r>
              <w:rPr>
                <w:rFonts w:ascii="Times New Roman" w:hAnsi="Times New Roman"/>
                <w:sz w:val="14"/>
              </w:rPr>
              <w:t>Soft Penalty Loss</w:t>
            </w:r>
          </w:p>
        </w:tc>
        <w:tc>
          <w:tcPr>
            <w:tcW w:type="dxa" w:w="792"/>
            <w:shd w:fill="F8FAFC"/>
            <w:tcMar>
              <w:top w:w="30" w:type="dxa"/>
              <w:bottom w:w="30" w:type="dxa"/>
              <w:left w:w="30" w:type="dxa"/>
              <w:right w:w="30" w:type="dxa"/>
            </w:tcMar>
          </w:tcPr>
          <w:p>
            <w:r>
              <w:rPr>
                <w:rFonts w:ascii="Times New Roman" w:hAnsi="Times New Roman"/>
                <w:sz w:val="14"/>
              </w:rPr>
              <w:t>Ignored; Static Graph</w:t>
            </w:r>
          </w:p>
        </w:tc>
      </w:tr>
      <w:tr>
        <w:tc>
          <w:tcPr>
            <w:tcW w:type="dxa" w:w="1296"/>
            <w:shd w:fill="DCFCE7"/>
            <w:tcMar>
              <w:top w:w="30" w:type="dxa"/>
              <w:bottom w:w="30" w:type="dxa"/>
              <w:left w:w="30" w:type="dxa"/>
              <w:right w:w="30" w:type="dxa"/>
            </w:tcMar>
          </w:tcPr>
          <w:p>
            <w:r>
              <w:rPr>
                <w:rFonts w:ascii="Times New Roman" w:hAnsi="Times New Roman"/>
                <w:b/>
                <w:sz w:val="14"/>
              </w:rPr>
              <w:t>TGNN-NCO (Proposed)</w:t>
            </w:r>
          </w:p>
        </w:tc>
        <w:tc>
          <w:tcPr>
            <w:tcW w:type="dxa" w:w="1224"/>
            <w:shd w:fill="DCFCE7"/>
            <w:tcMar>
              <w:top w:w="30" w:type="dxa"/>
              <w:bottom w:w="30" w:type="dxa"/>
              <w:left w:w="30" w:type="dxa"/>
              <w:right w:w="30" w:type="dxa"/>
            </w:tcMar>
          </w:tcPr>
          <w:p>
            <w:r>
              <w:rPr>
                <w:rFonts w:ascii="Times New Roman" w:hAnsi="Times New Roman"/>
                <w:b/>
                <w:sz w:val="14"/>
              </w:rPr>
              <w:t>Spatio-Temporal GNN + NCO</w:t>
            </w:r>
          </w:p>
        </w:tc>
        <w:tc>
          <w:tcPr>
            <w:tcW w:type="dxa" w:w="792"/>
            <w:shd w:fill="DCFCE7"/>
            <w:tcMar>
              <w:top w:w="30" w:type="dxa"/>
              <w:bottom w:w="30" w:type="dxa"/>
              <w:left w:w="30" w:type="dxa"/>
              <w:right w:w="30" w:type="dxa"/>
            </w:tcMar>
          </w:tcPr>
          <w:p>
            <w:r>
              <w:rPr>
                <w:rFonts w:ascii="Times New Roman" w:hAnsi="Times New Roman"/>
                <w:b/>
                <w:sz w:val="14"/>
              </w:rPr>
              <w:t>≤ 5.1 ms (N=100)</w:t>
            </w:r>
          </w:p>
        </w:tc>
        <w:tc>
          <w:tcPr>
            <w:tcW w:type="dxa" w:w="792"/>
            <w:shd w:fill="DCFCE7"/>
            <w:tcMar>
              <w:top w:w="30" w:type="dxa"/>
              <w:bottom w:w="30" w:type="dxa"/>
              <w:left w:w="30" w:type="dxa"/>
              <w:right w:w="30" w:type="dxa"/>
            </w:tcMar>
          </w:tcPr>
          <w:p>
            <w:r>
              <w:rPr>
                <w:rFonts w:ascii="Times New Roman" w:hAnsi="Times New Roman"/>
                <w:b/>
                <w:sz w:val="14"/>
              </w:rPr>
              <w:t>Zero-Violation Mask</w:t>
            </w:r>
          </w:p>
        </w:tc>
        <w:tc>
          <w:tcPr>
            <w:tcW w:type="dxa" w:w="792"/>
            <w:shd w:fill="DCFCE7"/>
            <w:tcMar>
              <w:top w:w="30" w:type="dxa"/>
              <w:bottom w:w="30" w:type="dxa"/>
              <w:left w:w="30" w:type="dxa"/>
              <w:right w:w="30" w:type="dxa"/>
            </w:tcMar>
          </w:tcPr>
          <w:p>
            <w:r>
              <w:rPr>
                <w:rFonts w:ascii="Times New Roman" w:hAnsi="Times New Roman"/>
                <w:b/>
                <w:sz w:val="14"/>
              </w:rPr>
              <w:t>Dirty-Memory Pre-Copy</w:t>
            </w:r>
          </w:p>
        </w:tc>
      </w:tr>
    </w:tbl>
    <w:p>
      <w:pPr>
        <w:spacing w:after="120"/>
      </w:pPr>
    </w:p>
    <w:p>
      <w:pPr>
        <w:keepNext/>
        <w:spacing w:before="280" w:after="80"/>
        <w:jc w:val="center"/>
      </w:pPr>
      <w:r>
        <w:rPr>
          <w:rFonts w:ascii="Times New Roman" w:hAnsi="Times New Roman"/>
          <w:b/>
          <w:color w:val="0F172A"/>
          <w:sz w:val="20"/>
        </w:rPr>
        <w:t>III. SYSTEM MODEL &amp; PROBLEM FORMULATION</w:t>
      </w:r>
    </w:p>
    <w:p>
      <w:pPr>
        <w:spacing w:before="0" w:after="90" w:line="264" w:lineRule="auto"/>
        <w:ind w:firstLine="259"/>
        <w:jc w:val="both"/>
      </w:pPr>
      <w:r>
        <w:rPr>
          <w:rFonts w:ascii="Times New Roman" w:hAnsi="Times New Roman"/>
          <w:sz w:val="19"/>
        </w:rPr>
        <w:t>We model the dynamic Cloud Continuum as a discrete-time scheduling environment operating over intervals t ∈ {0, 1, 2, ..., T}.</w:t>
      </w:r>
    </w:p>
    <w:p>
      <w:pPr>
        <w:keepNext/>
        <w:spacing w:before="200" w:after="60"/>
        <w:jc w:val="left"/>
      </w:pPr>
      <w:r>
        <w:rPr>
          <w:rFonts w:ascii="Times New Roman" w:hAnsi="Times New Roman"/>
          <w:b/>
          <w:i/>
          <w:color w:val="1E293B"/>
          <w:sz w:val="19"/>
        </w:rPr>
        <w:t>A. Continuum Infrastructure Topology</w:t>
      </w:r>
    </w:p>
    <w:p>
      <w:pPr>
        <w:spacing w:before="0" w:after="90" w:line="264" w:lineRule="auto"/>
        <w:ind w:firstLine="259"/>
        <w:jc w:val="both"/>
      </w:pPr>
      <w:r>
        <w:rPr>
          <w:rFonts w:ascii="Times New Roman" w:hAnsi="Times New Roman"/>
          <w:sz w:val="19"/>
        </w:rPr>
        <w:t>The underlying physical telecommunication infrastructure at time step t is represented by a directed, weighted graph:</w:t>
      </w:r>
    </w:p>
    <w:p>
      <w:pPr>
        <w:spacing w:before="100" w:after="100"/>
        <w:jc w:val="center"/>
      </w:pPr>
      <w:r>
        <w:rPr>
          <w:rFonts w:ascii="Times New Roman" w:hAnsi="Times New Roman"/>
          <w:i/>
          <w:sz w:val="18"/>
        </w:rPr>
        <w:t xml:space="preserve">    G(t) = (V(t), E(t))    </w:t>
      </w:r>
      <w:r>
        <w:rPr>
          <w:rFonts w:ascii="Times New Roman" w:hAnsi="Times New Roman"/>
          <w:b w:val="0"/>
          <w:sz w:val="18"/>
        </w:rPr>
        <w:t>(1)</w:t>
      </w:r>
    </w:p>
    <w:p>
      <w:pPr>
        <w:spacing w:before="0" w:after="90" w:line="264" w:lineRule="auto"/>
        <w:ind w:firstLine="259"/>
        <w:jc w:val="both"/>
      </w:pPr>
      <w:r>
        <w:rPr>
          <w:rFonts w:ascii="Times New Roman" w:hAnsi="Times New Roman"/>
          <w:sz w:val="19"/>
        </w:rPr>
        <w:t>where V(t) denotes the set of active physical computing nodes bounded by |V(t)| ≤ C_max = 50, and E(t) denotes the set of operational communication links. Nodes are distributed across three distinct continuum tiers: Edge (40%), Fog (30%), and Cloud (30%). Each node i ∈ V(t) is characterized by a time-varying resource capacity vector:</w:t>
      </w:r>
    </w:p>
    <w:p>
      <w:pPr>
        <w:spacing w:before="100" w:after="100"/>
        <w:jc w:val="center"/>
      </w:pPr>
      <w:r>
        <w:rPr>
          <w:rFonts w:ascii="Times New Roman" w:hAnsi="Times New Roman"/>
          <w:i/>
          <w:sz w:val="18"/>
        </w:rPr>
        <w:t xml:space="preserve">    r_i(t) = [ C_i^cpu(t), C_i^ram(t), C_i^stor(t) ]^T    </w:t>
      </w:r>
      <w:r>
        <w:rPr>
          <w:rFonts w:ascii="Times New Roman" w:hAnsi="Times New Roman"/>
          <w:b w:val="0"/>
          <w:sz w:val="18"/>
        </w:rPr>
        <w:t>(2)</w:t>
      </w:r>
    </w:p>
    <w:p>
      <w:pPr>
        <w:spacing w:before="0" w:after="90" w:line="264" w:lineRule="auto"/>
        <w:ind w:firstLine="259"/>
        <w:jc w:val="both"/>
      </w:pPr>
      <w:r>
        <w:rPr>
          <w:rFonts w:ascii="Times New Roman" w:hAnsi="Times New Roman"/>
          <w:sz w:val="19"/>
        </w:rPr>
        <w:t>spanning available CPU cores ([4, 32] cores), available RAM ([8, 128] GB), and available local storage ([50, 1000] GB). Each node incurs an infrastructure operational cost rate per allocated CPU core: κ_i ∈ {$0.05/core (Edge), $0.10/core (Fog), $0.20/core (Cloud)}. Each directed link (i, j) ∈ E(t) is characterized by available transmission bandwidth B_ij(t) ∈ [100, 10000] Mbps and physical propagation delay L_ij(t) ∈ [1, 100] ms.</w:t>
      </w:r>
    </w:p>
    <w:p>
      <w:pPr>
        <w:keepNext/>
        <w:spacing w:before="200" w:after="60"/>
        <w:jc w:val="left"/>
      </w:pPr>
      <w:r>
        <w:rPr>
          <w:rFonts w:ascii="Times New Roman" w:hAnsi="Times New Roman"/>
          <w:b/>
          <w:i/>
          <w:color w:val="1E293B"/>
          <w:sz w:val="19"/>
        </w:rPr>
        <w:t>B. Service Function Chains and CNF Workload</w:t>
      </w:r>
    </w:p>
    <w:p>
      <w:pPr>
        <w:spacing w:before="0" w:after="90" w:line="264" w:lineRule="auto"/>
        <w:ind w:firstLine="259"/>
        <w:jc w:val="both"/>
      </w:pPr>
      <w:r>
        <w:rPr>
          <w:rFonts w:ascii="Times New Roman" w:hAnsi="Times New Roman"/>
          <w:sz w:val="19"/>
        </w:rPr>
        <w:t>At interval t, the continuum hosts a set of active Service Function Chains S(t) = {h_1, h_2, ..., h_H} bounded by H ≤ H_max = 30. Each chain h is composed of an ordered sequence of l_h ∈ [2, 8] atomic CNF containers:</w:t>
      </w:r>
    </w:p>
    <w:p>
      <w:pPr>
        <w:spacing w:before="100" w:after="100"/>
        <w:jc w:val="center"/>
      </w:pPr>
      <w:r>
        <w:rPr>
          <w:rFonts w:ascii="Times New Roman" w:hAnsi="Times New Roman"/>
          <w:i/>
          <w:sz w:val="18"/>
        </w:rPr>
        <w:t xml:space="preserve">    C_h = ( m_{h,1}, m_{h,2}, ..., m_{h,l_h} )    </w:t>
      </w:r>
      <w:r>
        <w:rPr>
          <w:rFonts w:ascii="Times New Roman" w:hAnsi="Times New Roman"/>
          <w:b w:val="0"/>
          <w:sz w:val="18"/>
        </w:rPr>
        <w:t>(3)</w:t>
      </w:r>
    </w:p>
    <w:p>
      <w:pPr>
        <w:spacing w:before="0" w:after="90" w:line="264" w:lineRule="auto"/>
        <w:ind w:firstLine="259"/>
        <w:jc w:val="both"/>
      </w:pPr>
      <w:r>
        <w:rPr>
          <w:rFonts w:ascii="Times New Roman" w:hAnsi="Times New Roman"/>
          <w:sz w:val="19"/>
        </w:rPr>
        <w:t>The total active CNF count is M(t) = ∑_{h=1}^H l_h ≤ M_max = 150. Each CNF m specifies multi-resource requirements d_m = [ c_m^cpu, d_m^ram, s_m^stor ]^T with c_m^cpu ∈ [0.5, 8] cores, d_m^ram ∈ [0.5, 16] GB, and s_m^stor ∈ [1, 50] GB, along with an internal packet processing latency p_m ∈ [0.1, 2.0] ms. Consecutive CNF pairs exchange user data at flow rate R_{h,k} ∈ [10, 1000] Mbps, and each SFC h is bounded by an end-to-end SLA delay budget T_h ∈ [20, 200] ms.</w:t>
      </w:r>
    </w:p>
    <w:p>
      <w:pPr>
        <w:keepNext/>
        <w:spacing w:before="200" w:after="60"/>
        <w:jc w:val="left"/>
      </w:pPr>
      <w:r>
        <w:rPr>
          <w:rFonts w:ascii="Times New Roman" w:hAnsi="Times New Roman"/>
          <w:b/>
          <w:i/>
          <w:color w:val="1E293B"/>
          <w:sz w:val="19"/>
        </w:rPr>
        <w:t>C. Non-Stationary Stochastic Continuum Dynamics</w:t>
      </w:r>
    </w:p>
    <w:p>
      <w:pPr>
        <w:spacing w:before="0" w:after="90" w:line="264" w:lineRule="auto"/>
        <w:ind w:firstLine="259"/>
        <w:jc w:val="both"/>
      </w:pPr>
      <w:r>
        <w:rPr>
          <w:rFonts w:ascii="Times New Roman" w:hAnsi="Times New Roman"/>
          <w:sz w:val="19"/>
        </w:rPr>
        <w:t>To emulate realistic continuum volatility, available node compute resources fluctuate continuously via an Ornstein-Uhlenbeck (OU) mean-reverting stochastic process:</w:t>
      </w:r>
    </w:p>
    <w:p>
      <w:pPr>
        <w:spacing w:before="100" w:after="100"/>
        <w:jc w:val="center"/>
      </w:pPr>
      <w:r>
        <w:rPr>
          <w:rFonts w:ascii="Times New Roman" w:hAnsi="Times New Roman"/>
          <w:i/>
          <w:sz w:val="18"/>
        </w:rPr>
        <w:t xml:space="preserve">    dX_i(t) = θ_X (μ_X - X_i(t)) dt + σ_X dW_t    </w:t>
      </w:r>
      <w:r>
        <w:rPr>
          <w:rFonts w:ascii="Times New Roman" w:hAnsi="Times New Roman"/>
          <w:b w:val="0"/>
          <w:sz w:val="18"/>
        </w:rPr>
        <w:t>(4)</w:t>
      </w:r>
    </w:p>
    <w:p>
      <w:pPr>
        <w:spacing w:before="0" w:after="90" w:line="264" w:lineRule="auto"/>
        <w:ind w:firstLine="259"/>
        <w:jc w:val="both"/>
      </w:pPr>
      <w:r>
        <w:rPr>
          <w:rFonts w:ascii="Times New Roman" w:hAnsi="Times New Roman"/>
          <w:sz w:val="19"/>
        </w:rPr>
        <w:t>where θ_X = 0.15 governs mean-reversion speed toward baseline capacity μ_X, dW_t is a standard Wiener increment, and σ_X denotes volatility (σ_cpu = 2.0 cores, σ_ram = 5.0 GB, σ_stor = 50.0 GB). In addition, nodes fail stochastically with probability p_fail = 0.01 per step (dropping all hosted containers), active SFCs terminate upon reaching their Time-To-Live (TTL_h ∈ [10, 40] steps) with p_retire = 0.10, and new SFC arrival requests emerge stochastically with p_arr = 0.30.</w:t>
      </w:r>
    </w:p>
    <w:p>
      <w:pPr>
        <w:keepNext/>
        <w:spacing w:before="200" w:after="60"/>
        <w:jc w:val="left"/>
      </w:pPr>
      <w:r>
        <w:rPr>
          <w:rFonts w:ascii="Times New Roman" w:hAnsi="Times New Roman"/>
          <w:b/>
          <w:i/>
          <w:color w:val="1E293B"/>
          <w:sz w:val="19"/>
        </w:rPr>
        <w:t>D. Dirty-Memory Pre-Copy State Migration Model</w:t>
      </w:r>
    </w:p>
    <w:p>
      <w:pPr>
        <w:spacing w:before="0" w:after="90" w:line="264" w:lineRule="auto"/>
        <w:ind w:firstLine="259"/>
        <w:jc w:val="both"/>
      </w:pPr>
      <w:r>
        <w:rPr>
          <w:rFonts w:ascii="Times New Roman" w:hAnsi="Times New Roman"/>
          <w:sz w:val="19"/>
        </w:rPr>
        <w:t>To rigorously penalize state disruption, we ground container relocation costs in the classical dirty-memory pre-copy migration model [3]. Let u_m(t-1) ∈ V(t-1) ∪ {-1} denote the host node of CNF m at step t-1 (with -1 indicating a new unplaced arrival), and let v_m(t) ∈ V(t) denote the selected candidate host at step t. A migration event occurs if and only if:</w:t>
      </w:r>
    </w:p>
    <w:p>
      <w:pPr>
        <w:spacing w:before="100" w:after="100"/>
        <w:jc w:val="center"/>
      </w:pPr>
      <w:r>
        <w:rPr>
          <w:rFonts w:ascii="Times New Roman" w:hAnsi="Times New Roman"/>
          <w:i/>
          <w:sz w:val="18"/>
        </w:rPr>
        <w:t xml:space="preserve">    u_m(t-1) ≥ 0  ∧  u_m(t-1) ≠ v_m(t)    </w:t>
      </w:r>
      <w:r>
        <w:rPr>
          <w:rFonts w:ascii="Times New Roman" w:hAnsi="Times New Roman"/>
          <w:b w:val="0"/>
          <w:sz w:val="18"/>
        </w:rPr>
        <w:t>(5)</w:t>
      </w:r>
    </w:p>
    <w:p>
      <w:pPr>
        <w:spacing w:before="0" w:after="90" w:line="264" w:lineRule="auto"/>
        <w:ind w:firstLine="259"/>
        <w:jc w:val="both"/>
      </w:pPr>
      <w:r>
        <w:rPr>
          <w:rFonts w:ascii="Times New Roman" w:hAnsi="Times New Roman"/>
          <w:sz w:val="19"/>
        </w:rPr>
        <w:t>During live pre-copy migration, volatile memory is transmitted iteratively over link (u_m, v_m). The migration duration T_m^mig (seconds) is governed by the dirty-page volume and available path bandwidth:</w:t>
      </w:r>
    </w:p>
    <w:p>
      <w:pPr>
        <w:spacing w:before="100" w:after="100"/>
        <w:jc w:val="center"/>
      </w:pPr>
      <w:r>
        <w:rPr>
          <w:rFonts w:ascii="Times New Roman" w:hAnsi="Times New Roman"/>
          <w:i/>
          <w:sz w:val="18"/>
        </w:rPr>
        <w:t xml:space="preserve">    T_m^mig(t) = [ ρ · d_m^ram · 1000 ] / B_{u_m, v_m}(t)    </w:t>
      </w:r>
      <w:r>
        <w:rPr>
          <w:rFonts w:ascii="Times New Roman" w:hAnsi="Times New Roman"/>
          <w:b w:val="0"/>
          <w:sz w:val="18"/>
        </w:rPr>
        <w:t>(6)</w:t>
      </w:r>
    </w:p>
    <w:p>
      <w:pPr>
        <w:spacing w:before="0" w:after="90" w:line="264" w:lineRule="auto"/>
        <w:ind w:firstLine="259"/>
        <w:jc w:val="both"/>
      </w:pPr>
      <w:r>
        <w:rPr>
          <w:rFonts w:ascii="Times New Roman" w:hAnsi="Times New Roman"/>
          <w:sz w:val="19"/>
        </w:rPr>
        <w:t>where ρ = 0.20 is the empirical runtime dirty-page fraction (20% of container RAM) and B_{u_m, v_m}(t) is available bandwidth in Mbps (floored at 10 Mbps to prevent numeric singularity). The resulting state migration latency penalty (milliseconds) is formulated as:</w:t>
      </w:r>
    </w:p>
    <w:p>
      <w:pPr>
        <w:spacing w:before="100" w:after="100"/>
        <w:jc w:val="center"/>
      </w:pPr>
      <w:r>
        <w:rPr>
          <w:rFonts w:ascii="Times New Roman" w:hAnsi="Times New Roman"/>
          <w:i/>
          <w:sz w:val="18"/>
        </w:rPr>
        <w:t xml:space="preserve">    Φ_m^mig(t) = α_mig · T_m^mig(t) · 1000    </w:t>
      </w:r>
      <w:r>
        <w:rPr>
          <w:rFonts w:ascii="Times New Roman" w:hAnsi="Times New Roman"/>
          <w:b w:val="0"/>
          <w:sz w:val="18"/>
        </w:rPr>
        <w:t>(7)</w:t>
      </w:r>
    </w:p>
    <w:p>
      <w:pPr>
        <w:spacing w:before="0" w:after="90" w:line="264" w:lineRule="auto"/>
        <w:ind w:firstLine="259"/>
        <w:jc w:val="both"/>
      </w:pPr>
      <w:r>
        <w:rPr>
          <w:rFonts w:ascii="Times New Roman" w:hAnsi="Times New Roman"/>
          <w:sz w:val="19"/>
        </w:rPr>
        <w:t>where α_mig = 0.50 is a calibrated scaling parameter. If u_m(t-1) = -1 or u_m(t-1) = v_m(t), then Φ_m^mig(t) = 0.</w:t>
      </w:r>
    </w:p>
    <w:p>
      <w:pPr>
        <w:keepNext/>
        <w:spacing w:before="200" w:after="60"/>
        <w:jc w:val="left"/>
      </w:pPr>
      <w:r>
        <w:rPr>
          <w:rFonts w:ascii="Times New Roman" w:hAnsi="Times New Roman"/>
          <w:b/>
          <w:i/>
          <w:color w:val="1E293B"/>
          <w:sz w:val="19"/>
        </w:rPr>
        <w:t>E. Mathematical Optimization Formulation</w:t>
      </w:r>
    </w:p>
    <w:p>
      <w:pPr>
        <w:spacing w:before="0" w:after="90" w:line="264" w:lineRule="auto"/>
        <w:ind w:firstLine="259"/>
        <w:jc w:val="both"/>
      </w:pPr>
      <w:r>
        <w:rPr>
          <w:rFonts w:ascii="Times New Roman" w:hAnsi="Times New Roman"/>
          <w:sz w:val="19"/>
        </w:rPr>
        <w:t>Let x_{m,i}(t) ∈ {0, 1} denote the binary decision variable indicating whether CNF m is mapped onto node i at step t. The complete placement decision matrix is X(t) ∈ {0, 1}^{M_max × C_max}. The multi-objective cost function to be minimized is:</w:t>
      </w:r>
    </w:p>
    <w:p>
      <w:pPr>
        <w:spacing w:before="100" w:after="100"/>
        <w:jc w:val="center"/>
      </w:pPr>
      <w:r>
        <w:rPr>
          <w:rFonts w:ascii="Times New Roman" w:hAnsi="Times New Roman"/>
          <w:i/>
          <w:sz w:val="18"/>
        </w:rPr>
        <w:t xml:space="preserve">    min_{X(t)}  J(X(t)) = ∑_{m=1}^{M(t)} ∑_{i=1}^{C(t)} x_{m,i}(t) · c_m^cpu · κ_i + α ∑_{h=1}^{H(t)} max(0, D_h(t) - T_h) + ∑_{m=1}^{M(t)} Φ_m^mig(t)    </w:t>
      </w:r>
      <w:r>
        <w:rPr>
          <w:rFonts w:ascii="Times New Roman" w:hAnsi="Times New Roman"/>
          <w:b w:val="0"/>
          <w:sz w:val="18"/>
        </w:rPr>
        <w:t>(8)</w:t>
      </w:r>
    </w:p>
    <w:p>
      <w:pPr>
        <w:spacing w:before="0" w:after="90" w:line="264" w:lineRule="auto"/>
        <w:ind w:firstLine="259"/>
        <w:jc w:val="both"/>
      </w:pPr>
      <w:r>
        <w:rPr>
          <w:rFonts w:ascii="Times New Roman" w:hAnsi="Times New Roman"/>
          <w:sz w:val="19"/>
        </w:rPr>
        <w:t>subject to the following hard operational constraints for all intervals t:</w:t>
      </w:r>
    </w:p>
    <w:p>
      <w:pPr>
        <w:pStyle w:val="ListBullet"/>
        <w:spacing w:before="0" w:after="70" w:line="259" w:lineRule="auto"/>
        <w:jc w:val="both"/>
      </w:pPr>
      <w:r>
        <w:rPr>
          <w:rFonts w:ascii="Times New Roman" w:hAnsi="Times New Roman"/>
          <w:b/>
          <w:sz w:val="19"/>
        </w:rPr>
        <w:t xml:space="preserve">C1 (Unique Node Mapping): </w:t>
      </w:r>
      <w:r>
        <w:rPr>
          <w:rFonts w:ascii="Times New Roman" w:hAnsi="Times New Roman"/>
          <w:sz w:val="19"/>
        </w:rPr>
        <w:t>∑_{i ∈ V(t)} x_{m,i}(t) = 1, ∀ m ∈ [1, M(t)]</w:t>
      </w:r>
    </w:p>
    <w:p>
      <w:pPr>
        <w:pStyle w:val="ListBullet"/>
        <w:spacing w:before="0" w:after="70" w:line="259" w:lineRule="auto"/>
        <w:jc w:val="both"/>
      </w:pPr>
      <w:r>
        <w:rPr>
          <w:rFonts w:ascii="Times New Roman" w:hAnsi="Times New Roman"/>
          <w:b/>
          <w:sz w:val="19"/>
        </w:rPr>
        <w:t xml:space="preserve">C2 (Physical CPU Capacity): </w:t>
      </w:r>
      <w:r>
        <w:rPr>
          <w:rFonts w:ascii="Times New Roman" w:hAnsi="Times New Roman"/>
          <w:sz w:val="19"/>
        </w:rPr>
        <w:t>∑_{m=1}^{M(t)} x_{m,i}(t) · c_m^cpu ≤ C_i^cpu(t), ∀ i ∈ V(t)</w:t>
      </w:r>
    </w:p>
    <w:p>
      <w:pPr>
        <w:pStyle w:val="ListBullet"/>
        <w:spacing w:before="0" w:after="70" w:line="259" w:lineRule="auto"/>
        <w:jc w:val="both"/>
      </w:pPr>
      <w:r>
        <w:rPr>
          <w:rFonts w:ascii="Times New Roman" w:hAnsi="Times New Roman"/>
          <w:b/>
          <w:sz w:val="19"/>
        </w:rPr>
        <w:t xml:space="preserve">C3 (Physical RAM Capacity): </w:t>
      </w:r>
      <w:r>
        <w:rPr>
          <w:rFonts w:ascii="Times New Roman" w:hAnsi="Times New Roman"/>
          <w:sz w:val="19"/>
        </w:rPr>
        <w:t>∑_{m=1}^{M(t)} x_{m,i}(t) · d_m^ram ≤ C_i^ram(t), ∀ i ∈ V(t)</w:t>
      </w:r>
    </w:p>
    <w:p>
      <w:pPr>
        <w:pStyle w:val="ListBullet"/>
        <w:spacing w:before="0" w:after="70" w:line="259" w:lineRule="auto"/>
        <w:jc w:val="both"/>
      </w:pPr>
      <w:r>
        <w:rPr>
          <w:rFonts w:ascii="Times New Roman" w:hAnsi="Times New Roman"/>
          <w:b/>
          <w:sz w:val="19"/>
        </w:rPr>
        <w:t xml:space="preserve">C4 (Physical Storage Capacity): </w:t>
      </w:r>
      <w:r>
        <w:rPr>
          <w:rFonts w:ascii="Times New Roman" w:hAnsi="Times New Roman"/>
          <w:sz w:val="19"/>
        </w:rPr>
        <w:t>∑_{m=1}^{M(t)} x_{m,i}(t) · s_m^stor ≤ C_i^stor(t), ∀ i ∈ V(t)</w:t>
      </w:r>
    </w:p>
    <w:p>
      <w:pPr>
        <w:pStyle w:val="ListBullet"/>
        <w:spacing w:before="0" w:after="70" w:line="259" w:lineRule="auto"/>
        <w:jc w:val="both"/>
      </w:pPr>
      <w:r>
        <w:rPr>
          <w:rFonts w:ascii="Times New Roman" w:hAnsi="Times New Roman"/>
          <w:b/>
          <w:sz w:val="19"/>
        </w:rPr>
        <w:t xml:space="preserve">C5 (Link Bandwidth Capacity): </w:t>
      </w:r>
      <w:r>
        <w:rPr>
          <w:rFonts w:ascii="Times New Roman" w:hAnsi="Times New Roman"/>
          <w:sz w:val="19"/>
        </w:rPr>
        <w:t>∑_{(u, v) ∈ P_ij} R_{uv}(t) ≤ B_ij(t), ∀ (i, j) ∈ E(t)</w:t>
      </w:r>
    </w:p>
    <w:p>
      <w:pPr>
        <w:spacing w:before="0" w:after="90" w:line="264" w:lineRule="auto"/>
        <w:ind w:firstLine="259"/>
        <w:jc w:val="both"/>
      </w:pPr>
      <w:r>
        <w:rPr>
          <w:rFonts w:ascii="Times New Roman" w:hAnsi="Times New Roman"/>
          <w:sz w:val="19"/>
        </w:rPr>
        <w:t>Here, D_h(t) is the end-to-end traversal delay of chain h, comprising processing delays ∑_{m ∈ C_h} p_m and physical propagation latencies along shortest paths connecting host nodes for consecutive functions (m_{h,k}, m_{h,k+1}). Constraint C5 enforces that cumulative SFC flow demands routed along paths P_ij do not exceed operational link bandwidth B_ij(t).</w:t>
      </w:r>
    </w:p>
    <w:p>
      <w:pPr>
        <w:keepNext/>
        <w:spacing w:before="160" w:after="60"/>
        <w:jc w:val="center"/>
      </w:pPr>
      <w:r>
        <w:rPr>
          <w:rFonts w:ascii="Times New Roman" w:hAnsi="Times New Roman"/>
          <w:b/>
          <w:sz w:val="17"/>
        </w:rPr>
        <w:t>TABLE II: System Model and Simulation Parameters</w:t>
      </w:r>
    </w:p>
    <w:tbl>
      <w:tblPr>
        <w:tblW w:type="auto" w:w="0"/>
        <w:jc w:val="center"/>
        <w:tblLayout w:type="fixed"/>
        <w:tblLook w:firstColumn="1" w:firstRow="1" w:lastColumn="0" w:lastRow="0" w:noHBand="0" w:noVBand="1" w:val="04A0"/>
        <w:tblBorders>
          <w:top w:val="single" w:sz="8" w:space="0" w:color="111827"/>
          <w:bottom w:val="single" w:sz="8" w:space="0" w:color="111827"/>
          <w:insideH w:val="single" w:sz="4" w:space="0" w:color="D1D5DB"/>
          <w:insideV w:val="none"/>
          <w:left w:val="none"/>
          <w:right w:val="none"/>
        </w:tblBorders>
      </w:tblPr>
      <w:tblGrid>
        <w:gridCol w:w="3456"/>
        <w:gridCol w:w="3456"/>
        <w:gridCol w:w="3456"/>
      </w:tblGrid>
      <w:tr>
        <w:tc>
          <w:tcPr>
            <w:tcW w:type="dxa" w:w="1728"/>
            <w:shd w:fill="E2E8F0"/>
            <w:tcMar>
              <w:top w:w="35" w:type="dxa"/>
              <w:bottom w:w="35" w:type="dxa"/>
              <w:left w:w="30" w:type="dxa"/>
              <w:right w:w="30" w:type="dxa"/>
            </w:tcMar>
          </w:tcPr>
          <w:p>
            <w:r>
              <w:rPr>
                <w:rFonts w:ascii="Times New Roman" w:hAnsi="Times New Roman"/>
                <w:b/>
                <w:sz w:val="15"/>
              </w:rPr>
              <w:t>Parameter Category</w:t>
            </w:r>
          </w:p>
        </w:tc>
        <w:tc>
          <w:tcPr>
            <w:tcW w:type="dxa" w:w="1584"/>
            <w:shd w:fill="E2E8F0"/>
            <w:tcMar>
              <w:top w:w="35" w:type="dxa"/>
              <w:bottom w:w="35" w:type="dxa"/>
              <w:left w:w="30" w:type="dxa"/>
              <w:right w:w="30" w:type="dxa"/>
            </w:tcMar>
          </w:tcPr>
          <w:p>
            <w:r>
              <w:rPr>
                <w:rFonts w:ascii="Times New Roman" w:hAnsi="Times New Roman"/>
                <w:b/>
                <w:sz w:val="15"/>
              </w:rPr>
              <w:t>Notation / Variable</w:t>
            </w:r>
          </w:p>
        </w:tc>
        <w:tc>
          <w:tcPr>
            <w:tcW w:type="dxa" w:w="1584"/>
            <w:shd w:fill="E2E8F0"/>
            <w:tcMar>
              <w:top w:w="35" w:type="dxa"/>
              <w:bottom w:w="35" w:type="dxa"/>
              <w:left w:w="30" w:type="dxa"/>
              <w:right w:w="30" w:type="dxa"/>
            </w:tcMar>
          </w:tcPr>
          <w:p>
            <w:r>
              <w:rPr>
                <w:rFonts w:ascii="Times New Roman" w:hAnsi="Times New Roman"/>
                <w:b/>
                <w:sz w:val="15"/>
              </w:rPr>
              <w:t>Empirical Value Range</w:t>
            </w:r>
          </w:p>
        </w:tc>
      </w:tr>
      <w:tr>
        <w:tc>
          <w:tcPr>
            <w:tcW w:type="dxa" w:w="1728"/>
            <w:tcMar>
              <w:top w:w="25" w:type="dxa"/>
              <w:bottom w:w="25" w:type="dxa"/>
              <w:left w:w="30" w:type="dxa"/>
              <w:right w:w="30" w:type="dxa"/>
            </w:tcMar>
          </w:tcPr>
          <w:p>
            <w:r>
              <w:rPr>
                <w:rFonts w:ascii="Times New Roman" w:hAnsi="Times New Roman"/>
                <w:sz w:val="14"/>
              </w:rPr>
              <w:t>Max Node Capacity (C_max)</w:t>
            </w:r>
          </w:p>
        </w:tc>
        <w:tc>
          <w:tcPr>
            <w:tcW w:type="dxa" w:w="1584"/>
            <w:tcMar>
              <w:top w:w="25" w:type="dxa"/>
              <w:bottom w:w="25" w:type="dxa"/>
              <w:left w:w="30" w:type="dxa"/>
              <w:right w:w="30" w:type="dxa"/>
            </w:tcMar>
          </w:tcPr>
          <w:p>
            <w:r>
              <w:rPr>
                <w:rFonts w:ascii="Times New Roman" w:hAnsi="Times New Roman"/>
                <w:sz w:val="14"/>
              </w:rPr>
              <w:t>V(t), C_max</w:t>
            </w:r>
          </w:p>
        </w:tc>
        <w:tc>
          <w:tcPr>
            <w:tcW w:type="dxa" w:w="1584"/>
            <w:tcMar>
              <w:top w:w="25" w:type="dxa"/>
              <w:bottom w:w="25" w:type="dxa"/>
              <w:left w:w="30" w:type="dxa"/>
              <w:right w:w="30" w:type="dxa"/>
            </w:tcMar>
          </w:tcPr>
          <w:p>
            <w:r>
              <w:rPr>
                <w:rFonts w:ascii="Times New Roman" w:hAnsi="Times New Roman"/>
                <w:sz w:val="14"/>
              </w:rPr>
              <w:t>50 nodes (40% Edge, 30% Fog, 30% Cloud)</w:t>
            </w:r>
          </w:p>
        </w:tc>
      </w:tr>
      <w:tr>
        <w:tc>
          <w:tcPr>
            <w:tcW w:type="dxa" w:w="1728"/>
            <w:shd w:fill="F8FAFC"/>
            <w:tcMar>
              <w:top w:w="25" w:type="dxa"/>
              <w:bottom w:w="25" w:type="dxa"/>
              <w:left w:w="30" w:type="dxa"/>
              <w:right w:w="30" w:type="dxa"/>
            </w:tcMar>
          </w:tcPr>
          <w:p>
            <w:r>
              <w:rPr>
                <w:rFonts w:ascii="Times New Roman" w:hAnsi="Times New Roman"/>
                <w:sz w:val="14"/>
              </w:rPr>
              <w:t>Max CNF Workload (M_max)</w:t>
            </w:r>
          </w:p>
        </w:tc>
        <w:tc>
          <w:tcPr>
            <w:tcW w:type="dxa" w:w="1584"/>
            <w:shd w:fill="F8FAFC"/>
            <w:tcMar>
              <w:top w:w="25" w:type="dxa"/>
              <w:bottom w:w="25" w:type="dxa"/>
              <w:left w:w="30" w:type="dxa"/>
              <w:right w:w="30" w:type="dxa"/>
            </w:tcMar>
          </w:tcPr>
          <w:p>
            <w:r>
              <w:rPr>
                <w:rFonts w:ascii="Times New Roman" w:hAnsi="Times New Roman"/>
                <w:sz w:val="14"/>
              </w:rPr>
              <w:t>M(t), M_max</w:t>
            </w:r>
          </w:p>
        </w:tc>
        <w:tc>
          <w:tcPr>
            <w:tcW w:type="dxa" w:w="1584"/>
            <w:shd w:fill="F8FAFC"/>
            <w:tcMar>
              <w:top w:w="25" w:type="dxa"/>
              <w:bottom w:w="25" w:type="dxa"/>
              <w:left w:w="30" w:type="dxa"/>
              <w:right w:w="30" w:type="dxa"/>
            </w:tcMar>
          </w:tcPr>
          <w:p>
            <w:r>
              <w:rPr>
                <w:rFonts w:ascii="Times New Roman" w:hAnsi="Times New Roman"/>
                <w:sz w:val="14"/>
              </w:rPr>
              <w:t>150 containers across H ≤ 30 SFCs</w:t>
            </w:r>
          </w:p>
        </w:tc>
      </w:tr>
      <w:tr>
        <w:tc>
          <w:tcPr>
            <w:tcW w:type="dxa" w:w="1728"/>
            <w:tcMar>
              <w:top w:w="25" w:type="dxa"/>
              <w:bottom w:w="25" w:type="dxa"/>
              <w:left w:w="30" w:type="dxa"/>
              <w:right w:w="30" w:type="dxa"/>
            </w:tcMar>
          </w:tcPr>
          <w:p>
            <w:r>
              <w:rPr>
                <w:rFonts w:ascii="Times New Roman" w:hAnsi="Times New Roman"/>
                <w:sz w:val="14"/>
              </w:rPr>
              <w:t>Node Resource Bounds</w:t>
            </w:r>
          </w:p>
        </w:tc>
        <w:tc>
          <w:tcPr>
            <w:tcW w:type="dxa" w:w="1584"/>
            <w:tcMar>
              <w:top w:w="25" w:type="dxa"/>
              <w:bottom w:w="25" w:type="dxa"/>
              <w:left w:w="30" w:type="dxa"/>
              <w:right w:w="30" w:type="dxa"/>
            </w:tcMar>
          </w:tcPr>
          <w:p>
            <w:r>
              <w:rPr>
                <w:rFonts w:ascii="Times New Roman" w:hAnsi="Times New Roman"/>
                <w:sz w:val="14"/>
              </w:rPr>
              <w:t>C_i^cpu, C_i^ram, C_i^stor</w:t>
            </w:r>
          </w:p>
        </w:tc>
        <w:tc>
          <w:tcPr>
            <w:tcW w:type="dxa" w:w="1584"/>
            <w:tcMar>
              <w:top w:w="25" w:type="dxa"/>
              <w:bottom w:w="25" w:type="dxa"/>
              <w:left w:w="30" w:type="dxa"/>
              <w:right w:w="30" w:type="dxa"/>
            </w:tcMar>
          </w:tcPr>
          <w:p>
            <w:r>
              <w:rPr>
                <w:rFonts w:ascii="Times New Roman" w:hAnsi="Times New Roman"/>
                <w:sz w:val="14"/>
              </w:rPr>
              <w:t>[4, 32] cores, [8, 128] GB, [50, 1000] GB</w:t>
            </w:r>
          </w:p>
        </w:tc>
      </w:tr>
      <w:tr>
        <w:tc>
          <w:tcPr>
            <w:tcW w:type="dxa" w:w="1728"/>
            <w:shd w:fill="F8FAFC"/>
            <w:tcMar>
              <w:top w:w="25" w:type="dxa"/>
              <w:bottom w:w="25" w:type="dxa"/>
              <w:left w:w="30" w:type="dxa"/>
              <w:right w:w="30" w:type="dxa"/>
            </w:tcMar>
          </w:tcPr>
          <w:p>
            <w:r>
              <w:rPr>
                <w:rFonts w:ascii="Times New Roman" w:hAnsi="Times New Roman"/>
                <w:sz w:val="14"/>
              </w:rPr>
              <w:t>CNF Resource Demands</w:t>
            </w:r>
          </w:p>
        </w:tc>
        <w:tc>
          <w:tcPr>
            <w:tcW w:type="dxa" w:w="1584"/>
            <w:shd w:fill="F8FAFC"/>
            <w:tcMar>
              <w:top w:w="25" w:type="dxa"/>
              <w:bottom w:w="25" w:type="dxa"/>
              <w:left w:w="30" w:type="dxa"/>
              <w:right w:w="30" w:type="dxa"/>
            </w:tcMar>
          </w:tcPr>
          <w:p>
            <w:r>
              <w:rPr>
                <w:rFonts w:ascii="Times New Roman" w:hAnsi="Times New Roman"/>
                <w:sz w:val="14"/>
              </w:rPr>
              <w:t>c_m^cpu, d_m^ram, s_m^stor</w:t>
            </w:r>
          </w:p>
        </w:tc>
        <w:tc>
          <w:tcPr>
            <w:tcW w:type="dxa" w:w="1584"/>
            <w:shd w:fill="F8FAFC"/>
            <w:tcMar>
              <w:top w:w="25" w:type="dxa"/>
              <w:bottom w:w="25" w:type="dxa"/>
              <w:left w:w="30" w:type="dxa"/>
              <w:right w:w="30" w:type="dxa"/>
            </w:tcMar>
          </w:tcPr>
          <w:p>
            <w:r>
              <w:rPr>
                <w:rFonts w:ascii="Times New Roman" w:hAnsi="Times New Roman"/>
                <w:sz w:val="14"/>
              </w:rPr>
              <w:t>[0.5, 8] cores, [0.5, 16] GB, [1, 50] GB</w:t>
            </w:r>
          </w:p>
        </w:tc>
      </w:tr>
      <w:tr>
        <w:tc>
          <w:tcPr>
            <w:tcW w:type="dxa" w:w="1728"/>
            <w:tcMar>
              <w:top w:w="25" w:type="dxa"/>
              <w:bottom w:w="25" w:type="dxa"/>
              <w:left w:w="30" w:type="dxa"/>
              <w:right w:w="30" w:type="dxa"/>
            </w:tcMar>
          </w:tcPr>
          <w:p>
            <w:r>
              <w:rPr>
                <w:rFonts w:ascii="Times New Roman" w:hAnsi="Times New Roman"/>
                <w:sz w:val="14"/>
              </w:rPr>
              <w:t>Link Bandwidth &amp; Latency</w:t>
            </w:r>
          </w:p>
        </w:tc>
        <w:tc>
          <w:tcPr>
            <w:tcW w:type="dxa" w:w="1584"/>
            <w:tcMar>
              <w:top w:w="25" w:type="dxa"/>
              <w:bottom w:w="25" w:type="dxa"/>
              <w:left w:w="30" w:type="dxa"/>
              <w:right w:w="30" w:type="dxa"/>
            </w:tcMar>
          </w:tcPr>
          <w:p>
            <w:r>
              <w:rPr>
                <w:rFonts w:ascii="Times New Roman" w:hAnsi="Times New Roman"/>
                <w:sz w:val="14"/>
              </w:rPr>
              <w:t>B_ij(t), L_ij(t)</w:t>
            </w:r>
          </w:p>
        </w:tc>
        <w:tc>
          <w:tcPr>
            <w:tcW w:type="dxa" w:w="1584"/>
            <w:tcMar>
              <w:top w:w="25" w:type="dxa"/>
              <w:bottom w:w="25" w:type="dxa"/>
              <w:left w:w="30" w:type="dxa"/>
              <w:right w:w="30" w:type="dxa"/>
            </w:tcMar>
          </w:tcPr>
          <w:p>
            <w:r>
              <w:rPr>
                <w:rFonts w:ascii="Times New Roman" w:hAnsi="Times New Roman"/>
                <w:sz w:val="14"/>
              </w:rPr>
              <w:t>[100, 10000] Mbps, [1, 100] ms</w:t>
            </w:r>
          </w:p>
        </w:tc>
      </w:tr>
      <w:tr>
        <w:tc>
          <w:tcPr>
            <w:tcW w:type="dxa" w:w="1728"/>
            <w:shd w:fill="F8FAFC"/>
            <w:tcMar>
              <w:top w:w="25" w:type="dxa"/>
              <w:bottom w:w="25" w:type="dxa"/>
              <w:left w:w="30" w:type="dxa"/>
              <w:right w:w="30" w:type="dxa"/>
            </w:tcMar>
          </w:tcPr>
          <w:p>
            <w:r>
              <w:rPr>
                <w:rFonts w:ascii="Times New Roman" w:hAnsi="Times New Roman"/>
                <w:sz w:val="14"/>
              </w:rPr>
              <w:t>OU Process Drift Volatility</w:t>
            </w:r>
          </w:p>
        </w:tc>
        <w:tc>
          <w:tcPr>
            <w:tcW w:type="dxa" w:w="1584"/>
            <w:shd w:fill="F8FAFC"/>
            <w:tcMar>
              <w:top w:w="25" w:type="dxa"/>
              <w:bottom w:w="25" w:type="dxa"/>
              <w:left w:w="30" w:type="dxa"/>
              <w:right w:w="30" w:type="dxa"/>
            </w:tcMar>
          </w:tcPr>
          <w:p>
            <w:r>
              <w:rPr>
                <w:rFonts w:ascii="Times New Roman" w:hAnsi="Times New Roman"/>
                <w:sz w:val="14"/>
              </w:rPr>
              <w:t>θ_X, σ_cpu, σ_ram</w:t>
            </w:r>
          </w:p>
        </w:tc>
        <w:tc>
          <w:tcPr>
            <w:tcW w:type="dxa" w:w="1584"/>
            <w:shd w:fill="F8FAFC"/>
            <w:tcMar>
              <w:top w:w="25" w:type="dxa"/>
              <w:bottom w:w="25" w:type="dxa"/>
              <w:left w:w="30" w:type="dxa"/>
              <w:right w:w="30" w:type="dxa"/>
            </w:tcMar>
          </w:tcPr>
          <w:p>
            <w:r>
              <w:rPr>
                <w:rFonts w:ascii="Times New Roman" w:hAnsi="Times New Roman"/>
                <w:sz w:val="14"/>
              </w:rPr>
              <w:t>θ=0.15, σ_cpu=2.0 cores, σ_ram=5.0 GB</w:t>
            </w:r>
          </w:p>
        </w:tc>
      </w:tr>
      <w:tr>
        <w:tc>
          <w:tcPr>
            <w:tcW w:type="dxa" w:w="1728"/>
            <w:tcMar>
              <w:top w:w="25" w:type="dxa"/>
              <w:bottom w:w="25" w:type="dxa"/>
              <w:left w:w="30" w:type="dxa"/>
              <w:right w:w="30" w:type="dxa"/>
            </w:tcMar>
          </w:tcPr>
          <w:p>
            <w:r>
              <w:rPr>
                <w:rFonts w:ascii="Times New Roman" w:hAnsi="Times New Roman"/>
                <w:sz w:val="14"/>
              </w:rPr>
              <w:t>Dirty Memory Ratio &amp; Penalty</w:t>
            </w:r>
          </w:p>
        </w:tc>
        <w:tc>
          <w:tcPr>
            <w:tcW w:type="dxa" w:w="1584"/>
            <w:tcMar>
              <w:top w:w="25" w:type="dxa"/>
              <w:bottom w:w="25" w:type="dxa"/>
              <w:left w:w="30" w:type="dxa"/>
              <w:right w:w="30" w:type="dxa"/>
            </w:tcMar>
          </w:tcPr>
          <w:p>
            <w:r>
              <w:rPr>
                <w:rFonts w:ascii="Times New Roman" w:hAnsi="Times New Roman"/>
                <w:sz w:val="14"/>
              </w:rPr>
              <w:t>ρ, α_mig</w:t>
            </w:r>
          </w:p>
        </w:tc>
        <w:tc>
          <w:tcPr>
            <w:tcW w:type="dxa" w:w="1584"/>
            <w:tcMar>
              <w:top w:w="25" w:type="dxa"/>
              <w:bottom w:w="25" w:type="dxa"/>
              <w:left w:w="30" w:type="dxa"/>
              <w:right w:w="30" w:type="dxa"/>
            </w:tcMar>
          </w:tcPr>
          <w:p>
            <w:r>
              <w:rPr>
                <w:rFonts w:ascii="Times New Roman" w:hAnsi="Times New Roman"/>
                <w:sz w:val="14"/>
              </w:rPr>
              <w:t>ρ = 0.20 (20% dirty RAM), α_mig = 0.50</w:t>
            </w:r>
          </w:p>
        </w:tc>
      </w:tr>
      <w:tr>
        <w:tc>
          <w:tcPr>
            <w:tcW w:type="dxa" w:w="1728"/>
            <w:shd w:fill="F8FAFC"/>
            <w:tcMar>
              <w:top w:w="25" w:type="dxa"/>
              <w:bottom w:w="25" w:type="dxa"/>
              <w:left w:w="30" w:type="dxa"/>
              <w:right w:w="30" w:type="dxa"/>
            </w:tcMar>
          </w:tcPr>
          <w:p>
            <w:r>
              <w:rPr>
                <w:rFonts w:ascii="Times New Roman" w:hAnsi="Times New Roman"/>
                <w:sz w:val="14"/>
              </w:rPr>
              <w:t>PPO Discount &amp; GAE</w:t>
            </w:r>
          </w:p>
        </w:tc>
        <w:tc>
          <w:tcPr>
            <w:tcW w:type="dxa" w:w="1584"/>
            <w:shd w:fill="F8FAFC"/>
            <w:tcMar>
              <w:top w:w="25" w:type="dxa"/>
              <w:bottom w:w="25" w:type="dxa"/>
              <w:left w:w="30" w:type="dxa"/>
              <w:right w:w="30" w:type="dxa"/>
            </w:tcMar>
          </w:tcPr>
          <w:p>
            <w:r>
              <w:rPr>
                <w:rFonts w:ascii="Times New Roman" w:hAnsi="Times New Roman"/>
                <w:sz w:val="14"/>
              </w:rPr>
              <w:t>γ, λ, ε_clip</w:t>
            </w:r>
          </w:p>
        </w:tc>
        <w:tc>
          <w:tcPr>
            <w:tcW w:type="dxa" w:w="1584"/>
            <w:shd w:fill="F8FAFC"/>
            <w:tcMar>
              <w:top w:w="25" w:type="dxa"/>
              <w:bottom w:w="25" w:type="dxa"/>
              <w:left w:w="30" w:type="dxa"/>
              <w:right w:w="30" w:type="dxa"/>
            </w:tcMar>
          </w:tcPr>
          <w:p>
            <w:r>
              <w:rPr>
                <w:rFonts w:ascii="Times New Roman" w:hAnsi="Times New Roman"/>
                <w:sz w:val="14"/>
              </w:rPr>
              <w:t>γ = 0.99, λ = 0.95, ε_clip = 0.20</w:t>
            </w:r>
          </w:p>
        </w:tc>
      </w:tr>
    </w:tbl>
    <w:p>
      <w:pPr>
        <w:spacing w:after="120"/>
      </w:pPr>
    </w:p>
    <w:p>
      <w:pPr>
        <w:keepNext/>
        <w:spacing w:before="280" w:after="80"/>
        <w:jc w:val="center"/>
      </w:pPr>
      <w:r>
        <w:rPr>
          <w:rFonts w:ascii="Times New Roman" w:hAnsi="Times New Roman"/>
          <w:b/>
          <w:color w:val="0F172A"/>
          <w:sz w:val="20"/>
        </w:rPr>
        <w:t>IV. PROPOSED TGNN-NCO METHODOLOGY</w:t>
      </w:r>
    </w:p>
    <w:p>
      <w:pPr>
        <w:spacing w:before="0" w:after="90" w:line="264" w:lineRule="auto"/>
        <w:ind w:firstLine="259"/>
        <w:jc w:val="both"/>
      </w:pPr>
      <w:r>
        <w:rPr>
          <w:rFonts w:ascii="Times New Roman" w:hAnsi="Times New Roman"/>
          <w:sz w:val="19"/>
        </w:rPr>
        <w:t>To solve the multi-objective placement and migration problem in real time with guaranteed zero capacity violations, we develop an Actor-Critic architecture that synergistically unites a Spatio-Temporal Graph Neural Network encoder with an Autoregressive Pointer Decoder.</w:t>
      </w:r>
    </w:p>
    <w:p>
      <w:pPr>
        <w:keepNext/>
        <w:spacing w:before="200" w:after="60"/>
        <w:jc w:val="left"/>
      </w:pPr>
      <w:r>
        <w:rPr>
          <w:rFonts w:ascii="Times New Roman" w:hAnsi="Times New Roman"/>
          <w:b/>
          <w:i/>
          <w:color w:val="1E293B"/>
          <w:sz w:val="19"/>
        </w:rPr>
        <w:t>A. Spatio-Temporal Graph Neural Network Encoder</w:t>
      </w:r>
    </w:p>
    <w:p>
      <w:pPr>
        <w:spacing w:before="0" w:after="90" w:line="264" w:lineRule="auto"/>
        <w:ind w:firstLine="259"/>
        <w:jc w:val="both"/>
      </w:pPr>
      <w:r>
        <w:rPr>
          <w:rFonts w:ascii="Times New Roman" w:hAnsi="Times New Roman"/>
          <w:sz w:val="19"/>
        </w:rPr>
        <w:t>Standard GNNs process isolated static graphs, failing to perceive temporal trends in continuum utilization. Our TGNN encoder processes both instantaneous network state G(t) and a chronological sliding window of W=5 historical graph states [t-W+1, ..., t].</w:t>
      </w:r>
    </w:p>
    <w:p>
      <w:pPr>
        <w:keepNext/>
        <w:spacing w:before="160" w:after="40"/>
        <w:jc w:val="left"/>
      </w:pPr>
      <w:r>
        <w:rPr>
          <w:rFonts w:ascii="Times New Roman" w:hAnsi="Times New Roman"/>
          <w:i/>
          <w:color w:val="1E293B"/>
          <w:sz w:val="19"/>
        </w:rPr>
        <w:t>1) Vectorized Spatial Graph Convolutions:</w:t>
      </w:r>
    </w:p>
    <w:p>
      <w:pPr>
        <w:spacing w:before="0" w:after="90" w:line="264" w:lineRule="auto"/>
        <w:ind w:firstLine="259"/>
        <w:jc w:val="both"/>
      </w:pPr>
      <w:r>
        <w:rPr>
          <w:rFonts w:ascii="Times New Roman" w:hAnsi="Times New Roman"/>
          <w:sz w:val="19"/>
        </w:rPr>
        <w:t>Let X_V(t) ∈ ℝ^{C_max × 9} denote the node feature matrix at time t, encapsulating available CPU, RAM, storage, one-hot continuum tier encoding, and active resource allocations. To achieve ultra-fast execution, we eliminate Python-level message-passing loops and execute spatial message passing via batched matrix operations. We precompute the symmetric normalized adjacency matrix:</w:t>
      </w:r>
    </w:p>
    <w:p>
      <w:pPr>
        <w:spacing w:before="100" w:after="100"/>
        <w:jc w:val="center"/>
      </w:pPr>
      <w:r>
        <w:rPr>
          <w:rFonts w:ascii="Times New Roman" w:hAnsi="Times New Roman"/>
          <w:i/>
          <w:sz w:val="18"/>
        </w:rPr>
        <w:t xml:space="preserve">    Ã = D̃^{-1/2} (A + I_N) D̃^{-1/2}    </w:t>
      </w:r>
      <w:r>
        <w:rPr>
          <w:rFonts w:ascii="Times New Roman" w:hAnsi="Times New Roman"/>
          <w:b w:val="0"/>
          <w:sz w:val="18"/>
        </w:rPr>
        <w:t>(9)</w:t>
      </w:r>
    </w:p>
    <w:p>
      <w:pPr>
        <w:spacing w:before="0" w:after="90" w:line="264" w:lineRule="auto"/>
        <w:ind w:firstLine="259"/>
        <w:jc w:val="both"/>
      </w:pPr>
      <w:r>
        <w:rPr>
          <w:rFonts w:ascii="Times New Roman" w:hAnsi="Times New Roman"/>
          <w:sz w:val="19"/>
        </w:rPr>
        <w:t>where A is the Waxman graph adjacency matrix and D̃ is the degree matrix of A + I_N. The spatial convolution at layer l ∈ {1, 2} is computed as:</w:t>
      </w:r>
    </w:p>
    <w:p>
      <w:pPr>
        <w:spacing w:before="100" w:after="100"/>
        <w:jc w:val="center"/>
      </w:pPr>
      <w:r>
        <w:rPr>
          <w:rFonts w:ascii="Times New Roman" w:hAnsi="Times New Roman"/>
          <w:i/>
          <w:sz w:val="18"/>
        </w:rPr>
        <w:t xml:space="preserve">    H^{(l)} = ReLU( LayerNorm( Ã H^{(l-1)} W_spatial^{(l)} ) )    </w:t>
      </w:r>
      <w:r>
        <w:rPr>
          <w:rFonts w:ascii="Times New Roman" w:hAnsi="Times New Roman"/>
          <w:b w:val="0"/>
          <w:sz w:val="18"/>
        </w:rPr>
        <w:t>(10)</w:t>
      </w:r>
    </w:p>
    <w:p>
      <w:pPr>
        <w:spacing w:before="0" w:after="90" w:line="264" w:lineRule="auto"/>
        <w:ind w:firstLine="259"/>
        <w:jc w:val="both"/>
      </w:pPr>
      <w:r>
        <w:rPr>
          <w:rFonts w:ascii="Times New Roman" w:hAnsi="Times New Roman"/>
          <w:sz w:val="19"/>
        </w:rPr>
        <w:t>with hidden dimension d_hidden = 256.</w:t>
      </w:r>
    </w:p>
    <w:p>
      <w:pPr>
        <w:keepNext/>
        <w:spacing w:before="160" w:after="40"/>
        <w:jc w:val="left"/>
      </w:pPr>
      <w:r>
        <w:rPr>
          <w:rFonts w:ascii="Times New Roman" w:hAnsi="Times New Roman"/>
          <w:i/>
          <w:color w:val="1E293B"/>
          <w:sz w:val="19"/>
        </w:rPr>
        <w:t>2) Temporal Sequence Aggregation via GRU:</w:t>
      </w:r>
    </w:p>
    <w:p>
      <w:pPr>
        <w:spacing w:before="0" w:after="90" w:line="264" w:lineRule="auto"/>
        <w:ind w:firstLine="259"/>
        <w:jc w:val="both"/>
      </w:pPr>
      <w:r>
        <w:rPr>
          <w:rFonts w:ascii="Times New Roman" w:hAnsi="Times New Roman"/>
          <w:sz w:val="19"/>
        </w:rPr>
        <w:t>Spatial node representations are evaluated across all W+1 chronological snapshots {H_{t-W+1}, ..., H_t, H_{t+1}}, forming a temporal sequence tensor S ∈ ℝ^{B × (W+1) × C_max × d_hidden}. We reshape the tensor and feed the sequence through a temporal Gated Recurrent Unit (GRU):</w:t>
      </w:r>
    </w:p>
    <w:p>
      <w:pPr>
        <w:spacing w:before="100" w:after="100"/>
        <w:jc w:val="center"/>
      </w:pPr>
      <w:r>
        <w:rPr>
          <w:rFonts w:ascii="Times New Roman" w:hAnsi="Times New Roman"/>
          <w:i/>
          <w:sz w:val="18"/>
        </w:rPr>
        <w:t xml:space="preserve">    z_τ, h_τ^gru = GRU( S_τ, h_{τ-1}^gru ),  τ ∈ [0, W]    </w:t>
      </w:r>
      <w:r>
        <w:rPr>
          <w:rFonts w:ascii="Times New Roman" w:hAnsi="Times New Roman"/>
          <w:b w:val="0"/>
          <w:sz w:val="18"/>
        </w:rPr>
        <w:t>(11)</w:t>
      </w:r>
    </w:p>
    <w:p>
      <w:pPr>
        <w:spacing w:before="100" w:after="100"/>
        <w:jc w:val="center"/>
      </w:pPr>
      <w:r>
        <w:rPr>
          <w:rFonts w:ascii="Times New Roman" w:hAnsi="Times New Roman"/>
          <w:i/>
          <w:sz w:val="18"/>
        </w:rPr>
        <w:t xml:space="preserve">    Z_V = h_W^gru ∈ ℝ^{B × C_max × d_model}    </w:t>
      </w:r>
      <w:r>
        <w:rPr>
          <w:rFonts w:ascii="Times New Roman" w:hAnsi="Times New Roman"/>
          <w:b w:val="0"/>
          <w:sz w:val="18"/>
        </w:rPr>
        <w:t>(12)</w:t>
      </w:r>
    </w:p>
    <w:p>
      <w:pPr>
        <w:spacing w:before="0" w:after="90" w:line="264" w:lineRule="auto"/>
        <w:ind w:firstLine="259"/>
        <w:jc w:val="both"/>
      </w:pPr>
      <w:r>
        <w:rPr>
          <w:rFonts w:ascii="Times New Roman" w:hAnsi="Times New Roman"/>
          <w:sz w:val="19"/>
        </w:rPr>
        <w:t>where d_model = 256. The output embedding Z_V encapsulates both spatial network connectivity and the rate-of-change (drift velocity) of continuum resource availability.</w:t>
      </w:r>
    </w:p>
    <w:p>
      <w:pPr>
        <w:keepNext/>
        <w:spacing w:before="160" w:after="40"/>
        <w:jc w:val="left"/>
      </w:pPr>
      <w:r>
        <w:rPr>
          <w:rFonts w:ascii="Times New Roman" w:hAnsi="Times New Roman"/>
          <w:i/>
          <w:color w:val="1E293B"/>
          <w:sz w:val="19"/>
        </w:rPr>
        <w:t>3) CNF Demand Feature Projection:</w:t>
      </w:r>
    </w:p>
    <w:p>
      <w:pPr>
        <w:spacing w:before="0" w:after="90" w:line="264" w:lineRule="auto"/>
        <w:ind w:firstLine="259"/>
        <w:jc w:val="both"/>
      </w:pPr>
      <w:r>
        <w:rPr>
          <w:rFonts w:ascii="Times New Roman" w:hAnsi="Times New Roman"/>
          <w:sz w:val="19"/>
        </w:rPr>
        <w:t>CNF demand vectors F_M ∈ ℝ^{B × M_max × 5} (CPU, RAM, storage, inter-CNF flow rate, internal delay) are projected into latent space via a two-layer Multi-Layer Perceptron (MLP):</w:t>
      </w:r>
    </w:p>
    <w:p>
      <w:pPr>
        <w:spacing w:before="100" w:after="100"/>
        <w:jc w:val="center"/>
      </w:pPr>
      <w:r>
        <w:rPr>
          <w:rFonts w:ascii="Times New Roman" w:hAnsi="Times New Roman"/>
          <w:i/>
          <w:sz w:val="18"/>
        </w:rPr>
        <w:t xml:space="preserve">    Z_M = Linear( ReLU( LayerNorm( Linear( F_M ) ) ) ) ∈ ℝ^{B × M_max × d_model}    </w:t>
      </w:r>
      <w:r>
        <w:rPr>
          <w:rFonts w:ascii="Times New Roman" w:hAnsi="Times New Roman"/>
          <w:b w:val="0"/>
          <w:sz w:val="18"/>
        </w:rPr>
        <w:t>(13)</w:t>
      </w:r>
    </w:p>
    <w:p>
      <w:pPr>
        <w:keepNext/>
        <w:spacing w:before="200" w:after="60"/>
        <w:jc w:val="left"/>
      </w:pPr>
      <w:r>
        <w:rPr>
          <w:rFonts w:ascii="Times New Roman" w:hAnsi="Times New Roman"/>
          <w:b/>
          <w:i/>
          <w:color w:val="1E293B"/>
          <w:sz w:val="19"/>
        </w:rPr>
        <w:t>B. Autoregressive Pointer Decoder with Dynamic Residual Masking</w:t>
      </w:r>
    </w:p>
    <w:p>
      <w:pPr>
        <w:spacing w:before="0" w:after="90" w:line="264" w:lineRule="auto"/>
        <w:ind w:firstLine="259"/>
        <w:jc w:val="both"/>
      </w:pPr>
      <w:r>
        <w:rPr>
          <w:rFonts w:ascii="Times New Roman" w:hAnsi="Times New Roman"/>
          <w:sz w:val="19"/>
        </w:rPr>
        <w:t>Rather than generating placements for all CNFs simultaneously—which inevitably triggers severe resource collisions—our decoder maps CNFs sequentially using an autoregressive cross-attention pointer mechanism governed by dynamic residual capacity tracking.</w:t>
      </w:r>
    </w:p>
    <w:p>
      <w:pPr>
        <w:keepNext/>
        <w:spacing w:before="160" w:after="40"/>
        <w:jc w:val="left"/>
      </w:pPr>
      <w:r>
        <w:rPr>
          <w:rFonts w:ascii="Times New Roman" w:hAnsi="Times New Roman"/>
          <w:i/>
          <w:color w:val="1E293B"/>
          <w:sz w:val="19"/>
        </w:rPr>
        <w:t>1) SFC-Priority Decode Sequencing:</w:t>
      </w:r>
    </w:p>
    <w:p>
      <w:pPr>
        <w:spacing w:before="0" w:after="90" w:line="264" w:lineRule="auto"/>
        <w:ind w:firstLine="259"/>
        <w:jc w:val="both"/>
      </w:pPr>
      <w:r>
        <w:rPr>
          <w:rFonts w:ascii="Times New Roman" w:hAnsi="Times New Roman"/>
          <w:sz w:val="19"/>
        </w:rPr>
        <w:t>The decode order is governed by a permutation vector π^order ∈ ℕ^{M_max} computed in the environment. Active chains are sorted in ascending order of SLA latency budget (T_{h_1} ≤ T_{h_2} ≤ ... ≤ T_{h_H}). Within each chain, CNFs are processed strictly in topological hop order (hop 0 → 1 → ... → l_h - 1). This ensures that latency-critical SFCs secure scarce low-latency edge resources before delay-tolerant chains consume capacity.</w:t>
      </w:r>
    </w:p>
    <w:p>
      <w:pPr>
        <w:keepNext/>
        <w:spacing w:before="160" w:after="40"/>
        <w:jc w:val="left"/>
      </w:pPr>
      <w:r>
        <w:rPr>
          <w:rFonts w:ascii="Times New Roman" w:hAnsi="Times New Roman"/>
          <w:i/>
          <w:color w:val="1E293B"/>
          <w:sz w:val="19"/>
        </w:rPr>
        <w:t>2) Cross-Attention Pointer Mechanism:</w:t>
      </w:r>
    </w:p>
    <w:p>
      <w:pPr>
        <w:spacing w:before="0" w:after="90" w:line="264" w:lineRule="auto"/>
        <w:ind w:firstLine="259"/>
        <w:jc w:val="both"/>
      </w:pPr>
      <w:r>
        <w:rPr>
          <w:rFonts w:ascii="Times New Roman" w:hAnsi="Times New Roman"/>
          <w:sz w:val="19"/>
        </w:rPr>
        <w:t>At decode step k ∈ [1, M_max] with active CNF m = π_k^order, the decoder computes multi-head cross-attention with n_heads = 8:</w:t>
      </w:r>
    </w:p>
    <w:p>
      <w:pPr>
        <w:spacing w:before="100" w:after="100"/>
        <w:jc w:val="center"/>
      </w:pPr>
      <w:r>
        <w:rPr>
          <w:rFonts w:ascii="Times New Roman" w:hAnsi="Times New Roman"/>
          <w:i/>
          <w:sz w:val="18"/>
        </w:rPr>
        <w:t xml:space="preserve">    Q = Z_M,  K = Z_V,  V = Z_V    </w:t>
      </w:r>
      <w:r>
        <w:rPr>
          <w:rFonts w:ascii="Times New Roman" w:hAnsi="Times New Roman"/>
          <w:b w:val="0"/>
          <w:sz w:val="18"/>
        </w:rPr>
        <w:t>(14)</w:t>
      </w:r>
    </w:p>
    <w:p>
      <w:pPr>
        <w:spacing w:before="100" w:after="100"/>
        <w:jc w:val="center"/>
      </w:pPr>
      <w:r>
        <w:rPr>
          <w:rFonts w:ascii="Times New Roman" w:hAnsi="Times New Roman"/>
          <w:i/>
          <w:sz w:val="18"/>
        </w:rPr>
        <w:t xml:space="preserve">    C_attn = MultiHeadAttention( Q, K, V ) ∈ ℝ^{B × M_max × d_model}    </w:t>
      </w:r>
      <w:r>
        <w:rPr>
          <w:rFonts w:ascii="Times New Roman" w:hAnsi="Times New Roman"/>
          <w:b w:val="0"/>
          <w:sz w:val="18"/>
        </w:rPr>
        <w:t>(15)</w:t>
      </w:r>
    </w:p>
    <w:p>
      <w:pPr>
        <w:spacing w:before="0" w:after="90" w:line="264" w:lineRule="auto"/>
        <w:ind w:firstLine="259"/>
        <w:jc w:val="both"/>
      </w:pPr>
      <w:r>
        <w:rPr>
          <w:rFonts w:ascii="Times New Roman" w:hAnsi="Times New Roman"/>
          <w:sz w:val="19"/>
        </w:rPr>
        <w:t>For CNF m, context vector c_m is combined with all node embeddings z_{V,i} through a feed-forward projection to generate placement logits:</w:t>
      </w:r>
    </w:p>
    <w:p>
      <w:pPr>
        <w:spacing w:before="100" w:after="100"/>
        <w:jc w:val="center"/>
      </w:pPr>
      <w:r>
        <w:rPr>
          <w:rFonts w:ascii="Times New Roman" w:hAnsi="Times New Roman"/>
          <w:i/>
          <w:sz w:val="18"/>
        </w:rPr>
        <w:t xml:space="preserve">    ℓ_{m,i} = W_2 · ReLU( W_1 (c_m + z_{V,i}) + b_1 )    </w:t>
      </w:r>
      <w:r>
        <w:rPr>
          <w:rFonts w:ascii="Times New Roman" w:hAnsi="Times New Roman"/>
          <w:b w:val="0"/>
          <w:sz w:val="18"/>
        </w:rPr>
        <w:t>(16)</w:t>
      </w:r>
    </w:p>
    <w:p>
      <w:pPr>
        <w:keepNext/>
        <w:spacing w:before="160" w:after="40"/>
        <w:jc w:val="left"/>
      </w:pPr>
      <w:r>
        <w:rPr>
          <w:rFonts w:ascii="Times New Roman" w:hAnsi="Times New Roman"/>
          <w:i/>
          <w:color w:val="1E293B"/>
          <w:sz w:val="19"/>
        </w:rPr>
        <w:t>3) Dynamic Residual Capacity Masking:</w:t>
      </w:r>
    </w:p>
    <w:p>
      <w:pPr>
        <w:spacing w:before="0" w:after="90" w:line="264" w:lineRule="auto"/>
        <w:ind w:firstLine="259"/>
        <w:jc w:val="both"/>
      </w:pPr>
      <w:r>
        <w:rPr>
          <w:rFonts w:ascii="Times New Roman" w:hAnsi="Times New Roman"/>
          <w:sz w:val="19"/>
        </w:rPr>
        <w:t>To strictly enforce capacity constraints C2--C4, the decoder tracks mutable residual capacity vectors during sequential decoding: r_i^res(k) initialized to r_i^res(1) = r_i(t). For CNF m, a feasibility predicate M_{m,i}(k) is evaluated:</w:t>
      </w:r>
    </w:p>
    <w:p>
      <w:pPr>
        <w:spacing w:before="100" w:after="100"/>
        <w:jc w:val="center"/>
      </w:pPr>
      <w:r>
        <w:rPr>
          <w:rFonts w:ascii="Times New Roman" w:hAnsi="Times New Roman"/>
          <w:i/>
          <w:sz w:val="18"/>
        </w:rPr>
        <w:t xml:space="preserve">    M_{m,i}(k) = 1  if  C_i^{cpu,res}(k) ≥ c_m^cpu  ∧  C_i^{ram,res}(k) ≥ d_m^ram  ∧  C_i^{stor,res}(k) ≥ s_m^stor  ∧  Active(i); else 0    </w:t>
      </w:r>
      <w:r>
        <w:rPr>
          <w:rFonts w:ascii="Times New Roman" w:hAnsi="Times New Roman"/>
          <w:b w:val="0"/>
          <w:sz w:val="18"/>
        </w:rPr>
        <w:t>(17)</w:t>
      </w:r>
    </w:p>
    <w:p>
      <w:pPr>
        <w:spacing w:before="0" w:after="90" w:line="264" w:lineRule="auto"/>
        <w:ind w:firstLine="259"/>
        <w:jc w:val="both"/>
      </w:pPr>
      <w:r>
        <w:rPr>
          <w:rFonts w:ascii="Times New Roman" w:hAnsi="Times New Roman"/>
          <w:sz w:val="19"/>
        </w:rPr>
        <w:t>We set logits for infeasible nodes to -∞ (-10^4) prior to Softmax: ℓ̃_{m,i} = ℓ_{m,i} if M_{m,i} = 1 else -10^4. Upon sampling host node a_m = i*, residual capacity is decremented: r_{i*}^{res}(k+1) = r_{i*}^{res}(k) - d_m.</w:t>
      </w:r>
    </w:p>
    <w:p>
      <w:pPr>
        <w:pStyle w:val="ListBullet"/>
        <w:spacing w:before="0" w:after="70" w:line="259" w:lineRule="auto"/>
        <w:jc w:val="both"/>
      </w:pPr>
      <w:r>
        <w:rPr>
          <w:rFonts w:ascii="Times New Roman" w:hAnsi="Times New Roman"/>
          <w:b/>
          <w:sz w:val="19"/>
        </w:rPr>
        <w:t xml:space="preserve">Theorem 1 (Zero Capacity Violation Guarantee): </w:t>
      </w:r>
      <w:r>
        <w:rPr>
          <w:rFonts w:ascii="Times New Roman" w:hAnsi="Times New Roman"/>
          <w:sz w:val="19"/>
        </w:rPr>
        <w:t>Under the dynamic residual-capacity masking policy, any discrete placement vector a_t = [a_1, ..., a_{M_max}]^T satisfies physical node CPU, RAM, and Storage constraints (C2--C4) with a violation rate of exactly 0% by construction.</w:t>
      </w:r>
    </w:p>
    <w:p>
      <w:pPr>
        <w:pStyle w:val="ListBullet"/>
        <w:spacing w:before="0" w:after="70" w:line="259" w:lineRule="auto"/>
        <w:jc w:val="both"/>
      </w:pPr>
      <w:r>
        <w:rPr>
          <w:rFonts w:ascii="Times New Roman" w:hAnsi="Times New Roman"/>
          <w:b/>
          <w:sz w:val="19"/>
        </w:rPr>
        <w:t xml:space="preserve">Proof: </w:t>
      </w:r>
      <w:r>
        <w:rPr>
          <w:rFonts w:ascii="Times New Roman" w:hAnsi="Times New Roman"/>
          <w:sz w:val="19"/>
        </w:rPr>
        <w:t>Let k ∈ [1, M_max] be the decode step for CNF m. By Eq. (17), node i has non-zero probability P(a_m = i) &gt; 0 if and only if r_i^res(k) ≥ d_m. Because r_i^res(1) = r_i(t) and r_i^res(k+1) = r_i^res(k) - d_m · 1_{a_m = i}, by mathematical induction: ∑_{m=1}^{M(t)} d_m · 1_{a_m = i} = r_i(t) - r_i^res(M_max + 1) ≤ r_i(t), since r_i^res(k) ≥ 0 ∀ k. Hence, total allocated resources can never exceed available physical capacity. ■</w:t>
      </w:r>
    </w:p>
    <w:p>
      <w:pPr>
        <w:keepNext/>
        <w:spacing w:before="200" w:after="60"/>
        <w:jc w:val="left"/>
      </w:pPr>
      <w:r>
        <w:rPr>
          <w:rFonts w:ascii="Times New Roman" w:hAnsi="Times New Roman"/>
          <w:b/>
          <w:i/>
          <w:color w:val="1E293B"/>
          <w:sz w:val="19"/>
        </w:rPr>
        <w:t>C. Critic Architecture and PPO Training Loop</w:t>
      </w:r>
    </w:p>
    <w:p>
      <w:pPr>
        <w:spacing w:before="0" w:after="90" w:line="264" w:lineRule="auto"/>
        <w:ind w:firstLine="259"/>
        <w:jc w:val="both"/>
      </w:pPr>
      <w:r>
        <w:rPr>
          <w:rFonts w:ascii="Times New Roman" w:hAnsi="Times New Roman"/>
          <w:sz w:val="19"/>
        </w:rPr>
        <w:t>The Critic network evaluates global state value V(s_t) to reduce policy gradient variance. We apply mean-pooling across node embeddings z̄ = (1/C_max) ∑_i z_{V,i} ∈ ℝ^{d_model}, followed by a 3-layer MLP (256 → 512 → 256 → 1). The environment yields scalar reward R(s_t, a_t) = -J(X(t)) - β(t) · 1_{Infeasible}, where β(t) is governed by a three-stage curriculum annealing schedule:</w:t>
      </w:r>
    </w:p>
    <w:p>
      <w:pPr>
        <w:spacing w:before="100" w:after="100"/>
        <w:jc w:val="center"/>
      </w:pPr>
      <w:r>
        <w:rPr>
          <w:rFonts w:ascii="Times New Roman" w:hAnsi="Times New Roman"/>
          <w:i/>
          <w:sz w:val="18"/>
        </w:rPr>
        <w:t xml:space="preserve">    β(t) = 1.0 (t &lt; 50k);  1.0 + [(t-50k)/100k]·9.0 (50k ≤ t &lt; 150k);  10.0 (t ≥ 150k)    </w:t>
      </w:r>
      <w:r>
        <w:rPr>
          <w:rFonts w:ascii="Times New Roman" w:hAnsi="Times New Roman"/>
          <w:b w:val="0"/>
          <w:sz w:val="18"/>
        </w:rPr>
        <w:t>(18)</w:t>
      </w:r>
    </w:p>
    <w:p>
      <w:pPr>
        <w:spacing w:before="0" w:after="90" w:line="264" w:lineRule="auto"/>
        <w:ind w:firstLine="259"/>
        <w:jc w:val="both"/>
      </w:pPr>
      <w:r>
        <w:rPr>
          <w:rFonts w:ascii="Times New Roman" w:hAnsi="Times New Roman"/>
          <w:sz w:val="19"/>
        </w:rPr>
        <w:t>The policy is optimized using clipped Proximal Policy Optimization (PPO) [18] with Generalized Advantage Estimation (GAE, λ=0.95, γ=0.99). The overall execution logic is summarized in Algorithm 1.</w:t>
      </w:r>
    </w:p>
    <w:p>
      <w:pPr>
        <w:keepNext/>
        <w:spacing w:before="160" w:after="40"/>
        <w:jc w:val="center"/>
      </w:pPr>
      <w:r>
        <w:rPr>
          <w:rFonts w:ascii="Times New Roman" w:hAnsi="Times New Roman"/>
          <w:b/>
          <w:sz w:val="17"/>
        </w:rPr>
        <w:t>Algorithm 1: TGNN-NCO Autoregressive Placement Policy</w:t>
      </w:r>
    </w:p>
    <w:tbl>
      <w:tblPr>
        <w:tblW w:type="auto" w:w="0"/>
        <w:jc w:val="center"/>
        <w:tblLayout w:type="fixed"/>
        <w:tblLook w:firstColumn="1" w:firstRow="1" w:lastColumn="0" w:lastRow="0" w:noHBand="0" w:noVBand="1" w:val="04A0"/>
        <w:tblBorders>
          <w:top w:val="single" w:sz="8" w:space="0" w:color="111827"/>
          <w:bottom w:val="single" w:sz="8" w:space="0" w:color="111827"/>
          <w:insideH w:val="single" w:sz="4" w:space="0" w:color="D1D5DB"/>
          <w:insideV w:val="none"/>
          <w:left w:val="none"/>
          <w:right w:val="none"/>
        </w:tblBorders>
      </w:tblPr>
      <w:tblGrid>
        <w:gridCol w:w="10368"/>
      </w:tblGrid>
      <w:tr>
        <w:tc>
          <w:tcPr>
            <w:tcW w:type="dxa" w:w="4824"/>
            <w:shd w:fill="F8FAFC"/>
            <w:tcMar>
              <w:top w:w="50" w:type="dxa"/>
              <w:bottom w:w="50" w:type="dxa"/>
              <w:left w:w="50" w:type="dxa"/>
              <w:right w:w="50" w:type="dxa"/>
            </w:tcMar>
          </w:tcPr>
          <w:p>
            <w:pPr>
              <w:spacing w:before="0" w:after="30" w:line="240" w:lineRule="auto"/>
            </w:pPr>
            <w:r/>
            <w:r>
              <w:rPr>
                <w:rFonts w:ascii="Times New Roman" w:hAnsi="Times New Roman"/>
                <w:sz w:val="14"/>
              </w:rPr>
              <w:t>1: Require: Topology G(t), features X_V(t), history H_W, demands F_M(t), past placement u_m(t-1)</w:t>
            </w:r>
          </w:p>
          <w:p>
            <w:pPr>
              <w:spacing w:before="0" w:after="30" w:line="240" w:lineRule="auto"/>
            </w:pPr>
            <w:r>
              <w:rPr>
                <w:rFonts w:ascii="Times New Roman" w:hAnsi="Times New Roman"/>
                <w:sz w:val="14"/>
              </w:rPr>
              <w:t>2: Ensure: Feasible placement vector a_t ∈ {1, ..., C_max}^{M_max}</w:t>
            </w:r>
          </w:p>
          <w:p>
            <w:pPr>
              <w:spacing w:before="0" w:after="30" w:line="240" w:lineRule="auto"/>
            </w:pPr>
            <w:r>
              <w:rPr>
                <w:rFonts w:ascii="Times New Roman" w:hAnsi="Times New Roman"/>
                <w:sz w:val="14"/>
              </w:rPr>
              <w:t>3: Precompute normalized adjacency Ã via Eq. (9)</w:t>
            </w:r>
          </w:p>
          <w:p>
            <w:pPr>
              <w:spacing w:before="0" w:after="30" w:line="240" w:lineRule="auto"/>
            </w:pPr>
            <w:r>
              <w:rPr>
                <w:rFonts w:ascii="Times New Roman" w:hAnsi="Times New Roman"/>
                <w:sz w:val="14"/>
              </w:rPr>
              <w:t>4: Z_V ← TGNN-Encoder(X_V, Ã, H_W);  Z_M ← CNF-MLP(F_M)</w:t>
            </w:r>
          </w:p>
          <w:p>
            <w:pPr>
              <w:spacing w:before="0" w:after="30" w:line="240" w:lineRule="auto"/>
            </w:pPr>
            <w:r>
              <w:rPr>
                <w:rFonts w:ascii="Times New Roman" w:hAnsi="Times New Roman"/>
                <w:sz w:val="14"/>
              </w:rPr>
              <w:t>5: π^order ← SFC-PrioritySort(T_h)  // Tightest SLA latency first</w:t>
            </w:r>
          </w:p>
          <w:p>
            <w:pPr>
              <w:spacing w:before="0" w:after="30" w:line="240" w:lineRule="auto"/>
            </w:pPr>
            <w:r>
              <w:rPr>
                <w:rFonts w:ascii="Times New Roman" w:hAnsi="Times New Roman"/>
                <w:sz w:val="14"/>
              </w:rPr>
              <w:t>6: Initialize residual capacities: r_i^res ← r_i(t), ∀ i ∈ V(t)</w:t>
            </w:r>
          </w:p>
          <w:p>
            <w:pPr>
              <w:spacing w:before="0" w:after="30" w:line="240" w:lineRule="auto"/>
            </w:pPr>
            <w:r>
              <w:rPr>
                <w:rFonts w:ascii="Times New Roman" w:hAnsi="Times New Roman"/>
                <w:sz w:val="14"/>
              </w:rPr>
              <w:t>7: for k = 1 to M_max do</w:t>
            </w:r>
          </w:p>
          <w:p>
            <w:pPr>
              <w:spacing w:before="0" w:after="30" w:line="240" w:lineRule="auto"/>
            </w:pPr>
            <w:r>
              <w:rPr>
                <w:rFonts w:ascii="Times New Roman" w:hAnsi="Times New Roman"/>
                <w:sz w:val="14"/>
              </w:rPr>
              <w:t>8:     m ← π_k^order</w:t>
            </w:r>
          </w:p>
          <w:p>
            <w:pPr>
              <w:spacing w:before="0" w:after="30" w:line="240" w:lineRule="auto"/>
            </w:pPr>
            <w:r>
              <w:rPr>
                <w:rFonts w:ascii="Times New Roman" w:hAnsi="Times New Roman"/>
                <w:sz w:val="14"/>
              </w:rPr>
              <w:t>9:     if m &gt; M(t) then a_m ← 0; continue  // Padding slot</w:t>
            </w:r>
          </w:p>
          <w:p>
            <w:pPr>
              <w:spacing w:before="0" w:after="30" w:line="240" w:lineRule="auto"/>
            </w:pPr>
            <w:r>
              <w:rPr>
                <w:rFonts w:ascii="Times New Roman" w:hAnsi="Times New Roman"/>
                <w:sz w:val="14"/>
              </w:rPr>
              <w:t>10:    c_m ← CrossAttn(Z_{M,m}, Z_V)</w:t>
            </w:r>
          </w:p>
          <w:p>
            <w:pPr>
              <w:spacing w:before="0" w:after="30" w:line="240" w:lineRule="auto"/>
            </w:pPr>
            <w:r>
              <w:rPr>
                <w:rFonts w:ascii="Times New Roman" w:hAnsi="Times New Roman"/>
                <w:sz w:val="14"/>
              </w:rPr>
              <w:t>11:    Compute raw logits ℓ_{m,i} via Eq. (16), ∀ i ∈ V(t)</w:t>
            </w:r>
          </w:p>
          <w:p>
            <w:pPr>
              <w:spacing w:before="0" w:after="30" w:line="240" w:lineRule="auto"/>
            </w:pPr>
            <w:r>
              <w:rPr>
                <w:rFonts w:ascii="Times New Roman" w:hAnsi="Times New Roman"/>
                <w:sz w:val="14"/>
              </w:rPr>
              <w:t>12:    Evaluate dynamic capacity mask M_{m,i}(k) via Eq. (17)</w:t>
            </w:r>
          </w:p>
          <w:p>
            <w:pPr>
              <w:spacing w:before="0" w:after="30" w:line="240" w:lineRule="auto"/>
            </w:pPr>
            <w:r>
              <w:rPr>
                <w:rFonts w:ascii="Times New Roman" w:hAnsi="Times New Roman"/>
                <w:sz w:val="14"/>
              </w:rPr>
              <w:t>13:    Apply logit mask: ℓ̃_{m,i} ← ℓ_{m,i} + log(M_{m,i}(k))</w:t>
            </w:r>
          </w:p>
          <w:p>
            <w:pPr>
              <w:spacing w:before="0" w:after="30" w:line="240" w:lineRule="auto"/>
            </w:pPr>
            <w:r>
              <w:rPr>
                <w:rFonts w:ascii="Times New Roman" w:hAnsi="Times New Roman"/>
                <w:sz w:val="14"/>
              </w:rPr>
              <w:t>14:    P(a_m | s_t) ← Softmax(ℓ̃_m);  a_m ← argmax_i P(a_m = i)</w:t>
            </w:r>
          </w:p>
          <w:p>
            <w:pPr>
              <w:spacing w:before="0" w:after="30" w:line="240" w:lineRule="auto"/>
            </w:pPr>
            <w:r>
              <w:rPr>
                <w:rFonts w:ascii="Times New Roman" w:hAnsi="Times New Roman"/>
                <w:sz w:val="14"/>
              </w:rPr>
              <w:t>15:    Update residual capacity: r_{a_m}^res ← r_{a_m}^res - d_m</w:t>
            </w:r>
          </w:p>
          <w:p>
            <w:pPr>
              <w:spacing w:before="0" w:after="30" w:line="240" w:lineRule="auto"/>
            </w:pPr>
            <w:r>
              <w:rPr>
                <w:rFonts w:ascii="Times New Roman" w:hAnsi="Times New Roman"/>
                <w:sz w:val="14"/>
              </w:rPr>
              <w:t>16: end for</w:t>
            </w:r>
          </w:p>
          <w:p>
            <w:pPr>
              <w:spacing w:before="0" w:after="30" w:line="240" w:lineRule="auto"/>
            </w:pPr>
            <w:r>
              <w:rPr>
                <w:rFonts w:ascii="Times New Roman" w:hAnsi="Times New Roman"/>
                <w:sz w:val="14"/>
              </w:rPr>
              <w:t>17: Compute state migration penalty Φ_m^mig for all relocated CNFs (u_m ≠ a_m)</w:t>
            </w:r>
          </w:p>
          <w:p>
            <w:pPr>
              <w:spacing w:before="0" w:after="30" w:line="240" w:lineRule="auto"/>
            </w:pPr>
            <w:r>
              <w:rPr>
                <w:rFonts w:ascii="Times New Roman" w:hAnsi="Times New Roman"/>
                <w:sz w:val="14"/>
              </w:rPr>
              <w:t>18: return Placement vector a_t</w:t>
            </w:r>
          </w:p>
        </w:tc>
      </w:tr>
    </w:tbl>
    <w:p>
      <w:pPr>
        <w:spacing w:after="120"/>
      </w:pPr>
    </w:p>
    <w:p>
      <w:pPr>
        <w:keepNext/>
        <w:spacing w:before="280" w:after="80"/>
        <w:jc w:val="center"/>
      </w:pPr>
      <w:r>
        <w:rPr>
          <w:rFonts w:ascii="Times New Roman" w:hAnsi="Times New Roman"/>
          <w:b/>
          <w:color w:val="0F172A"/>
          <w:sz w:val="20"/>
        </w:rPr>
        <w:t>V. SYSTEM DESIGN &amp; IMPLEMENTATION</w:t>
      </w:r>
    </w:p>
    <w:p>
      <w:pPr>
        <w:spacing w:before="0" w:after="90" w:line="264" w:lineRule="auto"/>
        <w:ind w:firstLine="259"/>
        <w:jc w:val="both"/>
      </w:pPr>
      <w:r>
        <w:rPr>
          <w:rFonts w:ascii="Times New Roman" w:hAnsi="Times New Roman"/>
          <w:sz w:val="19"/>
        </w:rPr>
        <w:t>The end-to-end framework is developed in Python 3.10 utilizing PyTorch 2.0 and PyTorch Geometric (PyG 2.3). The architecture is structured with clean modular separation between simulation environments, policy networks, and baseline optimization solvers.</w:t>
      </w:r>
    </w:p>
    <w:p>
      <w:pPr>
        <w:keepNext/>
        <w:spacing w:before="200" w:after="60"/>
        <w:jc w:val="left"/>
      </w:pPr>
      <w:r>
        <w:rPr>
          <w:rFonts w:ascii="Times New Roman" w:hAnsi="Times New Roman"/>
          <w:b/>
          <w:i/>
          <w:color w:val="1E293B"/>
          <w:sz w:val="19"/>
        </w:rPr>
        <w:t>A. Vectorized Simulation Engine</w:t>
      </w:r>
    </w:p>
    <w:p>
      <w:pPr>
        <w:spacing w:before="0" w:after="90" w:line="264" w:lineRule="auto"/>
        <w:ind w:firstLine="259"/>
        <w:jc w:val="both"/>
      </w:pPr>
      <w:r>
        <w:rPr>
          <w:rFonts w:ascii="Times New Roman" w:hAnsi="Times New Roman"/>
          <w:sz w:val="19"/>
        </w:rPr>
        <w:t>Physical infrastructure is generated using the 2D Waxman random network generator with parameters α_wax = 0.5 and β_wax = 0.5 [20]. Nodes are assigned coordinates in a unit square with link connection probability P(u, v) = α_wax · exp(-d(u,v) / (β_wax L_max)). All-pairs shortest propagation paths and routing tables are precomputed using the Floyd-Warshall algorithm via scipy.sparse.csgraph, completely eliminating online Dijkstra shortest-path overhead during training rollouts. Parallel simulation environments (VectorContinuumEnv) execute across 16 to 32 parallel worker processes to saturate GPU tensor execution pipelines.</w:t>
      </w:r>
    </w:p>
    <w:p>
      <w:pPr>
        <w:keepNext/>
        <w:spacing w:before="200" w:after="60"/>
        <w:jc w:val="left"/>
      </w:pPr>
      <w:r>
        <w:rPr>
          <w:rFonts w:ascii="Times New Roman" w:hAnsi="Times New Roman"/>
          <w:b/>
          <w:i/>
          <w:color w:val="1E293B"/>
          <w:sz w:val="19"/>
        </w:rPr>
        <w:t>B. Static GPU Memory Layout and Padding</w:t>
      </w:r>
    </w:p>
    <w:p>
      <w:pPr>
        <w:spacing w:before="0" w:after="90" w:line="264" w:lineRule="auto"/>
        <w:ind w:firstLine="259"/>
        <w:jc w:val="both"/>
      </w:pPr>
      <w:r>
        <w:rPr>
          <w:rFonts w:ascii="Times New Roman" w:hAnsi="Times New Roman"/>
          <w:sz w:val="19"/>
        </w:rPr>
        <w:t>Because active graph sizes and SFC counts vary dynamically, variable tensor allocation would induce GPU memory fragmentation and preclude PyTorch JIT graph compilation. We implement a frozen static dimension layout: C_max = 50 nodes, M_max = 150 CNFs, H_max = 30 SFCs, and sliding window W = 5 steps. Active elements occupy leading tensor indices, while unused slots are zero-padded. Action masks set the logits of all padding slots to -10^4, guaranteeing they never receive gradient updates or consume compute resources.</w:t>
      </w:r>
    </w:p>
    <w:p>
      <w:pPr>
        <w:keepNext/>
        <w:spacing w:before="200" w:after="60"/>
        <w:jc w:val="left"/>
      </w:pPr>
      <w:r>
        <w:rPr>
          <w:rFonts w:ascii="Times New Roman" w:hAnsi="Times New Roman"/>
          <w:b/>
          <w:i/>
          <w:color w:val="1E293B"/>
          <w:sz w:val="19"/>
        </w:rPr>
        <w:t>C. Kubernetes Cluster API Integration Boundary</w:t>
      </w:r>
    </w:p>
    <w:p>
      <w:pPr>
        <w:spacing w:before="0" w:after="90" w:line="264" w:lineRule="auto"/>
        <w:ind w:firstLine="259"/>
        <w:jc w:val="both"/>
      </w:pPr>
      <w:r>
        <w:rPr>
          <w:rFonts w:ascii="Times New Roman" w:hAnsi="Times New Roman"/>
          <w:sz w:val="19"/>
        </w:rPr>
        <w:t>To demonstrate practical deployability beyond simulation, the repository provides a dry-run Kubernetes client interface. Discrete placement decisions a_t are translated into production-grade Kubernetes Pod YAML specifications with explicit nodeSelector rules and resource request/limit boundaries (resources.limits.cpu, resources.limits.memory). The interface validates generated manifests against official Kubernetes OpenAPI schemas without affecting live cluster state.</w:t>
      </w:r>
    </w:p>
    <w:p>
      <w:pPr>
        <w:keepNext/>
        <w:spacing w:before="280" w:after="80"/>
        <w:jc w:val="center"/>
      </w:pPr>
      <w:r>
        <w:rPr>
          <w:rFonts w:ascii="Times New Roman" w:hAnsi="Times New Roman"/>
          <w:b/>
          <w:color w:val="0F172A"/>
          <w:sz w:val="20"/>
        </w:rPr>
        <w:t>VI. EVALUATION SETUP</w:t>
      </w:r>
    </w:p>
    <w:p>
      <w:pPr>
        <w:spacing w:before="0" w:after="90" w:line="264" w:lineRule="auto"/>
        <w:ind w:firstLine="259"/>
        <w:jc w:val="both"/>
      </w:pPr>
      <w:r>
        <w:rPr>
          <w:rFonts w:ascii="Times New Roman" w:hAnsi="Times New Roman"/>
          <w:sz w:val="19"/>
        </w:rPr>
        <w:t>We evaluate TGNN-NCO through a comprehensive benchmarking suite designed to evaluate feasibility, optimality gap, inference speed, and robustness across non-stationary continuum environments.</w:t>
      </w:r>
    </w:p>
    <w:p>
      <w:pPr>
        <w:keepNext/>
        <w:spacing w:before="200" w:after="60"/>
        <w:jc w:val="left"/>
      </w:pPr>
      <w:r>
        <w:rPr>
          <w:rFonts w:ascii="Times New Roman" w:hAnsi="Times New Roman"/>
          <w:b/>
          <w:i/>
          <w:color w:val="1E293B"/>
          <w:sz w:val="19"/>
        </w:rPr>
        <w:t>A. Controlled Exogenous Stress Scenarios</w:t>
      </w:r>
    </w:p>
    <w:p>
      <w:pPr>
        <w:spacing w:before="0" w:after="90" w:line="264" w:lineRule="auto"/>
        <w:ind w:firstLine="259"/>
        <w:jc w:val="both"/>
      </w:pPr>
      <w:r>
        <w:rPr>
          <w:rFonts w:ascii="Times New Roman" w:hAnsi="Times New Roman"/>
          <w:sz w:val="19"/>
        </w:rPr>
        <w:t>Using ExogenousTraceGenerator with deterministic random seeds, we evaluate performance across six controlled temporal stress regimes:</w:t>
      </w:r>
    </w:p>
    <w:p>
      <w:pPr>
        <w:spacing w:before="0" w:after="70" w:line="259" w:lineRule="auto"/>
        <w:ind w:left="288" w:hanging="288"/>
        <w:jc w:val="both"/>
      </w:pPr>
      <w:r>
        <w:rPr>
          <w:rFonts w:ascii="Times New Roman" w:hAnsi="Times New Roman"/>
          <w:b/>
          <w:sz w:val="19"/>
        </w:rPr>
        <w:t xml:space="preserve">1) </w:t>
      </w:r>
      <w:r>
        <w:rPr>
          <w:rFonts w:ascii="Times New Roman" w:hAnsi="Times New Roman"/>
          <w:b/>
          <w:sz w:val="19"/>
        </w:rPr>
        <w:t xml:space="preserve">Scenario A (Stable Nominal): </w:t>
      </w:r>
      <w:r>
        <w:rPr>
          <w:rFonts w:ascii="Times New Roman" w:hAnsi="Times New Roman"/>
          <w:sz w:val="19"/>
        </w:rPr>
        <w:t>Nominal background traffic governed by standard OU drift (σ_cpu=2.0, σ_ram=5.0).</w:t>
      </w:r>
    </w:p>
    <w:p>
      <w:pPr>
        <w:spacing w:before="0" w:after="70" w:line="259" w:lineRule="auto"/>
        <w:ind w:left="288" w:hanging="288"/>
        <w:jc w:val="both"/>
      </w:pPr>
      <w:r>
        <w:rPr>
          <w:rFonts w:ascii="Times New Roman" w:hAnsi="Times New Roman"/>
          <w:b/>
          <w:sz w:val="19"/>
        </w:rPr>
        <w:t xml:space="preserve">2) </w:t>
      </w:r>
      <w:r>
        <w:rPr>
          <w:rFonts w:ascii="Times New Roman" w:hAnsi="Times New Roman"/>
          <w:b/>
          <w:sz w:val="19"/>
        </w:rPr>
        <w:t xml:space="preserve">Scenario B (Traffic Surge Burst): </w:t>
      </w:r>
      <w:r>
        <w:rPr>
          <w:rFonts w:ascii="Times New Roman" w:hAnsi="Times New Roman"/>
          <w:sz w:val="19"/>
        </w:rPr>
        <w:t>Abrupt 2.5× surge in inter-CNF flow data rates and 50% link bandwidth contraction.</w:t>
      </w:r>
    </w:p>
    <w:p>
      <w:pPr>
        <w:spacing w:before="0" w:after="70" w:line="259" w:lineRule="auto"/>
        <w:ind w:left="288" w:hanging="288"/>
        <w:jc w:val="both"/>
      </w:pPr>
      <w:r>
        <w:rPr>
          <w:rFonts w:ascii="Times New Roman" w:hAnsi="Times New Roman"/>
          <w:b/>
          <w:sz w:val="19"/>
        </w:rPr>
        <w:t xml:space="preserve">3) </w:t>
      </w:r>
      <w:r>
        <w:rPr>
          <w:rFonts w:ascii="Times New Roman" w:hAnsi="Times New Roman"/>
          <w:b/>
          <w:sz w:val="19"/>
        </w:rPr>
        <w:t xml:space="preserve">Scenario C (Node Failure Stress): </w:t>
      </w:r>
      <w:r>
        <w:rPr>
          <w:rFonts w:ascii="Times New Roman" w:hAnsi="Times New Roman"/>
          <w:sz w:val="19"/>
        </w:rPr>
        <w:t>Elevated node failure rate (p_fail = 0.05), triggering forced container relocations.</w:t>
      </w:r>
    </w:p>
    <w:p>
      <w:pPr>
        <w:spacing w:before="0" w:after="70" w:line="259" w:lineRule="auto"/>
        <w:ind w:left="288" w:hanging="288"/>
        <w:jc w:val="both"/>
      </w:pPr>
      <w:r>
        <w:rPr>
          <w:rFonts w:ascii="Times New Roman" w:hAnsi="Times New Roman"/>
          <w:b/>
          <w:sz w:val="19"/>
        </w:rPr>
        <w:t xml:space="preserve">4) </w:t>
      </w:r>
      <w:r>
        <w:rPr>
          <w:rFonts w:ascii="Times New Roman" w:hAnsi="Times New Roman"/>
          <w:b/>
          <w:sz w:val="19"/>
        </w:rPr>
        <w:t xml:space="preserve">Scenario D (Link Delay Degradation): </w:t>
      </w:r>
      <w:r>
        <w:rPr>
          <w:rFonts w:ascii="Times New Roman" w:hAnsi="Times New Roman"/>
          <w:sz w:val="19"/>
        </w:rPr>
        <w:t>Physical link latencies escalate 2× across the entire continuum.</w:t>
      </w:r>
    </w:p>
    <w:p>
      <w:pPr>
        <w:spacing w:before="0" w:after="70" w:line="259" w:lineRule="auto"/>
        <w:ind w:left="288" w:hanging="288"/>
        <w:jc w:val="both"/>
      </w:pPr>
      <w:r>
        <w:rPr>
          <w:rFonts w:ascii="Times New Roman" w:hAnsi="Times New Roman"/>
          <w:b/>
          <w:sz w:val="19"/>
        </w:rPr>
        <w:t xml:space="preserve">5) </w:t>
      </w:r>
      <w:r>
        <w:rPr>
          <w:rFonts w:ascii="Times New Roman" w:hAnsi="Times New Roman"/>
          <w:b/>
          <w:sz w:val="19"/>
        </w:rPr>
        <w:t xml:space="preserve">Scenario E (High Workload Churn): </w:t>
      </w:r>
      <w:r>
        <w:rPr>
          <w:rFonts w:ascii="Times New Roman" w:hAnsi="Times New Roman"/>
          <w:sz w:val="19"/>
        </w:rPr>
        <w:t>SFC arrival rate accelerates to p_arr = 0.50 with reduced lifetimes (TTL ∈ [5, 15]).</w:t>
      </w:r>
    </w:p>
    <w:p>
      <w:pPr>
        <w:spacing w:before="0" w:after="70" w:line="259" w:lineRule="auto"/>
        <w:ind w:left="288" w:hanging="288"/>
        <w:jc w:val="both"/>
      </w:pPr>
      <w:r>
        <w:rPr>
          <w:rFonts w:ascii="Times New Roman" w:hAnsi="Times New Roman"/>
          <w:b/>
          <w:sz w:val="19"/>
        </w:rPr>
        <w:t xml:space="preserve">6) </w:t>
      </w:r>
      <w:r>
        <w:rPr>
          <w:rFonts w:ascii="Times New Roman" w:hAnsi="Times New Roman"/>
          <w:b/>
          <w:sz w:val="19"/>
        </w:rPr>
        <w:t xml:space="preserve">Scenario F (Recovery &amp; Stabilization): </w:t>
      </w:r>
      <w:r>
        <w:rPr>
          <w:rFonts w:ascii="Times New Roman" w:hAnsi="Times New Roman"/>
          <w:sz w:val="19"/>
        </w:rPr>
        <w:t>Degraded nodes and severed links recover dynamically mid-episode.</w:t>
      </w:r>
    </w:p>
    <w:p>
      <w:pPr>
        <w:keepNext/>
        <w:spacing w:before="200" w:after="60"/>
        <w:jc w:val="left"/>
      </w:pPr>
      <w:r>
        <w:rPr>
          <w:rFonts w:ascii="Times New Roman" w:hAnsi="Times New Roman"/>
          <w:b/>
          <w:i/>
          <w:color w:val="1E293B"/>
          <w:sz w:val="19"/>
        </w:rPr>
        <w:t>B. Baseline Solvers</w:t>
      </w:r>
    </w:p>
    <w:p>
      <w:pPr>
        <w:spacing w:before="0" w:after="90" w:line="264" w:lineRule="auto"/>
        <w:ind w:firstLine="259"/>
        <w:jc w:val="both"/>
      </w:pPr>
      <w:r>
        <w:rPr>
          <w:rFonts w:ascii="Times New Roman" w:hAnsi="Times New Roman"/>
          <w:sz w:val="19"/>
        </w:rPr>
        <w:t>TGNN-NCO is benchmarked against six competing algorithmic approaches: (1) Exact MINLP Solver formulated in GEKKO [10] with the APOPT solver (evaluated on C ≤ 15, M ≤ 30 instances with a 60-second timeout); (2) GreedyFFD heuristic, which sorts CNFs by CPU demand and places each on the first node satisfying capacity; (3) GreedyLatencyAware heuristic, which maps chain hops along shortest propagation delay paths; (4) Static-GNN ablation, which employs identical spatial convolutions but omits temporal recurrence (W=1); (5) Flat-RL ablation, which trains a standard PPO policy on flattened feature vectors without graph convolutions; and (6) No-Mask ablation, which trains TGNN-NCO without action masking, relying exclusively on scalar reward penalties to learn feasibility.</w:t>
      </w:r>
    </w:p>
    <w:p>
      <w:pPr>
        <w:keepNext/>
        <w:spacing w:before="280" w:after="80"/>
        <w:jc w:val="center"/>
      </w:pPr>
      <w:r>
        <w:rPr>
          <w:rFonts w:ascii="Times New Roman" w:hAnsi="Times New Roman"/>
          <w:b/>
          <w:color w:val="0F172A"/>
          <w:sz w:val="20"/>
        </w:rPr>
        <w:t>VII. RESULTS &amp; EMPIRICAL ANALYSIS</w:t>
      </w:r>
    </w:p>
    <w:p>
      <w:pPr>
        <w:spacing w:before="0" w:after="90" w:line="264" w:lineRule="auto"/>
        <w:ind w:firstLine="259"/>
        <w:jc w:val="both"/>
      </w:pPr>
      <w:r>
        <w:rPr>
          <w:rFonts w:ascii="Times New Roman" w:hAnsi="Times New Roman"/>
          <w:sz w:val="19"/>
        </w:rPr>
        <w:t>Table III summarizes empirical benchmark results across 500 independent evaluation episodes (T=100 steps/episode) in nominal in-distribution environments. TGNN-NCO achieves a 98.5% feasibility rate with a mean deployment cost of $15.35 and an average inference latency of only 2.40 ms.</w:t>
      </w:r>
    </w:p>
    <w:p>
      <w:pPr>
        <w:keepNext/>
        <w:spacing w:before="160" w:after="60"/>
        <w:jc w:val="center"/>
      </w:pPr>
      <w:r>
        <w:rPr>
          <w:rFonts w:ascii="Times New Roman" w:hAnsi="Times New Roman"/>
          <w:b/>
          <w:sz w:val="17"/>
        </w:rPr>
        <w:t>TABLE III: Comprehensive In-Distribution Benchmark Performance (500 Episodes)</w:t>
      </w:r>
    </w:p>
    <w:tbl>
      <w:tblPr>
        <w:tblW w:type="auto" w:w="0"/>
        <w:jc w:val="center"/>
        <w:tblLayout w:type="fixed"/>
        <w:tblLook w:firstColumn="1" w:firstRow="1" w:lastColumn="0" w:lastRow="0" w:noHBand="0" w:noVBand="1" w:val="04A0"/>
        <w:tblBorders>
          <w:top w:val="single" w:sz="8" w:space="0" w:color="111827"/>
          <w:bottom w:val="single" w:sz="8" w:space="0" w:color="111827"/>
          <w:insideH w:val="single" w:sz="4" w:space="0" w:color="D1D5DB"/>
          <w:insideV w:val="none"/>
          <w:left w:val="none"/>
          <w:right w:val="none"/>
        </w:tblBorders>
      </w:tblPr>
      <w:tblGrid>
        <w:gridCol w:w="1728"/>
        <w:gridCol w:w="1728"/>
        <w:gridCol w:w="1728"/>
        <w:gridCol w:w="1728"/>
        <w:gridCol w:w="1728"/>
        <w:gridCol w:w="1728"/>
      </w:tblGrid>
      <w:tr>
        <w:tc>
          <w:tcPr>
            <w:tcW w:type="dxa" w:w="1440"/>
            <w:shd w:fill="E2E8F0"/>
            <w:tcMar>
              <w:top w:w="35" w:type="dxa"/>
              <w:bottom w:w="35" w:type="dxa"/>
              <w:left w:w="25" w:type="dxa"/>
              <w:right w:w="25" w:type="dxa"/>
            </w:tcMar>
          </w:tcPr>
          <w:p>
            <w:r>
              <w:rPr>
                <w:rFonts w:ascii="Times New Roman" w:hAnsi="Times New Roman"/>
                <w:b/>
                <w:sz w:val="15"/>
              </w:rPr>
              <w:t>Algorithm</w:t>
            </w:r>
          </w:p>
        </w:tc>
        <w:tc>
          <w:tcPr>
            <w:tcW w:type="dxa" w:w="691"/>
            <w:shd w:fill="E2E8F0"/>
            <w:tcMar>
              <w:top w:w="35" w:type="dxa"/>
              <w:bottom w:w="35" w:type="dxa"/>
              <w:left w:w="25" w:type="dxa"/>
              <w:right w:w="25" w:type="dxa"/>
            </w:tcMar>
          </w:tcPr>
          <w:p>
            <w:r>
              <w:rPr>
                <w:rFonts w:ascii="Times New Roman" w:hAnsi="Times New Roman"/>
                <w:b/>
                <w:sz w:val="15"/>
              </w:rPr>
              <w:t>Feas (%)</w:t>
            </w:r>
          </w:p>
        </w:tc>
        <w:tc>
          <w:tcPr>
            <w:tcW w:type="dxa" w:w="691"/>
            <w:shd w:fill="E2E8F0"/>
            <w:tcMar>
              <w:top w:w="35" w:type="dxa"/>
              <w:bottom w:w="35" w:type="dxa"/>
              <w:left w:w="25" w:type="dxa"/>
              <w:right w:w="25" w:type="dxa"/>
            </w:tcMar>
          </w:tcPr>
          <w:p>
            <w:r>
              <w:rPr>
                <w:rFonts w:ascii="Times New Roman" w:hAnsi="Times New Roman"/>
                <w:b/>
                <w:sz w:val="15"/>
              </w:rPr>
              <w:t>Cost ($)</w:t>
            </w:r>
          </w:p>
        </w:tc>
        <w:tc>
          <w:tcPr>
            <w:tcW w:type="dxa" w:w="691"/>
            <w:shd w:fill="E2E8F0"/>
            <w:tcMar>
              <w:top w:w="35" w:type="dxa"/>
              <w:bottom w:w="35" w:type="dxa"/>
              <w:left w:w="25" w:type="dxa"/>
              <w:right w:w="25" w:type="dxa"/>
            </w:tcMar>
          </w:tcPr>
          <w:p>
            <w:r>
              <w:rPr>
                <w:rFonts w:ascii="Times New Roman" w:hAnsi="Times New Roman"/>
                <w:b/>
                <w:sz w:val="15"/>
              </w:rPr>
              <w:t>E2E Lat</w:t>
            </w:r>
          </w:p>
        </w:tc>
        <w:tc>
          <w:tcPr>
            <w:tcW w:type="dxa" w:w="648"/>
            <w:shd w:fill="E2E8F0"/>
            <w:tcMar>
              <w:top w:w="35" w:type="dxa"/>
              <w:bottom w:w="35" w:type="dxa"/>
              <w:left w:w="25" w:type="dxa"/>
              <w:right w:w="25" w:type="dxa"/>
            </w:tcMar>
          </w:tcPr>
          <w:p>
            <w:r>
              <w:rPr>
                <w:rFonts w:ascii="Times New Roman" w:hAnsi="Times New Roman"/>
                <w:b/>
                <w:sz w:val="15"/>
              </w:rPr>
              <w:t>Opt Gap</w:t>
            </w:r>
          </w:p>
        </w:tc>
        <w:tc>
          <w:tcPr>
            <w:tcW w:type="dxa" w:w="662"/>
            <w:shd w:fill="E2E8F0"/>
            <w:tcMar>
              <w:top w:w="35" w:type="dxa"/>
              <w:bottom w:w="35" w:type="dxa"/>
              <w:left w:w="25" w:type="dxa"/>
              <w:right w:w="25" w:type="dxa"/>
            </w:tcMar>
          </w:tcPr>
          <w:p>
            <w:r>
              <w:rPr>
                <w:rFonts w:ascii="Times New Roman" w:hAnsi="Times New Roman"/>
                <w:b/>
                <w:sz w:val="15"/>
              </w:rPr>
              <w:t>Time</w:t>
            </w:r>
          </w:p>
        </w:tc>
      </w:tr>
      <w:tr>
        <w:tc>
          <w:tcPr>
            <w:tcW w:type="dxa" w:w="1440"/>
            <w:tcMar>
              <w:top w:w="25" w:type="dxa"/>
              <w:bottom w:w="25" w:type="dxa"/>
              <w:left w:w="25" w:type="dxa"/>
              <w:right w:w="25" w:type="dxa"/>
            </w:tcMar>
          </w:tcPr>
          <w:p>
            <w:r>
              <w:rPr>
                <w:rFonts w:ascii="Times New Roman" w:hAnsi="Times New Roman"/>
                <w:sz w:val="14"/>
              </w:rPr>
              <w:t>Exact MINLP [10]</w:t>
            </w:r>
          </w:p>
        </w:tc>
        <w:tc>
          <w:tcPr>
            <w:tcW w:type="dxa" w:w="691"/>
            <w:tcMar>
              <w:top w:w="25" w:type="dxa"/>
              <w:bottom w:w="25" w:type="dxa"/>
              <w:left w:w="25" w:type="dxa"/>
              <w:right w:w="25" w:type="dxa"/>
            </w:tcMar>
          </w:tcPr>
          <w:p>
            <w:r>
              <w:rPr>
                <w:rFonts w:ascii="Times New Roman" w:hAnsi="Times New Roman"/>
                <w:sz w:val="14"/>
              </w:rPr>
              <w:t>100.0%</w:t>
            </w:r>
          </w:p>
        </w:tc>
        <w:tc>
          <w:tcPr>
            <w:tcW w:type="dxa" w:w="691"/>
            <w:tcMar>
              <w:top w:w="25" w:type="dxa"/>
              <w:bottom w:w="25" w:type="dxa"/>
              <w:left w:w="25" w:type="dxa"/>
              <w:right w:w="25" w:type="dxa"/>
            </w:tcMar>
          </w:tcPr>
          <w:p>
            <w:r>
              <w:rPr>
                <w:rFonts w:ascii="Times New Roman" w:hAnsi="Times New Roman"/>
                <w:sz w:val="14"/>
              </w:rPr>
              <w:t>14.82</w:t>
            </w:r>
          </w:p>
        </w:tc>
        <w:tc>
          <w:tcPr>
            <w:tcW w:type="dxa" w:w="691"/>
            <w:tcMar>
              <w:top w:w="25" w:type="dxa"/>
              <w:bottom w:w="25" w:type="dxa"/>
              <w:left w:w="25" w:type="dxa"/>
              <w:right w:w="25" w:type="dxa"/>
            </w:tcMar>
          </w:tcPr>
          <w:p>
            <w:r>
              <w:rPr>
                <w:rFonts w:ascii="Times New Roman" w:hAnsi="Times New Roman"/>
                <w:sz w:val="14"/>
              </w:rPr>
              <w:t>42.1 ms</w:t>
            </w:r>
          </w:p>
        </w:tc>
        <w:tc>
          <w:tcPr>
            <w:tcW w:type="dxa" w:w="648"/>
            <w:tcMar>
              <w:top w:w="25" w:type="dxa"/>
              <w:bottom w:w="25" w:type="dxa"/>
              <w:left w:w="25" w:type="dxa"/>
              <w:right w:w="25" w:type="dxa"/>
            </w:tcMar>
          </w:tcPr>
          <w:p>
            <w:r>
              <w:rPr>
                <w:rFonts w:ascii="Times New Roman" w:hAnsi="Times New Roman"/>
                <w:sz w:val="14"/>
              </w:rPr>
              <w:t>0.0%</w:t>
            </w:r>
          </w:p>
        </w:tc>
        <w:tc>
          <w:tcPr>
            <w:tcW w:type="dxa" w:w="662"/>
            <w:tcMar>
              <w:top w:w="25" w:type="dxa"/>
              <w:bottom w:w="25" w:type="dxa"/>
              <w:left w:w="25" w:type="dxa"/>
              <w:right w:w="25" w:type="dxa"/>
            </w:tcMar>
          </w:tcPr>
          <w:p>
            <w:r>
              <w:rPr>
                <w:rFonts w:ascii="Times New Roman" w:hAnsi="Times New Roman"/>
                <w:sz w:val="14"/>
              </w:rPr>
              <w:t>5,000 ms*</w:t>
            </w:r>
          </w:p>
        </w:tc>
      </w:tr>
      <w:tr>
        <w:tc>
          <w:tcPr>
            <w:tcW w:type="dxa" w:w="1440"/>
            <w:shd w:fill="F8FAFC"/>
            <w:tcMar>
              <w:top w:w="25" w:type="dxa"/>
              <w:bottom w:w="25" w:type="dxa"/>
              <w:left w:w="25" w:type="dxa"/>
              <w:right w:w="25" w:type="dxa"/>
            </w:tcMar>
          </w:tcPr>
          <w:p>
            <w:r>
              <w:rPr>
                <w:rFonts w:ascii="Times New Roman" w:hAnsi="Times New Roman"/>
                <w:sz w:val="14"/>
              </w:rPr>
              <w:t>GreedyFFD</w:t>
            </w:r>
          </w:p>
        </w:tc>
        <w:tc>
          <w:tcPr>
            <w:tcW w:type="dxa" w:w="691"/>
            <w:shd w:fill="F8FAFC"/>
            <w:tcMar>
              <w:top w:w="25" w:type="dxa"/>
              <w:bottom w:w="25" w:type="dxa"/>
              <w:left w:w="25" w:type="dxa"/>
              <w:right w:w="25" w:type="dxa"/>
            </w:tcMar>
          </w:tcPr>
          <w:p>
            <w:r>
              <w:rPr>
                <w:rFonts w:ascii="Times New Roman" w:hAnsi="Times New Roman"/>
                <w:sz w:val="14"/>
              </w:rPr>
              <w:t>71.0%</w:t>
            </w:r>
          </w:p>
        </w:tc>
        <w:tc>
          <w:tcPr>
            <w:tcW w:type="dxa" w:w="691"/>
            <w:shd w:fill="F8FAFC"/>
            <w:tcMar>
              <w:top w:w="25" w:type="dxa"/>
              <w:bottom w:w="25" w:type="dxa"/>
              <w:left w:w="25" w:type="dxa"/>
              <w:right w:w="25" w:type="dxa"/>
            </w:tcMar>
          </w:tcPr>
          <w:p>
            <w:r>
              <w:rPr>
                <w:rFonts w:ascii="Times New Roman" w:hAnsi="Times New Roman"/>
                <w:sz w:val="14"/>
              </w:rPr>
              <w:t>22.45</w:t>
            </w:r>
          </w:p>
        </w:tc>
        <w:tc>
          <w:tcPr>
            <w:tcW w:type="dxa" w:w="691"/>
            <w:shd w:fill="F8FAFC"/>
            <w:tcMar>
              <w:top w:w="25" w:type="dxa"/>
              <w:bottom w:w="25" w:type="dxa"/>
              <w:left w:w="25" w:type="dxa"/>
              <w:right w:w="25" w:type="dxa"/>
            </w:tcMar>
          </w:tcPr>
          <w:p>
            <w:r>
              <w:rPr>
                <w:rFonts w:ascii="Times New Roman" w:hAnsi="Times New Roman"/>
                <w:sz w:val="14"/>
              </w:rPr>
              <w:t>88.6 ms</w:t>
            </w:r>
          </w:p>
        </w:tc>
        <w:tc>
          <w:tcPr>
            <w:tcW w:type="dxa" w:w="648"/>
            <w:shd w:fill="F8FAFC"/>
            <w:tcMar>
              <w:top w:w="25" w:type="dxa"/>
              <w:bottom w:w="25" w:type="dxa"/>
              <w:left w:w="25" w:type="dxa"/>
              <w:right w:w="25" w:type="dxa"/>
            </w:tcMar>
          </w:tcPr>
          <w:p>
            <w:r>
              <w:rPr>
                <w:rFonts w:ascii="Times New Roman" w:hAnsi="Times New Roman"/>
                <w:sz w:val="14"/>
              </w:rPr>
              <w:t>18.2%</w:t>
            </w:r>
          </w:p>
        </w:tc>
        <w:tc>
          <w:tcPr>
            <w:tcW w:type="dxa" w:w="662"/>
            <w:shd w:fill="F8FAFC"/>
            <w:tcMar>
              <w:top w:w="25" w:type="dxa"/>
              <w:bottom w:w="25" w:type="dxa"/>
              <w:left w:w="25" w:type="dxa"/>
              <w:right w:w="25" w:type="dxa"/>
            </w:tcMar>
          </w:tcPr>
          <w:p>
            <w:r>
              <w:rPr>
                <w:rFonts w:ascii="Times New Roman" w:hAnsi="Times New Roman"/>
                <w:sz w:val="14"/>
              </w:rPr>
              <w:t>0.85 ms</w:t>
            </w:r>
          </w:p>
        </w:tc>
      </w:tr>
      <w:tr>
        <w:tc>
          <w:tcPr>
            <w:tcW w:type="dxa" w:w="1440"/>
            <w:tcMar>
              <w:top w:w="25" w:type="dxa"/>
              <w:bottom w:w="25" w:type="dxa"/>
              <w:left w:w="25" w:type="dxa"/>
              <w:right w:w="25" w:type="dxa"/>
            </w:tcMar>
          </w:tcPr>
          <w:p>
            <w:r>
              <w:rPr>
                <w:rFonts w:ascii="Times New Roman" w:hAnsi="Times New Roman"/>
                <w:sz w:val="14"/>
              </w:rPr>
              <w:t>GreedyLatency</w:t>
            </w:r>
          </w:p>
        </w:tc>
        <w:tc>
          <w:tcPr>
            <w:tcW w:type="dxa" w:w="691"/>
            <w:tcMar>
              <w:top w:w="25" w:type="dxa"/>
              <w:bottom w:w="25" w:type="dxa"/>
              <w:left w:w="25" w:type="dxa"/>
              <w:right w:w="25" w:type="dxa"/>
            </w:tcMar>
          </w:tcPr>
          <w:p>
            <w:r>
              <w:rPr>
                <w:rFonts w:ascii="Times New Roman" w:hAnsi="Times New Roman"/>
                <w:sz w:val="14"/>
              </w:rPr>
              <w:t>78.4%</w:t>
            </w:r>
          </w:p>
        </w:tc>
        <w:tc>
          <w:tcPr>
            <w:tcW w:type="dxa" w:w="691"/>
            <w:tcMar>
              <w:top w:w="25" w:type="dxa"/>
              <w:bottom w:w="25" w:type="dxa"/>
              <w:left w:w="25" w:type="dxa"/>
              <w:right w:w="25" w:type="dxa"/>
            </w:tcMar>
          </w:tcPr>
          <w:p>
            <w:r>
              <w:rPr>
                <w:rFonts w:ascii="Times New Roman" w:hAnsi="Times New Roman"/>
                <w:sz w:val="14"/>
              </w:rPr>
              <w:t>19.10</w:t>
            </w:r>
          </w:p>
        </w:tc>
        <w:tc>
          <w:tcPr>
            <w:tcW w:type="dxa" w:w="691"/>
            <w:tcMar>
              <w:top w:w="25" w:type="dxa"/>
              <w:bottom w:w="25" w:type="dxa"/>
              <w:left w:w="25" w:type="dxa"/>
              <w:right w:w="25" w:type="dxa"/>
            </w:tcMar>
          </w:tcPr>
          <w:p>
            <w:r>
              <w:rPr>
                <w:rFonts w:ascii="Times New Roman" w:hAnsi="Times New Roman"/>
                <w:sz w:val="14"/>
              </w:rPr>
              <w:t>51.3 ms</w:t>
            </w:r>
          </w:p>
        </w:tc>
        <w:tc>
          <w:tcPr>
            <w:tcW w:type="dxa" w:w="648"/>
            <w:tcMar>
              <w:top w:w="25" w:type="dxa"/>
              <w:bottom w:w="25" w:type="dxa"/>
              <w:left w:w="25" w:type="dxa"/>
              <w:right w:w="25" w:type="dxa"/>
            </w:tcMar>
          </w:tcPr>
          <w:p>
            <w:r>
              <w:rPr>
                <w:rFonts w:ascii="Times New Roman" w:hAnsi="Times New Roman"/>
                <w:sz w:val="14"/>
              </w:rPr>
              <w:t>12.6%</w:t>
            </w:r>
          </w:p>
        </w:tc>
        <w:tc>
          <w:tcPr>
            <w:tcW w:type="dxa" w:w="662"/>
            <w:tcMar>
              <w:top w:w="25" w:type="dxa"/>
              <w:bottom w:w="25" w:type="dxa"/>
              <w:left w:w="25" w:type="dxa"/>
              <w:right w:w="25" w:type="dxa"/>
            </w:tcMar>
          </w:tcPr>
          <w:p>
            <w:r>
              <w:rPr>
                <w:rFonts w:ascii="Times New Roman" w:hAnsi="Times New Roman"/>
                <w:sz w:val="14"/>
              </w:rPr>
              <w:t>197.4 ms</w:t>
            </w:r>
          </w:p>
        </w:tc>
      </w:tr>
      <w:tr>
        <w:tc>
          <w:tcPr>
            <w:tcW w:type="dxa" w:w="1440"/>
            <w:shd w:fill="F8FAFC"/>
            <w:tcMar>
              <w:top w:w="25" w:type="dxa"/>
              <w:bottom w:w="25" w:type="dxa"/>
              <w:left w:w="25" w:type="dxa"/>
              <w:right w:w="25" w:type="dxa"/>
            </w:tcMar>
          </w:tcPr>
          <w:p>
            <w:r>
              <w:rPr>
                <w:rFonts w:ascii="Times New Roman" w:hAnsi="Times New Roman"/>
                <w:sz w:val="14"/>
              </w:rPr>
              <w:t>Flat-RL (No GNN)</w:t>
            </w:r>
          </w:p>
        </w:tc>
        <w:tc>
          <w:tcPr>
            <w:tcW w:type="dxa" w:w="691"/>
            <w:shd w:fill="F8FAFC"/>
            <w:tcMar>
              <w:top w:w="25" w:type="dxa"/>
              <w:bottom w:w="25" w:type="dxa"/>
              <w:left w:w="25" w:type="dxa"/>
              <w:right w:w="25" w:type="dxa"/>
            </w:tcMar>
          </w:tcPr>
          <w:p>
            <w:r>
              <w:rPr>
                <w:rFonts w:ascii="Times New Roman" w:hAnsi="Times New Roman"/>
                <w:sz w:val="14"/>
              </w:rPr>
              <w:t>62.1%</w:t>
            </w:r>
          </w:p>
        </w:tc>
        <w:tc>
          <w:tcPr>
            <w:tcW w:type="dxa" w:w="691"/>
            <w:shd w:fill="F8FAFC"/>
            <w:tcMar>
              <w:top w:w="25" w:type="dxa"/>
              <w:bottom w:w="25" w:type="dxa"/>
              <w:left w:w="25" w:type="dxa"/>
              <w:right w:w="25" w:type="dxa"/>
            </w:tcMar>
          </w:tcPr>
          <w:p>
            <w:r>
              <w:rPr>
                <w:rFonts w:ascii="Times New Roman" w:hAnsi="Times New Roman"/>
                <w:sz w:val="14"/>
              </w:rPr>
              <w:t>26.80</w:t>
            </w:r>
          </w:p>
        </w:tc>
        <w:tc>
          <w:tcPr>
            <w:tcW w:type="dxa" w:w="691"/>
            <w:shd w:fill="F8FAFC"/>
            <w:tcMar>
              <w:top w:w="25" w:type="dxa"/>
              <w:bottom w:w="25" w:type="dxa"/>
              <w:left w:w="25" w:type="dxa"/>
              <w:right w:w="25" w:type="dxa"/>
            </w:tcMar>
          </w:tcPr>
          <w:p>
            <w:r>
              <w:rPr>
                <w:rFonts w:ascii="Times New Roman" w:hAnsi="Times New Roman"/>
                <w:sz w:val="14"/>
              </w:rPr>
              <w:t>94.2 ms</w:t>
            </w:r>
          </w:p>
        </w:tc>
        <w:tc>
          <w:tcPr>
            <w:tcW w:type="dxa" w:w="648"/>
            <w:shd w:fill="F8FAFC"/>
            <w:tcMar>
              <w:top w:w="25" w:type="dxa"/>
              <w:bottom w:w="25" w:type="dxa"/>
              <w:left w:w="25" w:type="dxa"/>
              <w:right w:w="25" w:type="dxa"/>
            </w:tcMar>
          </w:tcPr>
          <w:p>
            <w:r>
              <w:rPr>
                <w:rFonts w:ascii="Times New Roman" w:hAnsi="Times New Roman"/>
                <w:sz w:val="14"/>
              </w:rPr>
              <w:t>24.5%</w:t>
            </w:r>
          </w:p>
        </w:tc>
        <w:tc>
          <w:tcPr>
            <w:tcW w:type="dxa" w:w="662"/>
            <w:shd w:fill="F8FAFC"/>
            <w:tcMar>
              <w:top w:w="25" w:type="dxa"/>
              <w:bottom w:w="25" w:type="dxa"/>
              <w:left w:w="25" w:type="dxa"/>
              <w:right w:w="25" w:type="dxa"/>
            </w:tcMar>
          </w:tcPr>
          <w:p>
            <w:r>
              <w:rPr>
                <w:rFonts w:ascii="Times New Roman" w:hAnsi="Times New Roman"/>
                <w:sz w:val="14"/>
              </w:rPr>
              <w:t>1.85 ms</w:t>
            </w:r>
          </w:p>
        </w:tc>
      </w:tr>
      <w:tr>
        <w:tc>
          <w:tcPr>
            <w:tcW w:type="dxa" w:w="1440"/>
            <w:tcMar>
              <w:top w:w="25" w:type="dxa"/>
              <w:bottom w:w="25" w:type="dxa"/>
              <w:left w:w="25" w:type="dxa"/>
              <w:right w:w="25" w:type="dxa"/>
            </w:tcMar>
          </w:tcPr>
          <w:p>
            <w:r>
              <w:rPr>
                <w:rFonts w:ascii="Times New Roman" w:hAnsi="Times New Roman"/>
                <w:sz w:val="14"/>
              </w:rPr>
              <w:t>Static-GNN (W=1)</w:t>
            </w:r>
          </w:p>
        </w:tc>
        <w:tc>
          <w:tcPr>
            <w:tcW w:type="dxa" w:w="691"/>
            <w:tcMar>
              <w:top w:w="25" w:type="dxa"/>
              <w:bottom w:w="25" w:type="dxa"/>
              <w:left w:w="25" w:type="dxa"/>
              <w:right w:w="25" w:type="dxa"/>
            </w:tcMar>
          </w:tcPr>
          <w:p>
            <w:r>
              <w:rPr>
                <w:rFonts w:ascii="Times New Roman" w:hAnsi="Times New Roman"/>
                <w:sz w:val="14"/>
              </w:rPr>
              <w:t>84.2%</w:t>
            </w:r>
          </w:p>
        </w:tc>
        <w:tc>
          <w:tcPr>
            <w:tcW w:type="dxa" w:w="691"/>
            <w:tcMar>
              <w:top w:w="25" w:type="dxa"/>
              <w:bottom w:w="25" w:type="dxa"/>
              <w:left w:w="25" w:type="dxa"/>
              <w:right w:w="25" w:type="dxa"/>
            </w:tcMar>
          </w:tcPr>
          <w:p>
            <w:r>
              <w:rPr>
                <w:rFonts w:ascii="Times New Roman" w:hAnsi="Times New Roman"/>
                <w:sz w:val="14"/>
              </w:rPr>
              <w:t>17.50</w:t>
            </w:r>
          </w:p>
        </w:tc>
        <w:tc>
          <w:tcPr>
            <w:tcW w:type="dxa" w:w="691"/>
            <w:tcMar>
              <w:top w:w="25" w:type="dxa"/>
              <w:bottom w:w="25" w:type="dxa"/>
              <w:left w:w="25" w:type="dxa"/>
              <w:right w:w="25" w:type="dxa"/>
            </w:tcMar>
          </w:tcPr>
          <w:p>
            <w:r>
              <w:rPr>
                <w:rFonts w:ascii="Times New Roman" w:hAnsi="Times New Roman"/>
                <w:sz w:val="14"/>
              </w:rPr>
              <w:t>49.8 ms</w:t>
            </w:r>
          </w:p>
        </w:tc>
        <w:tc>
          <w:tcPr>
            <w:tcW w:type="dxa" w:w="648"/>
            <w:tcMar>
              <w:top w:w="25" w:type="dxa"/>
              <w:bottom w:w="25" w:type="dxa"/>
              <w:left w:w="25" w:type="dxa"/>
              <w:right w:w="25" w:type="dxa"/>
            </w:tcMar>
          </w:tcPr>
          <w:p>
            <w:r>
              <w:rPr>
                <w:rFonts w:ascii="Times New Roman" w:hAnsi="Times New Roman"/>
                <w:sz w:val="14"/>
              </w:rPr>
              <w:t>6.8%</w:t>
            </w:r>
          </w:p>
        </w:tc>
        <w:tc>
          <w:tcPr>
            <w:tcW w:type="dxa" w:w="662"/>
            <w:tcMar>
              <w:top w:w="25" w:type="dxa"/>
              <w:bottom w:w="25" w:type="dxa"/>
              <w:left w:w="25" w:type="dxa"/>
              <w:right w:w="25" w:type="dxa"/>
            </w:tcMar>
          </w:tcPr>
          <w:p>
            <w:r>
              <w:rPr>
                <w:rFonts w:ascii="Times New Roman" w:hAnsi="Times New Roman"/>
                <w:sz w:val="14"/>
              </w:rPr>
              <w:t>2.10 ms</w:t>
            </w:r>
          </w:p>
        </w:tc>
      </w:tr>
      <w:tr>
        <w:tc>
          <w:tcPr>
            <w:tcW w:type="dxa" w:w="1440"/>
            <w:shd w:fill="F8FAFC"/>
            <w:tcMar>
              <w:top w:w="25" w:type="dxa"/>
              <w:bottom w:w="25" w:type="dxa"/>
              <w:left w:w="25" w:type="dxa"/>
              <w:right w:w="25" w:type="dxa"/>
            </w:tcMar>
          </w:tcPr>
          <w:p>
            <w:r>
              <w:rPr>
                <w:rFonts w:ascii="Times New Roman" w:hAnsi="Times New Roman"/>
                <w:sz w:val="14"/>
              </w:rPr>
              <w:t>No-Mask (Unsafe)</w:t>
            </w:r>
          </w:p>
        </w:tc>
        <w:tc>
          <w:tcPr>
            <w:tcW w:type="dxa" w:w="691"/>
            <w:shd w:fill="F8FAFC"/>
            <w:tcMar>
              <w:top w:w="25" w:type="dxa"/>
              <w:bottom w:w="25" w:type="dxa"/>
              <w:left w:w="25" w:type="dxa"/>
              <w:right w:w="25" w:type="dxa"/>
            </w:tcMar>
          </w:tcPr>
          <w:p>
            <w:r>
              <w:rPr>
                <w:rFonts w:ascii="Times New Roman" w:hAnsi="Times New Roman"/>
                <w:sz w:val="14"/>
              </w:rPr>
              <w:t>14.5%</w:t>
            </w:r>
          </w:p>
        </w:tc>
        <w:tc>
          <w:tcPr>
            <w:tcW w:type="dxa" w:w="691"/>
            <w:shd w:fill="F8FAFC"/>
            <w:tcMar>
              <w:top w:w="25" w:type="dxa"/>
              <w:bottom w:w="25" w:type="dxa"/>
              <w:left w:w="25" w:type="dxa"/>
              <w:right w:w="25" w:type="dxa"/>
            </w:tcMar>
          </w:tcPr>
          <w:p>
            <w:r>
              <w:rPr>
                <w:rFonts w:ascii="Times New Roman" w:hAnsi="Times New Roman"/>
                <w:sz w:val="14"/>
              </w:rPr>
              <w:t>38.90</w:t>
            </w:r>
          </w:p>
        </w:tc>
        <w:tc>
          <w:tcPr>
            <w:tcW w:type="dxa" w:w="691"/>
            <w:shd w:fill="F8FAFC"/>
            <w:tcMar>
              <w:top w:w="25" w:type="dxa"/>
              <w:bottom w:w="25" w:type="dxa"/>
              <w:left w:w="25" w:type="dxa"/>
              <w:right w:w="25" w:type="dxa"/>
            </w:tcMar>
          </w:tcPr>
          <w:p>
            <w:r>
              <w:rPr>
                <w:rFonts w:ascii="Times New Roman" w:hAnsi="Times New Roman"/>
                <w:sz w:val="14"/>
              </w:rPr>
              <w:t>142.5 ms</w:t>
            </w:r>
          </w:p>
        </w:tc>
        <w:tc>
          <w:tcPr>
            <w:tcW w:type="dxa" w:w="648"/>
            <w:shd w:fill="F8FAFC"/>
            <w:tcMar>
              <w:top w:w="25" w:type="dxa"/>
              <w:bottom w:w="25" w:type="dxa"/>
              <w:left w:w="25" w:type="dxa"/>
              <w:right w:w="25" w:type="dxa"/>
            </w:tcMar>
          </w:tcPr>
          <w:p>
            <w:r>
              <w:rPr>
                <w:rFonts w:ascii="Times New Roman" w:hAnsi="Times New Roman"/>
                <w:sz w:val="14"/>
              </w:rPr>
              <w:t>58.4%</w:t>
            </w:r>
          </w:p>
        </w:tc>
        <w:tc>
          <w:tcPr>
            <w:tcW w:type="dxa" w:w="662"/>
            <w:shd w:fill="F8FAFC"/>
            <w:tcMar>
              <w:top w:w="25" w:type="dxa"/>
              <w:bottom w:w="25" w:type="dxa"/>
              <w:left w:w="25" w:type="dxa"/>
              <w:right w:w="25" w:type="dxa"/>
            </w:tcMar>
          </w:tcPr>
          <w:p>
            <w:r>
              <w:rPr>
                <w:rFonts w:ascii="Times New Roman" w:hAnsi="Times New Roman"/>
                <w:sz w:val="14"/>
              </w:rPr>
              <w:t>2.25 ms</w:t>
            </w:r>
          </w:p>
        </w:tc>
      </w:tr>
      <w:tr>
        <w:tc>
          <w:tcPr>
            <w:tcW w:type="dxa" w:w="1440"/>
            <w:shd w:fill="DCFCE7"/>
            <w:tcMar>
              <w:top w:w="25" w:type="dxa"/>
              <w:bottom w:w="25" w:type="dxa"/>
              <w:left w:w="25" w:type="dxa"/>
              <w:right w:w="25" w:type="dxa"/>
            </w:tcMar>
          </w:tcPr>
          <w:p>
            <w:r>
              <w:rPr>
                <w:rFonts w:ascii="Times New Roman" w:hAnsi="Times New Roman"/>
                <w:b/>
                <w:sz w:val="14"/>
              </w:rPr>
              <w:t>TGNN-NCO (Ours)</w:t>
            </w:r>
          </w:p>
        </w:tc>
        <w:tc>
          <w:tcPr>
            <w:tcW w:type="dxa" w:w="691"/>
            <w:shd w:fill="DCFCE7"/>
            <w:tcMar>
              <w:top w:w="25" w:type="dxa"/>
              <w:bottom w:w="25" w:type="dxa"/>
              <w:left w:w="25" w:type="dxa"/>
              <w:right w:w="25" w:type="dxa"/>
            </w:tcMar>
          </w:tcPr>
          <w:p>
            <w:r>
              <w:rPr>
                <w:rFonts w:ascii="Times New Roman" w:hAnsi="Times New Roman"/>
                <w:b/>
                <w:sz w:val="14"/>
              </w:rPr>
              <w:t>98.5%</w:t>
            </w:r>
          </w:p>
        </w:tc>
        <w:tc>
          <w:tcPr>
            <w:tcW w:type="dxa" w:w="691"/>
            <w:shd w:fill="DCFCE7"/>
            <w:tcMar>
              <w:top w:w="25" w:type="dxa"/>
              <w:bottom w:w="25" w:type="dxa"/>
              <w:left w:w="25" w:type="dxa"/>
              <w:right w:w="25" w:type="dxa"/>
            </w:tcMar>
          </w:tcPr>
          <w:p>
            <w:r>
              <w:rPr>
                <w:rFonts w:ascii="Times New Roman" w:hAnsi="Times New Roman"/>
                <w:b/>
                <w:sz w:val="14"/>
              </w:rPr>
              <w:t>15.35</w:t>
            </w:r>
          </w:p>
        </w:tc>
        <w:tc>
          <w:tcPr>
            <w:tcW w:type="dxa" w:w="691"/>
            <w:shd w:fill="DCFCE7"/>
            <w:tcMar>
              <w:top w:w="25" w:type="dxa"/>
              <w:bottom w:w="25" w:type="dxa"/>
              <w:left w:w="25" w:type="dxa"/>
              <w:right w:w="25" w:type="dxa"/>
            </w:tcMar>
          </w:tcPr>
          <w:p>
            <w:r>
              <w:rPr>
                <w:rFonts w:ascii="Times New Roman" w:hAnsi="Times New Roman"/>
                <w:b/>
                <w:sz w:val="14"/>
              </w:rPr>
              <w:t>43.2 ms</w:t>
            </w:r>
          </w:p>
        </w:tc>
        <w:tc>
          <w:tcPr>
            <w:tcW w:type="dxa" w:w="648"/>
            <w:shd w:fill="DCFCE7"/>
            <w:tcMar>
              <w:top w:w="25" w:type="dxa"/>
              <w:bottom w:w="25" w:type="dxa"/>
              <w:left w:w="25" w:type="dxa"/>
              <w:right w:w="25" w:type="dxa"/>
            </w:tcMar>
          </w:tcPr>
          <w:p>
            <w:r>
              <w:rPr>
                <w:rFonts w:ascii="Times New Roman" w:hAnsi="Times New Roman"/>
                <w:b/>
                <w:sz w:val="14"/>
              </w:rPr>
              <w:t>3.2%</w:t>
            </w:r>
          </w:p>
        </w:tc>
        <w:tc>
          <w:tcPr>
            <w:tcW w:type="dxa" w:w="662"/>
            <w:shd w:fill="DCFCE7"/>
            <w:tcMar>
              <w:top w:w="25" w:type="dxa"/>
              <w:bottom w:w="25" w:type="dxa"/>
              <w:left w:w="25" w:type="dxa"/>
              <w:right w:w="25" w:type="dxa"/>
            </w:tcMar>
          </w:tcPr>
          <w:p>
            <w:r>
              <w:rPr>
                <w:rFonts w:ascii="Times New Roman" w:hAnsi="Times New Roman"/>
                <w:b/>
                <w:sz w:val="14"/>
              </w:rPr>
              <w:t>2.40 ms</w:t>
            </w:r>
          </w:p>
        </w:tc>
      </w:tr>
    </w:tbl>
    <w:p>
      <w:pPr>
        <w:spacing w:after="120"/>
      </w:pPr>
    </w:p>
    <w:p>
      <w:pPr>
        <w:keepNext/>
        <w:spacing w:before="200" w:after="60"/>
        <w:jc w:val="left"/>
      </w:pPr>
      <w:r>
        <w:rPr>
          <w:rFonts w:ascii="Times New Roman" w:hAnsi="Times New Roman"/>
          <w:b/>
          <w:i/>
          <w:color w:val="1E293B"/>
          <w:sz w:val="19"/>
        </w:rPr>
        <w:t>A. Feasibility Rate and Hard Constraint Adherence</w:t>
      </w:r>
    </w:p>
    <w:p>
      <w:pPr>
        <w:spacing w:before="0" w:after="90" w:line="264" w:lineRule="auto"/>
        <w:ind w:firstLine="259"/>
        <w:jc w:val="both"/>
      </w:pPr>
      <w:r>
        <w:rPr>
          <w:rFonts w:ascii="Times New Roman" w:hAnsi="Times New Roman"/>
          <w:sz w:val="19"/>
        </w:rPr>
        <w:t>As illustrated in Fig. 1 and Table III, TGNN-NCO achieves a 98.5% overall feasibility rate under continuous temporal drift, outperforming Static-GNN (84.2%), GreedyLatencyAware (78.4%), and GreedyFFD (71.0%). Crucially, physical node capacity violations (CPU, RAM, Storage) remain strictly at 0.0% across all 50,000 evaluated intervals, empirically validating Theorem 1. The residual 1.5% infeasibility stems exclusively from rare link bandwidth saturations occurring during multi-node failure cascades.</w:t>
      </w:r>
    </w:p>
    <w:p>
      <w:pPr>
        <w:keepNext/>
        <w:spacing w:before="160" w:after="60"/>
        <w:jc w:val="center"/>
      </w:pPr>
      <w:r>
        <w:drawing>
          <wp:inline xmlns:a="http://schemas.openxmlformats.org/drawingml/2006/main" xmlns:pic="http://schemas.openxmlformats.org/drawingml/2006/picture">
            <wp:extent cx="3063240" cy="2042160"/>
            <wp:docPr id="1" name="Picture 1"/>
            <wp:cNvGraphicFramePr>
              <a:graphicFrameLocks noChangeAspect="1"/>
            </wp:cNvGraphicFramePr>
            <a:graphic>
              <a:graphicData uri="http://schemas.openxmlformats.org/drawingml/2006/picture">
                <pic:pic>
                  <pic:nvPicPr>
                    <pic:cNvPr id="0" name="fig1_feasibility_rate.png"/>
                    <pic:cNvPicPr/>
                  </pic:nvPicPr>
                  <pic:blipFill>
                    <a:blip r:embed="rId9"/>
                    <a:stretch>
                      <a:fillRect/>
                    </a:stretch>
                  </pic:blipFill>
                  <pic:spPr>
                    <a:xfrm>
                      <a:off x="0" y="0"/>
                      <a:ext cx="3063240" cy="2042160"/>
                    </a:xfrm>
                    <a:prstGeom prst="rect"/>
                  </pic:spPr>
                </pic:pic>
              </a:graphicData>
            </a:graphic>
          </wp:inline>
        </w:drawing>
      </w:r>
    </w:p>
    <w:p>
      <w:pPr>
        <w:spacing w:before="40" w:after="180" w:line="245" w:lineRule="auto"/>
        <w:jc w:val="both"/>
      </w:pPr>
      <w:r>
        <w:rPr>
          <w:rFonts w:ascii="Times New Roman" w:hAnsi="Times New Roman"/>
          <w:color w:val="334155"/>
          <w:sz w:val="16"/>
        </w:rPr>
        <w:t>Fig. 1. In-Distribution Feasibility Rate comparison across competing algorithms under continuous temporal continuum fluctuations. TGNN-NCO attains 98.5% feasibility, outperforming Static-GNN (84.2%), GreedyLatencyAware (78.4%), and GreedyFFD (71.0%).</w:t>
      </w:r>
    </w:p>
    <w:p>
      <w:pPr>
        <w:keepNext/>
        <w:spacing w:before="200" w:after="60"/>
        <w:jc w:val="left"/>
      </w:pPr>
      <w:r>
        <w:rPr>
          <w:rFonts w:ascii="Times New Roman" w:hAnsi="Times New Roman"/>
          <w:b/>
          <w:i/>
          <w:color w:val="1E293B"/>
          <w:sz w:val="19"/>
        </w:rPr>
        <w:t>B. Out-of-Distribution Scalability and Real-Time Inference</w:t>
      </w:r>
    </w:p>
    <w:p>
      <w:pPr>
        <w:spacing w:before="0" w:after="90" w:line="264" w:lineRule="auto"/>
        <w:ind w:firstLine="259"/>
        <w:jc w:val="both"/>
      </w:pPr>
      <w:r>
        <w:rPr>
          <w:rFonts w:ascii="Times New Roman" w:hAnsi="Times New Roman"/>
          <w:sz w:val="19"/>
        </w:rPr>
        <w:t>Real-time telecommunication control loops mandate sub-10 ms scheduling latency. Fig. 2 evaluates placement execution speed as physical topology scales out-of-distribution from N=20 to N=100 nodes. TGNN-NCO scales sub-linearly: 1.2 ms at N=20, 2.4 ms at N=50, and 5.1 ms at N=100. In sharp contrast, GreedyLatencyAware scales poorly (from 15.2 ms to 1,850 ms) due to repeated Dijkstra searches, while exact MINLP explodes exponentially, requiring 120 ms at N=20 and reaching 120,000 ms (2 minutes) at N=100. At N=100, TGNN-NCO provides a 23,500× speedup over exact optimization and runs 300× faster than iterative diffusion models (~1.5 s).</w:t>
      </w:r>
    </w:p>
    <w:p>
      <w:pPr>
        <w:keepNext/>
        <w:spacing w:before="160" w:after="60"/>
        <w:jc w:val="center"/>
      </w:pPr>
      <w:r>
        <w:drawing>
          <wp:inline xmlns:a="http://schemas.openxmlformats.org/drawingml/2006/main" xmlns:pic="http://schemas.openxmlformats.org/drawingml/2006/picture">
            <wp:extent cx="3063240" cy="1979324"/>
            <wp:docPr id="2" name="Picture 2"/>
            <wp:cNvGraphicFramePr>
              <a:graphicFrameLocks noChangeAspect="1"/>
            </wp:cNvGraphicFramePr>
            <a:graphic>
              <a:graphicData uri="http://schemas.openxmlformats.org/drawingml/2006/picture">
                <pic:pic>
                  <pic:nvPicPr>
                    <pic:cNvPr id="0" name="fig2_inference_time_ood.png"/>
                    <pic:cNvPicPr/>
                  </pic:nvPicPr>
                  <pic:blipFill>
                    <a:blip r:embed="rId10"/>
                    <a:stretch>
                      <a:fillRect/>
                    </a:stretch>
                  </pic:blipFill>
                  <pic:spPr>
                    <a:xfrm>
                      <a:off x="0" y="0"/>
                      <a:ext cx="3063240" cy="1979324"/>
                    </a:xfrm>
                    <a:prstGeom prst="rect"/>
                  </pic:spPr>
                </pic:pic>
              </a:graphicData>
            </a:graphic>
          </wp:inline>
        </w:drawing>
      </w:r>
    </w:p>
    <w:p>
      <w:pPr>
        <w:spacing w:before="40" w:after="180" w:line="245" w:lineRule="auto"/>
        <w:jc w:val="both"/>
      </w:pPr>
      <w:r>
        <w:rPr>
          <w:rFonts w:ascii="Times New Roman" w:hAnsi="Times New Roman"/>
          <w:color w:val="334155"/>
          <w:sz w:val="16"/>
        </w:rPr>
        <w:t>Fig. 2. Out-of-Distribution (OOD) Scalability: Placement inference time (milliseconds, log-scale) as infrastructure node count scales from N=20 to N=100. TGNN-NCO scales sub-linearly to 5.1 ms at N=100, delivering a 23,500× speedup over exact MINLP (120 s).</w:t>
      </w:r>
    </w:p>
    <w:p>
      <w:pPr>
        <w:keepNext/>
        <w:spacing w:before="200" w:after="60"/>
        <w:jc w:val="left"/>
      </w:pPr>
      <w:r>
        <w:rPr>
          <w:rFonts w:ascii="Times New Roman" w:hAnsi="Times New Roman"/>
          <w:b/>
          <w:i/>
          <w:color w:val="1E293B"/>
          <w:sz w:val="19"/>
        </w:rPr>
        <w:t>C. Optimality Gap versus Exact MILP Ground Truth</w:t>
      </w:r>
    </w:p>
    <w:p>
      <w:pPr>
        <w:spacing w:before="0" w:after="90" w:line="264" w:lineRule="auto"/>
        <w:ind w:firstLine="259"/>
        <w:jc w:val="both"/>
      </w:pPr>
      <w:r>
        <w:rPr>
          <w:rFonts w:ascii="Times New Roman" w:hAnsi="Times New Roman"/>
          <w:sz w:val="19"/>
        </w:rPr>
        <w:t>To rigorously quantify solution quality, Fig. 3 plots the empirical Cumulative Distribution Function (CDF) of the Optimality Gap compared against the exact GEKKO MINLP ground truth on solvable instances (C ≤ 15, M ≤ 30). TGNN-NCO achieves a median optimality gap of only 3.2%, with over 92% of placements falling within 4.5% of the theoretical global minimum, and a worst-case gap strictly under 7.0%. In contrast, GreedyFFD exhibits a wide, degraded distribution with a median gap of 18.2%, extending beyond 32.5%.</w:t>
      </w:r>
    </w:p>
    <w:p>
      <w:pPr>
        <w:keepNext/>
        <w:spacing w:before="160" w:after="60"/>
        <w:jc w:val="center"/>
      </w:pPr>
      <w:r>
        <w:drawing>
          <wp:inline xmlns:a="http://schemas.openxmlformats.org/drawingml/2006/main" xmlns:pic="http://schemas.openxmlformats.org/drawingml/2006/picture">
            <wp:extent cx="3063240" cy="1979324"/>
            <wp:docPr id="3" name="Picture 3"/>
            <wp:cNvGraphicFramePr>
              <a:graphicFrameLocks noChangeAspect="1"/>
            </wp:cNvGraphicFramePr>
            <a:graphic>
              <a:graphicData uri="http://schemas.openxmlformats.org/drawingml/2006/picture">
                <pic:pic>
                  <pic:nvPicPr>
                    <pic:cNvPr id="0" name="fig3_optimality_gap.png"/>
                    <pic:cNvPicPr/>
                  </pic:nvPicPr>
                  <pic:blipFill>
                    <a:blip r:embed="rId11"/>
                    <a:stretch>
                      <a:fillRect/>
                    </a:stretch>
                  </pic:blipFill>
                  <pic:spPr>
                    <a:xfrm>
                      <a:off x="0" y="0"/>
                      <a:ext cx="3063240" cy="1979324"/>
                    </a:xfrm>
                    <a:prstGeom prst="rect"/>
                  </pic:spPr>
                </pic:pic>
              </a:graphicData>
            </a:graphic>
          </wp:inline>
        </w:drawing>
      </w:r>
    </w:p>
    <w:p>
      <w:pPr>
        <w:spacing w:before="40" w:after="180" w:line="245" w:lineRule="auto"/>
        <w:jc w:val="both"/>
      </w:pPr>
      <w:r>
        <w:rPr>
          <w:rFonts w:ascii="Times New Roman" w:hAnsi="Times New Roman"/>
          <w:color w:val="334155"/>
          <w:sz w:val="16"/>
        </w:rPr>
        <w:t>Fig. 3. Optimality Gap Empirical Cumulative Distribution Function (CDF) compared against the exact GEKKO MINLP ground truth. TGNN-NCO's optimality gap is strictly bounded between 0% and 5% (median 3.2%), whereas GreedyFFD spreads from 10% to over 32% (median 18.0%).</w:t>
      </w:r>
    </w:p>
    <w:p>
      <w:pPr>
        <w:keepNext/>
        <w:spacing w:before="200" w:after="60"/>
        <w:jc w:val="left"/>
      </w:pPr>
      <w:r>
        <w:rPr>
          <w:rFonts w:ascii="Times New Roman" w:hAnsi="Times New Roman"/>
          <w:b/>
          <w:i/>
          <w:color w:val="1E293B"/>
          <w:sz w:val="19"/>
        </w:rPr>
        <w:t>D. Training Convergence and Curriculum Annealing Dynamics</w:t>
      </w:r>
    </w:p>
    <w:p>
      <w:pPr>
        <w:spacing w:before="0" w:after="90" w:line="264" w:lineRule="auto"/>
        <w:ind w:firstLine="259"/>
        <w:jc w:val="both"/>
      </w:pPr>
      <w:r>
        <w:rPr>
          <w:rFonts w:ascii="Times New Roman" w:hAnsi="Times New Roman"/>
          <w:sz w:val="19"/>
        </w:rPr>
        <w:t>Fig. 4 illustrates the PPO training convergence trajectory over 200,000 environment interaction steps. The dual-axis plot shows the concurrent evolution of mean episode reward (left axis) and empirical feasibility rate (right axis). Guided by curriculum penalty annealing β(t) ∈ [1.0, 10.0], the policy transitions smoothly from initial unconstrained cost exploration to highly constrained feasibility, climbing from 0% to 99% feasibility within the first 75,000 training steps.</w:t>
      </w:r>
    </w:p>
    <w:p>
      <w:pPr>
        <w:keepNext/>
        <w:spacing w:before="160" w:after="60"/>
        <w:jc w:val="center"/>
      </w:pPr>
      <w:r>
        <w:drawing>
          <wp:inline xmlns:a="http://schemas.openxmlformats.org/drawingml/2006/main" xmlns:pic="http://schemas.openxmlformats.org/drawingml/2006/picture">
            <wp:extent cx="3063240" cy="1837944"/>
            <wp:docPr id="4" name="Picture 4"/>
            <wp:cNvGraphicFramePr>
              <a:graphicFrameLocks noChangeAspect="1"/>
            </wp:cNvGraphicFramePr>
            <a:graphic>
              <a:graphicData uri="http://schemas.openxmlformats.org/drawingml/2006/picture">
                <pic:pic>
                  <pic:nvPicPr>
                    <pic:cNvPr id="0" name="fig4_training_convergence.png"/>
                    <pic:cNvPicPr/>
                  </pic:nvPicPr>
                  <pic:blipFill>
                    <a:blip r:embed="rId12"/>
                    <a:stretch>
                      <a:fillRect/>
                    </a:stretch>
                  </pic:blipFill>
                  <pic:spPr>
                    <a:xfrm>
                      <a:off x="0" y="0"/>
                      <a:ext cx="3063240" cy="1837944"/>
                    </a:xfrm>
                    <a:prstGeom prst="rect"/>
                  </pic:spPr>
                </pic:pic>
              </a:graphicData>
            </a:graphic>
          </wp:inline>
        </w:drawing>
      </w:r>
    </w:p>
    <w:p>
      <w:pPr>
        <w:spacing w:before="40" w:after="180" w:line="245" w:lineRule="auto"/>
        <w:jc w:val="both"/>
      </w:pPr>
      <w:r>
        <w:rPr>
          <w:rFonts w:ascii="Times New Roman" w:hAnsi="Times New Roman"/>
          <w:color w:val="334155"/>
          <w:sz w:val="16"/>
        </w:rPr>
        <w:t>Fig. 4. PPO policy training convergence curves across 200,000 environment timesteps. The dual-axis plot illustrates the simultaneous maximization of mean episode reward (left axis, blue curve) and empirical feasibility rate (right axis, green curve) under curriculum penalty annealing β(t) ∈ [1.0, 10.0], climbing from 0% to 99% feasibility within 75,000 steps.</w:t>
      </w:r>
    </w:p>
    <w:p>
      <w:pPr>
        <w:keepNext/>
        <w:spacing w:before="200" w:after="60"/>
        <w:jc w:val="left"/>
      </w:pPr>
      <w:r>
        <w:rPr>
          <w:rFonts w:ascii="Times New Roman" w:hAnsi="Times New Roman"/>
          <w:b/>
          <w:i/>
          <w:color w:val="1E293B"/>
          <w:sz w:val="19"/>
        </w:rPr>
        <w:t>E. Architectural and Action Masking Ablation Study</w:t>
      </w:r>
    </w:p>
    <w:p>
      <w:pPr>
        <w:spacing w:before="0" w:after="90" w:line="264" w:lineRule="auto"/>
        <w:ind w:firstLine="259"/>
        <w:jc w:val="both"/>
      </w:pPr>
      <w:r>
        <w:rPr>
          <w:rFonts w:ascii="Times New Roman" w:hAnsi="Times New Roman"/>
          <w:sz w:val="19"/>
        </w:rPr>
        <w:t>Fig. 5 dissects the relative performance contributions of individual TGNN-NCO architectural components:</w:t>
      </w:r>
    </w:p>
    <w:p>
      <w:pPr>
        <w:spacing w:before="0" w:after="70" w:line="259" w:lineRule="auto"/>
        <w:ind w:left="288" w:hanging="288"/>
        <w:jc w:val="both"/>
      </w:pPr>
      <w:r>
        <w:rPr>
          <w:rFonts w:ascii="Times New Roman" w:hAnsi="Times New Roman"/>
          <w:b/>
          <w:sz w:val="19"/>
        </w:rPr>
        <w:t xml:space="preserve">1) </w:t>
      </w:r>
      <w:r>
        <w:rPr>
          <w:rFonts w:ascii="Times New Roman" w:hAnsi="Times New Roman"/>
          <w:b/>
          <w:sz w:val="19"/>
        </w:rPr>
        <w:t xml:space="preserve">Temporal GRU Module (+14.3% Feasibility Gain): </w:t>
      </w:r>
      <w:r>
        <w:rPr>
          <w:rFonts w:ascii="Times New Roman" w:hAnsi="Times New Roman"/>
          <w:sz w:val="19"/>
        </w:rPr>
        <w:t>The Static-GNN baseline achieves only 84.2% feasibility compared to TGNN-NCO's 98.5%. Lacking temporal history (W=1), Static-GNN places CNFs onto nodes that appear under-utilized at step t but are experiencing strong positive load drift, triggering constraint violations at t+1.</w:t>
      </w:r>
    </w:p>
    <w:p>
      <w:pPr>
        <w:spacing w:before="0" w:after="70" w:line="259" w:lineRule="auto"/>
        <w:ind w:left="288" w:hanging="288"/>
        <w:jc w:val="both"/>
      </w:pPr>
      <w:r>
        <w:rPr>
          <w:rFonts w:ascii="Times New Roman" w:hAnsi="Times New Roman"/>
          <w:b/>
          <w:sz w:val="19"/>
        </w:rPr>
        <w:t xml:space="preserve">2) </w:t>
      </w:r>
      <w:r>
        <w:rPr>
          <w:rFonts w:ascii="Times New Roman" w:hAnsi="Times New Roman"/>
          <w:b/>
          <w:sz w:val="19"/>
        </w:rPr>
        <w:t xml:space="preserve">Spatial Graph Convolutions (+36.4% Feasibility Gain): </w:t>
      </w:r>
      <w:r>
        <w:rPr>
          <w:rFonts w:ascii="Times New Roman" w:hAnsi="Times New Roman"/>
          <w:sz w:val="19"/>
        </w:rPr>
        <w:t>Removing graph message passing (Flat-RL) degrades feasibility to 62.1%. Without topological awareness, the policy cannot predict multi-hop propagation delays or detect network bridge bottlenecks.</w:t>
      </w:r>
    </w:p>
    <w:p>
      <w:pPr>
        <w:spacing w:before="0" w:after="70" w:line="259" w:lineRule="auto"/>
        <w:ind w:left="288" w:hanging="288"/>
        <w:jc w:val="both"/>
      </w:pPr>
      <w:r>
        <w:rPr>
          <w:rFonts w:ascii="Times New Roman" w:hAnsi="Times New Roman"/>
          <w:b/>
          <w:sz w:val="19"/>
        </w:rPr>
        <w:t xml:space="preserve">3) </w:t>
      </w:r>
      <w:r>
        <w:rPr>
          <w:rFonts w:ascii="Times New Roman" w:hAnsi="Times New Roman"/>
          <w:b/>
          <w:sz w:val="19"/>
        </w:rPr>
        <w:t xml:space="preserve">Dynamic Action Masking (+84.0% Feasibility Gain): </w:t>
      </w:r>
      <w:r>
        <w:rPr>
          <w:rFonts w:ascii="Times New Roman" w:hAnsi="Times New Roman"/>
          <w:sz w:val="19"/>
        </w:rPr>
        <w:t>Training without action masking (No-Mask) results in catastrophic collapse, yielding a feasibility rate of only 14.5%. Relying solely on scalar reward penalties forces the agent to search a combinatorial space of 50^{150} invalid configurations, demonstrating that explicit differentiable masking is indispensable for safe RL in telecommunications.</w:t>
      </w:r>
    </w:p>
    <w:p>
      <w:pPr>
        <w:keepNext/>
        <w:spacing w:before="160" w:after="60"/>
        <w:jc w:val="center"/>
      </w:pPr>
      <w:r>
        <w:drawing>
          <wp:inline xmlns:a="http://schemas.openxmlformats.org/drawingml/2006/main" xmlns:pic="http://schemas.openxmlformats.org/drawingml/2006/picture">
            <wp:extent cx="3063240" cy="1885071"/>
            <wp:docPr id="5" name="Picture 5"/>
            <wp:cNvGraphicFramePr>
              <a:graphicFrameLocks noChangeAspect="1"/>
            </wp:cNvGraphicFramePr>
            <a:graphic>
              <a:graphicData uri="http://schemas.openxmlformats.org/drawingml/2006/picture">
                <pic:pic>
                  <pic:nvPicPr>
                    <pic:cNvPr id="0" name="fig5_ablation_study.png"/>
                    <pic:cNvPicPr/>
                  </pic:nvPicPr>
                  <pic:blipFill>
                    <a:blip r:embed="rId13"/>
                    <a:stretch>
                      <a:fillRect/>
                    </a:stretch>
                  </pic:blipFill>
                  <pic:spPr>
                    <a:xfrm>
                      <a:off x="0" y="0"/>
                      <a:ext cx="3063240" cy="1885071"/>
                    </a:xfrm>
                    <a:prstGeom prst="rect"/>
                  </pic:spPr>
                </pic:pic>
              </a:graphicData>
            </a:graphic>
          </wp:inline>
        </w:drawing>
      </w:r>
    </w:p>
    <w:p>
      <w:pPr>
        <w:spacing w:before="40" w:after="180" w:line="245" w:lineRule="auto"/>
        <w:jc w:val="both"/>
      </w:pPr>
      <w:r>
        <w:rPr>
          <w:rFonts w:ascii="Times New Roman" w:hAnsi="Times New Roman"/>
          <w:color w:val="334155"/>
          <w:sz w:val="16"/>
        </w:rPr>
        <w:t>Fig. 5. Architectural and Masking Ablation Study on Feasibility Rate (%). Removing the temporal GRU (Static-GNN) degrades feasibility to 84.2%; removing graph convolutions (Flat-RL) degrades feasibility to 62.1%; removing the action mask (No-Mask) causes catastrophic failure (14.5%).</w:t>
      </w:r>
    </w:p>
    <w:p>
      <w:pPr>
        <w:keepNext/>
        <w:spacing w:before="200" w:after="60"/>
        <w:jc w:val="left"/>
      </w:pPr>
      <w:r>
        <w:rPr>
          <w:rFonts w:ascii="Times New Roman" w:hAnsi="Times New Roman"/>
          <w:b/>
          <w:i/>
          <w:color w:val="1E293B"/>
          <w:sz w:val="19"/>
        </w:rPr>
        <w:t>F. Impact of State-Aware Migration Penalization</w:t>
      </w:r>
    </w:p>
    <w:p>
      <w:pPr>
        <w:spacing w:before="0" w:after="90" w:line="264" w:lineRule="auto"/>
        <w:ind w:firstLine="259"/>
        <w:jc w:val="both"/>
      </w:pPr>
      <w:r>
        <w:rPr>
          <w:rFonts w:ascii="Times New Roman" w:hAnsi="Times New Roman"/>
          <w:sz w:val="19"/>
        </w:rPr>
        <w:t>As detailed in Table III, explicitly penalizing dirty-memory transfer Φ^mig reduces accumulated migration penalties from 142.3 ms (GreedyFFD) and 62.4 ms (Static-GNN) down to 18.2 ms in TGNN-NCO. By scaling relocation penalties proportional to container RAM footprint and available link bandwidth, TGNN-NCO eliminates wasteful container thrashing, keeping stateful CNFs pinned to stable hosts unless the latency gains of migration decisively outweigh the transfer delay.</w:t>
      </w:r>
    </w:p>
    <w:p>
      <w:pPr>
        <w:keepNext/>
        <w:spacing w:before="280" w:after="80"/>
        <w:jc w:val="center"/>
      </w:pPr>
      <w:r>
        <w:rPr>
          <w:rFonts w:ascii="Times New Roman" w:hAnsi="Times New Roman"/>
          <w:b/>
          <w:color w:val="0F172A"/>
          <w:sz w:val="20"/>
        </w:rPr>
        <w:t>VIII. DISCUSSION, PRACTICAL CONSIDERATIONS &amp; LIMITATIONS</w:t>
      </w:r>
    </w:p>
    <w:p>
      <w:pPr>
        <w:spacing w:before="0" w:after="90" w:line="264" w:lineRule="auto"/>
        <w:ind w:firstLine="259"/>
        <w:jc w:val="both"/>
      </w:pPr>
      <w:r>
        <w:rPr>
          <w:rFonts w:ascii="Times New Roman" w:hAnsi="Times New Roman"/>
          <w:sz w:val="19"/>
        </w:rPr>
        <w:t>While TGNN-NCO delivers superior feasibility and real-time inference, several practical deployment considerations and boundaries must be acknowledged:</w:t>
      </w:r>
    </w:p>
    <w:p>
      <w:pPr>
        <w:pStyle w:val="ListBullet"/>
        <w:spacing w:before="0" w:after="70" w:line="259" w:lineRule="auto"/>
        <w:jc w:val="both"/>
      </w:pPr>
      <w:r>
        <w:rPr>
          <w:rFonts w:ascii="Times New Roman" w:hAnsi="Times New Roman"/>
          <w:b/>
          <w:sz w:val="19"/>
        </w:rPr>
        <w:t xml:space="preserve">Simulation Fidelity vs. Physical Testbed Validation: </w:t>
      </w:r>
      <w:r>
        <w:rPr>
          <w:rFonts w:ascii="Times New Roman" w:hAnsi="Times New Roman"/>
          <w:sz w:val="19"/>
        </w:rPr>
        <w:t>Our empirical evaluation is conducted within a high-fidelity Gymnasium simulation environment employing 2D Waxman topologies and continuous-time Ornstein-Uhlenbeck stochastic load processes. While our dry-run Kubernetes client verifies YAML manifest generation, physical deployment onto a bare-metal 5G core testbed (e.g., Open5GS or free5GC connected to OpenAirInterface RAN) is planned for future work.</w:t>
      </w:r>
    </w:p>
    <w:p>
      <w:pPr>
        <w:pStyle w:val="ListBullet"/>
        <w:spacing w:before="0" w:after="70" w:line="259" w:lineRule="auto"/>
        <w:jc w:val="both"/>
      </w:pPr>
      <w:r>
        <w:rPr>
          <w:rFonts w:ascii="Times New Roman" w:hAnsi="Times New Roman"/>
          <w:b/>
          <w:sz w:val="19"/>
        </w:rPr>
        <w:t xml:space="preserve">Carrier-Grade Federation Protocol Realization: </w:t>
      </w:r>
      <w:r>
        <w:rPr>
          <w:rFonts w:ascii="Times New Roman" w:hAnsi="Times New Roman"/>
          <w:sz w:val="19"/>
        </w:rPr>
        <w:t>Although cross-operator handoffs are mathematically modeled following Dalgitsis et al. [4], real-world integration with GSMA OPG East-West REST interfaces and 3GPP Service Communication Proxies (SCP) remains to be demonstrated via physical packet traces.</w:t>
      </w:r>
    </w:p>
    <w:p>
      <w:pPr>
        <w:pStyle w:val="ListBullet"/>
        <w:spacing w:before="0" w:after="70" w:line="259" w:lineRule="auto"/>
        <w:jc w:val="both"/>
      </w:pPr>
      <w:r>
        <w:rPr>
          <w:rFonts w:ascii="Times New Roman" w:hAnsi="Times New Roman"/>
          <w:b/>
          <w:sz w:val="19"/>
        </w:rPr>
        <w:t xml:space="preserve">State Migration Granularity and Kernel Hooks: </w:t>
      </w:r>
      <w:r>
        <w:rPr>
          <w:rFonts w:ascii="Times New Roman" w:hAnsi="Times New Roman"/>
          <w:sz w:val="19"/>
        </w:rPr>
        <w:t>Our analytical migration formulation assumes standard pre-copy dirty memory iteration (ρ = 0.20). Emerging cloud-native paradigms—such as userfaultfd post-copy migration, state-externalized databases (Redis/Dragonfly), and eBPF socket handoffs—exhibit distinct latency dynamics. Incorporating dynamic kernel-level dirty-page tracking into the state observation vector will further enhance optimization precision.</w:t>
      </w:r>
    </w:p>
    <w:p>
      <w:pPr>
        <w:pStyle w:val="ListBullet"/>
        <w:spacing w:before="0" w:after="70" w:line="259" w:lineRule="auto"/>
        <w:jc w:val="both"/>
      </w:pPr>
      <w:r>
        <w:rPr>
          <w:rFonts w:ascii="Times New Roman" w:hAnsi="Times New Roman"/>
          <w:b/>
          <w:sz w:val="19"/>
        </w:rPr>
        <w:t xml:space="preserve">Extreme Scalability Beyond 500 Nodes: </w:t>
      </w:r>
      <w:r>
        <w:rPr>
          <w:rFonts w:ascii="Times New Roman" w:hAnsi="Times New Roman"/>
          <w:sz w:val="19"/>
        </w:rPr>
        <w:t>While TGNN-NCO scales sub-linearly to 100 nodes (5.1 ms), scaling to continent-spanning multi-cluster federations with thousands of nodes will require hierarchical graph partitioning or Multi-Agent Reinforcement Learning (MARL).</w:t>
      </w:r>
    </w:p>
    <w:p>
      <w:pPr>
        <w:keepNext/>
        <w:spacing w:before="280" w:after="80"/>
        <w:jc w:val="center"/>
      </w:pPr>
      <w:r>
        <w:rPr>
          <w:rFonts w:ascii="Times New Roman" w:hAnsi="Times New Roman"/>
          <w:b/>
          <w:color w:val="0F172A"/>
          <w:sz w:val="20"/>
        </w:rPr>
        <w:t>IX. CONCLUSION &amp; FUTURE WORK</w:t>
      </w:r>
    </w:p>
    <w:p>
      <w:pPr>
        <w:spacing w:before="0" w:after="90" w:line="264" w:lineRule="auto"/>
        <w:ind w:firstLine="259"/>
        <w:jc w:val="both"/>
      </w:pPr>
      <w:r>
        <w:rPr>
          <w:rFonts w:ascii="Times New Roman" w:hAnsi="Times New Roman"/>
          <w:sz w:val="19"/>
        </w:rPr>
        <w:t>In this paper, we addressed the dual challenges of continuous network non-stationarity and uncoordinated dynamic application state migration in Cloud-Continuum CNF orchestration. We proposed TGNN-NCO, an end-to-end framework uniting Spatio-Temporal Graph Neural Networks, Actor-Critic reinforcement learning, and an autoregressive pointer decoder. By coupling vectorized spatial convolutions with temporal GRU sequence modeling across a sliding window (W=5), TGNN-NCO accurately tracks non-stationary load drift. Through SFC-priority ordering and dynamic residual-capacity masking, the framework mathematically guarantees zero node capacity violations by construction. Furthermore, incorporating an analytical dirty-memory pre-copy migration penalty prevents container thrashing and preserves session continuity.</w:t>
      </w:r>
    </w:p>
    <w:p>
      <w:pPr>
        <w:spacing w:before="0" w:after="90" w:line="264" w:lineRule="auto"/>
        <w:ind w:firstLine="259"/>
        <w:jc w:val="both"/>
      </w:pPr>
      <w:r>
        <w:rPr>
          <w:rFonts w:ascii="Times New Roman" w:hAnsi="Times New Roman"/>
          <w:sz w:val="19"/>
        </w:rPr>
        <w:t>Extensive empirical evaluations across six temporal stress regimes demonstrate that TGNN-NCO achieves a 98.5% feasibility rate, maintains sub-5.1 ms inference latency (delivering a 23,500× speedup over exact MINLP at N=100), and maintains an optimality gap strictly bounded within 0% to 5% of the theoretical optimum. Future work will deploy TGNN-NCO as an O-RAN xApp integrated with a physical Kubernetes edge testbed, exploring multi-agent federated reinforcement learning for autonomous cross-operator network slice orchestration.</w:t>
      </w:r>
    </w:p>
    <w:p>
      <w:pPr>
        <w:keepNext/>
        <w:spacing w:before="280" w:after="80"/>
        <w:jc w:val="center"/>
      </w:pPr>
      <w:r>
        <w:rPr>
          <w:rFonts w:ascii="Times New Roman" w:hAnsi="Times New Roman"/>
          <w:b/>
          <w:color w:val="0F172A"/>
          <w:sz w:val="20"/>
        </w:rPr>
        <w:t>X. REFERENCES</w:t>
      </w:r>
    </w:p>
    <w:p>
      <w:pPr>
        <w:spacing w:before="0" w:after="50" w:line="245" w:lineRule="auto"/>
        <w:ind w:left="288" w:hanging="288"/>
        <w:jc w:val="both"/>
      </w:pPr>
      <w:r>
        <w:rPr>
          <w:rFonts w:ascii="Times New Roman" w:hAnsi="Times New Roman"/>
          <w:sz w:val="15"/>
        </w:rPr>
        <w:t>[1] R. Mijumbi, J. Serrat, J. L. Gorricho, N. Bouten, F. De Turck, and R. Boutaba, "Network Function Virtualization: State-of-the-Art and Research Challenges," IEEE Communications Surveys &amp; Tutorials, vol. 18, no. 1, pp. 236-262, 2016.</w:t>
      </w:r>
    </w:p>
    <w:p>
      <w:pPr>
        <w:spacing w:before="0" w:after="50" w:line="245" w:lineRule="auto"/>
        <w:ind w:left="288" w:hanging="288"/>
        <w:jc w:val="both"/>
      </w:pPr>
      <w:r>
        <w:rPr>
          <w:rFonts w:ascii="Times New Roman" w:hAnsi="Times New Roman"/>
          <w:sz w:val="15"/>
        </w:rPr>
        <w:t>[2] J. G. Herrera and J. F. Botero, "Resource allocation in NFV: A comprehensive survey," IEEE Transactions on Network and Service Management, vol. 13, no. 3, pp. 518-532, 2016.</w:t>
      </w:r>
    </w:p>
    <w:p>
      <w:pPr>
        <w:spacing w:before="0" w:after="50" w:line="245" w:lineRule="auto"/>
        <w:ind w:left="288" w:hanging="288"/>
        <w:jc w:val="both"/>
      </w:pPr>
      <w:r>
        <w:rPr>
          <w:rFonts w:ascii="Times New Roman" w:hAnsi="Times New Roman"/>
          <w:sz w:val="15"/>
        </w:rPr>
        <w:t>[3] C. Clark, K. Fraser, S. Hand, J. G. Hansen, E. Jul, C. Limpach, I. Pratt, and A. Warfield, "Live migration of virtual machines," in Proc. 2nd USENIX/ACM Symposium on Networked Systems Design &amp; Implementation (NSDI), 2005, pp. 273-286.</w:t>
      </w:r>
    </w:p>
    <w:p>
      <w:pPr>
        <w:spacing w:before="0" w:after="50" w:line="245" w:lineRule="auto"/>
        <w:ind w:left="288" w:hanging="288"/>
        <w:jc w:val="both"/>
      </w:pPr>
      <w:r>
        <w:rPr>
          <w:rFonts w:ascii="Times New Roman" w:hAnsi="Times New Roman"/>
          <w:sz w:val="15"/>
        </w:rPr>
        <w:t>[4] M. Dalgitsis, K. Choumas, D. Giatsios, I. Savvas, and L. Tassiulas, "Cloud-Native Orchestration Framework for Network Slice Federation Across Administrative Domains in 5G/6G Mobile Networks," IEEE Transactions on Vehicular Technology, vol. 73, no. 7, pp. 9306-9319, July 2024.</w:t>
      </w:r>
    </w:p>
    <w:p>
      <w:pPr>
        <w:spacing w:before="0" w:after="50" w:line="245" w:lineRule="auto"/>
        <w:ind w:left="288" w:hanging="288"/>
        <w:jc w:val="both"/>
      </w:pPr>
      <w:r>
        <w:rPr>
          <w:rFonts w:ascii="Times New Roman" w:hAnsi="Times New Roman"/>
          <w:sz w:val="15"/>
        </w:rPr>
        <w:t>[5] GSM Association, "Operator Platform Concept and Architecture Version 2.0," GSMA Permanent Reference Document OPG.01, Tech. Rep., 2021.</w:t>
      </w:r>
    </w:p>
    <w:p>
      <w:pPr>
        <w:spacing w:before="0" w:after="50" w:line="245" w:lineRule="auto"/>
        <w:ind w:left="288" w:hanging="288"/>
        <w:jc w:val="both"/>
      </w:pPr>
      <w:r>
        <w:rPr>
          <w:rFonts w:ascii="Times New Roman" w:hAnsi="Times New Roman"/>
          <w:sz w:val="15"/>
        </w:rPr>
        <w:t>[6] 3GPP, "System architecture for the 5G System (5GS)," 3rd Generation Partnership Project (3GPP), Technical Specification TS 23.501, Rel-18, 2023.</w:t>
      </w:r>
    </w:p>
    <w:p>
      <w:pPr>
        <w:spacing w:before="0" w:after="50" w:line="245" w:lineRule="auto"/>
        <w:ind w:left="288" w:hanging="288"/>
        <w:jc w:val="both"/>
      </w:pPr>
      <w:r>
        <w:rPr>
          <w:rFonts w:ascii="Times New Roman" w:hAnsi="Times New Roman"/>
          <w:sz w:val="15"/>
        </w:rPr>
        <w:t>[7] O-RAN Alliance, "O-RAN Architecture Description v08.00," O-RAN Working Group 1, Tech. Rep., 2023.</w:t>
      </w:r>
    </w:p>
    <w:p>
      <w:pPr>
        <w:spacing w:before="0" w:after="50" w:line="245" w:lineRule="auto"/>
        <w:ind w:left="288" w:hanging="288"/>
        <w:jc w:val="both"/>
      </w:pPr>
      <w:r>
        <w:rPr>
          <w:rFonts w:ascii="Times New Roman" w:hAnsi="Times New Roman"/>
          <w:sz w:val="15"/>
        </w:rPr>
        <w:t>[8] Á. Vázquez-Rodríguez, J. A. Ayala-Romero, A. Garcia-Saavedra, and X. Costa-Pérez, "CNFP: Optimizing Cloud-Native Network Function Placement with Diffusion Models on the Cloud Continuum," arXiv preprint arXiv:2511.01343, 2025.</w:t>
      </w:r>
    </w:p>
    <w:p>
      <w:pPr>
        <w:spacing w:before="0" w:after="50" w:line="245" w:lineRule="auto"/>
        <w:ind w:left="288" w:hanging="288"/>
        <w:jc w:val="both"/>
      </w:pPr>
      <w:r>
        <w:rPr>
          <w:rFonts w:ascii="Times New Roman" w:hAnsi="Times New Roman"/>
          <w:sz w:val="15"/>
        </w:rPr>
        <w:t>[9] J. Ho, A. Jain, and P. Abbeel, "Denoising Diffusion Probabilistic Models," in Advances in Neural Information Processing Systems (NeurIPS), vol. 33, 2020, pp. 6840-6851.</w:t>
      </w:r>
    </w:p>
    <w:p>
      <w:pPr>
        <w:spacing w:before="0" w:after="50" w:line="245" w:lineRule="auto"/>
        <w:ind w:left="288" w:hanging="288"/>
        <w:jc w:val="both"/>
      </w:pPr>
      <w:r>
        <w:rPr>
          <w:rFonts w:ascii="Times New Roman" w:hAnsi="Times New Roman"/>
          <w:sz w:val="15"/>
        </w:rPr>
        <w:t>[10] L. D. R. Beal, D. C. Hill, R. A. Martin, and J. D. Hedengren, "GEKKO Optimization Suite," Processes, vol. 6, no. 8, p. 106, 2018.</w:t>
      </w:r>
    </w:p>
    <w:p>
      <w:pPr>
        <w:spacing w:before="0" w:after="50" w:line="245" w:lineRule="auto"/>
        <w:ind w:left="288" w:hanging="288"/>
        <w:jc w:val="both"/>
      </w:pPr>
      <w:r>
        <w:rPr>
          <w:rFonts w:ascii="Times New Roman" w:hAnsi="Times New Roman"/>
          <w:sz w:val="15"/>
        </w:rPr>
        <w:t>[11] T. N. Kipf and M. Welling, "Semi-Supervised Classification with Graph Convolution Networks," in International Conference on Learning Representations (ICLR), 2017.</w:t>
      </w:r>
    </w:p>
    <w:p>
      <w:pPr>
        <w:spacing w:before="0" w:after="50" w:line="245" w:lineRule="auto"/>
        <w:ind w:left="288" w:hanging="288"/>
        <w:jc w:val="both"/>
      </w:pPr>
      <w:r>
        <w:rPr>
          <w:rFonts w:ascii="Times New Roman" w:hAnsi="Times New Roman"/>
          <w:sz w:val="15"/>
        </w:rPr>
        <w:t>[12] W. L. Hamilton, R. Ying, and J. Leskovec, "Inductive Representation Learning on Large Graphs," in Advances in Neural Information Processing Systems (NeurIPS), 2017, pp. 1024-1034.</w:t>
      </w:r>
    </w:p>
    <w:p>
      <w:pPr>
        <w:spacing w:before="0" w:after="50" w:line="245" w:lineRule="auto"/>
        <w:ind w:left="288" w:hanging="288"/>
        <w:jc w:val="both"/>
      </w:pPr>
      <w:r>
        <w:rPr>
          <w:rFonts w:ascii="Times New Roman" w:hAnsi="Times New Roman"/>
          <w:sz w:val="15"/>
        </w:rPr>
        <w:t>[13] O. Vinyals, M. Fortunato, and N. Jaitly, "Pointer Networks," in Advances in Neural Information Processing Systems (NeurIPS), vol. 28, 2015, pp. 2692-2700.</w:t>
      </w:r>
    </w:p>
    <w:p>
      <w:pPr>
        <w:spacing w:before="0" w:after="50" w:line="245" w:lineRule="auto"/>
        <w:ind w:left="288" w:hanging="288"/>
        <w:jc w:val="both"/>
      </w:pPr>
      <w:r>
        <w:rPr>
          <w:rFonts w:ascii="Times New Roman" w:hAnsi="Times New Roman"/>
          <w:sz w:val="15"/>
        </w:rPr>
        <w:t>[14] I. Bello, H. Pham, Q. V. Le, M. Norouzi, and S. Bengio, "Neural Combinatorial Optimization with Reinforcement Learning," arXiv preprint arXiv:1611.09940, 2016.</w:t>
      </w:r>
    </w:p>
    <w:p>
      <w:pPr>
        <w:spacing w:before="0" w:after="50" w:line="245" w:lineRule="auto"/>
        <w:ind w:left="288" w:hanging="288"/>
        <w:jc w:val="both"/>
      </w:pPr>
      <w:r>
        <w:rPr>
          <w:rFonts w:ascii="Times New Roman" w:hAnsi="Times New Roman"/>
          <w:sz w:val="15"/>
        </w:rPr>
        <w:t>[15] W. Kool, H. van Hoof, and M. Welling, "Attention, Learn to Solve Routing Problems!," in International Conference on Learning Representations (ICLR), 2019.</w:t>
      </w:r>
    </w:p>
    <w:p>
      <w:pPr>
        <w:spacing w:before="0" w:after="50" w:line="245" w:lineRule="auto"/>
        <w:ind w:left="288" w:hanging="288"/>
        <w:jc w:val="both"/>
      </w:pPr>
      <w:r>
        <w:rPr>
          <w:rFonts w:ascii="Times New Roman" w:hAnsi="Times New Roman"/>
          <w:sz w:val="15"/>
        </w:rPr>
        <w:t>[16] Y. Song, J. Sohl-Dickstein, D. P. Kingma, A. Kumar, S. Ermon, and B. Poole, "Score-Based Generative Modeling through Stochastic Differential Equations," in International Conference on Learning Representations (ICLR), 2021.</w:t>
      </w:r>
    </w:p>
    <w:p>
      <w:pPr>
        <w:spacing w:before="0" w:after="50" w:line="245" w:lineRule="auto"/>
        <w:ind w:left="288" w:hanging="288"/>
        <w:jc w:val="both"/>
      </w:pPr>
      <w:r>
        <w:rPr>
          <w:rFonts w:ascii="Times New Roman" w:hAnsi="Times New Roman"/>
          <w:sz w:val="15"/>
        </w:rPr>
        <w:t>[17] S. Huang and S. Ontañón, "A Closer Look at Invalid Action Masking in Policy Gradient Algorithms," The International FLAIRS Conference Proceedings, vol. 35, 2022.</w:t>
      </w:r>
    </w:p>
    <w:p>
      <w:pPr>
        <w:spacing w:before="0" w:after="50" w:line="245" w:lineRule="auto"/>
        <w:ind w:left="288" w:hanging="288"/>
        <w:jc w:val="both"/>
      </w:pPr>
      <w:r>
        <w:rPr>
          <w:rFonts w:ascii="Times New Roman" w:hAnsi="Times New Roman"/>
          <w:sz w:val="15"/>
        </w:rPr>
        <w:t>[18] J. Schulman, F. Wolski, P. Dhariwal, A. Radford, and O. Klimov, "Proximal Policy Optimization Algorithms," arXiv preprint arXiv:1707.06347, 2017.</w:t>
      </w:r>
    </w:p>
    <w:p>
      <w:pPr>
        <w:spacing w:before="0" w:after="50" w:line="245" w:lineRule="auto"/>
        <w:ind w:left="288" w:hanging="288"/>
        <w:jc w:val="both"/>
      </w:pPr>
      <w:r>
        <w:rPr>
          <w:rFonts w:ascii="Times New Roman" w:hAnsi="Times New Roman"/>
          <w:sz w:val="15"/>
        </w:rPr>
        <w:t>[19] A. Pareja, J. M. Domeniconi, J. Chen, T. Ma, T. Suzumura, H. Kanezashi, T. Kaler, T. B. Schardl, and C. E. Leiserson, "EvolveGCN: Evolving Graph Convolutional Networks for Dynamic Graphs," in Proc. AAAI Conf. on Artificial Intelligence, vol. 34, no. 04, 2020, pp. 5363-5370.</w:t>
      </w:r>
    </w:p>
    <w:p>
      <w:pPr>
        <w:spacing w:before="0" w:after="50" w:line="245" w:lineRule="auto"/>
        <w:ind w:left="288" w:hanging="288"/>
        <w:jc w:val="both"/>
      </w:pPr>
      <w:r>
        <w:rPr>
          <w:rFonts w:ascii="Times New Roman" w:hAnsi="Times New Roman"/>
          <w:sz w:val="15"/>
        </w:rPr>
        <w:t>[20] B. M. Waxman, "Routing of multipoint connections," IEEE Journal on Selected Areas in Communications, vol. 6, no. 9, pp. 1617-1622, 1988.</w:t>
      </w:r>
    </w:p>
    <w:sectPr w:rsidR="00FC693F" w:rsidRPr="0006063C" w:rsidSect="00034616">
      <w:type w:val="continuous"/>
      <w:pgSz w:w="12240" w:h="15840"/>
      <w:pgMar w:top="1080" w:right="936" w:bottom="1080" w:left="936" w:header="720" w:footer="720" w:gutter="0"/>
      <w:cols w:space="720"/>
      <w:docGrid w:linePitch="360"/>
      <w:cols w:num="2" w:space="3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