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A0" w:rsidRDefault="00DB0FA0" w:rsidP="00DB0FA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8"/>
          <w:szCs w:val="48"/>
        </w:rPr>
        <w:t>Cahier des Charges</w:t>
      </w:r>
    </w:p>
    <w:p w:rsidR="00DB0FA0" w:rsidRDefault="00DB0FA0" w:rsidP="00DB0FA0">
      <w:pPr>
        <w:pStyle w:val="Titre1"/>
        <w:spacing w:before="480" w:after="120"/>
      </w:pPr>
      <w:r>
        <w:rPr>
          <w:rFonts w:ascii="Arial" w:hAnsi="Arial" w:cs="Arial"/>
          <w:color w:val="000000"/>
          <w:sz w:val="47"/>
          <w:szCs w:val="47"/>
        </w:rPr>
        <w:t>Fonctionnalités de base, à implémenter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>Représentation 3D d’une structure, plus ou moins grande (pièce, étage, appartement, partie d’entreprise, etc…)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 xml:space="preserve">Navigation de l’utilisateur à l’intérieur de la structure (se déplacer, se téléporter à un autre endroit via raccourcis, monter escaliers/ascenseurs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etc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>Interactions simples avec objets : le clic donne des informations sur l’objet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 xml:space="preserve">Le bâtiment est structuré, chaque objet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un certain nombre d’informations.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>Création/modification/suppression d’objets appartenant à cette base de données du bâtiment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 xml:space="preserve">La création d’objets se fait via un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importeur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Import d’objets déjà présents dans la bibliothèque d’objets, ou objets personnalisés.</w:t>
      </w:r>
    </w:p>
    <w:p w:rsidR="00DB0FA0" w:rsidRDefault="00DB0FA0" w:rsidP="00DB0FA0">
      <w:pPr>
        <w:pStyle w:val="Titre1"/>
        <w:spacing w:before="480" w:after="120"/>
      </w:pPr>
      <w:r>
        <w:rPr>
          <w:rFonts w:ascii="Arial" w:hAnsi="Arial" w:cs="Arial"/>
          <w:color w:val="000000"/>
          <w:sz w:val="47"/>
          <w:szCs w:val="47"/>
        </w:rPr>
        <w:t>Fonctionnalités secondaires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</w:t>
      </w:r>
      <w:r>
        <w:rPr>
          <w:rFonts w:ascii="Arial" w:hAnsi="Arial" w:cs="Arial"/>
          <w:color w:val="000000"/>
          <w:sz w:val="23"/>
          <w:szCs w:val="23"/>
        </w:rPr>
        <w:t>Edition de structure : tracé d’un plan 2D, construction automatique d’une structure 3D à partir de ce plan</w:t>
      </w:r>
    </w:p>
    <w:p w:rsidR="00DB0FA0" w:rsidRDefault="00DB0FA0" w:rsidP="00DB0FA0">
      <w:pPr>
        <w:pStyle w:val="NormalWeb"/>
        <w:spacing w:before="0" w:beforeAutospacing="0" w:after="0" w:afterAutospacing="0"/>
        <w:ind w:left="420" w:hanging="360"/>
      </w:pPr>
      <w:r>
        <w:rPr>
          <w:rFonts w:ascii="Arial" w:hAnsi="Arial" w:cs="Arial"/>
          <w:color w:val="000000"/>
          <w:sz w:val="23"/>
          <w:szCs w:val="23"/>
        </w:rPr>
        <w:t>-     L’utilisateur peut déplacer les objets à sa convenance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7"/>
          <w:szCs w:val="47"/>
        </w:rPr>
        <w:t>Déplacement dans la structure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Utilisation du clavier et de la souris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- haut/bas/droite/gauche -&gt;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zsdq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fleches</w:t>
      </w:r>
      <w:proofErr w:type="spellEnd"/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trackball souris pour les rotations caméra, avec point/viseur qui symbolise là où se porte le regard de l’utilisateur.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utilisation de boutons ou d’une mini-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ou des 2 pour accéder à d’autres pièces (téléport)</w:t>
      </w:r>
    </w:p>
    <w:p w:rsidR="00DB0FA0" w:rsidRDefault="00DB0FA0" w:rsidP="00DB0FA0">
      <w:r>
        <w:br/>
      </w:r>
      <w:r>
        <w:br/>
      </w:r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7"/>
          <w:szCs w:val="47"/>
        </w:rPr>
        <w:t>Modes de vue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FPS (mode immersif)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:  pour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se déplacer et obtenir des informations sur les objets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aménagement: en vue de dessus pour l’édition des objets et le déplacement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Construction: mode plan de construction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Switch entre les différents modes : middle clic affiche une roue, avec les différents modes de vue autour. Déplacement de la souris sur l’un de ces modes (avec middle clic toujours enfoncé)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switche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vers ce mode. Relâchement du middle-clic sans avoir déplacé la souris : annule l’action (et reste sur le mode de vue actuel)</w:t>
      </w:r>
    </w:p>
    <w:p w:rsidR="00DB0FA0" w:rsidRDefault="00DB0FA0" w:rsidP="00DB0FA0">
      <w:r>
        <w:lastRenderedPageBreak/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Possibilité de changer de mode de vue via icones/boutons.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7"/>
          <w:szCs w:val="47"/>
        </w:rPr>
        <w:t>Interactions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clic gauche sur un objet pour obtenir des informations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clic droit sur un objet pour accéder à une liste d’actions possibles …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barre espace pour accéder à un menu d’action (accès au catalogue des modèles…)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7"/>
          <w:szCs w:val="47"/>
        </w:rPr>
        <w:t>Interactions en sélection d’objet</w:t>
      </w:r>
    </w:p>
    <w:p w:rsidR="00DB0FA0" w:rsidRDefault="00DB0FA0" w:rsidP="00DB0FA0">
      <w:r>
        <w:br/>
      </w:r>
      <w:r>
        <w:br/>
      </w:r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/*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2 modes de vue, disponibles à tout moment: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FPS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mode carte vue de dessus de l’étage courant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(possibilité d’afficher plusieurs étages en vue plan dans la même fenêtre ??)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Différents modes de vues, non accessibles directement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-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highlight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de tous les objets d’un type (vue éloignée, murs et autres objets avec une certaine transparence)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- déplacement d’objets (vue différente que la vue FPS ?), soit dans le cadre d’une édition d’objet déjà existant, soit dans le cadre d’une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preview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d’objet non acheté.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*/</w:t>
      </w:r>
    </w:p>
    <w:p w:rsidR="00DB0FA0" w:rsidRDefault="00DB0FA0" w:rsidP="00DB0FA0">
      <w:r>
        <w:br/>
      </w:r>
      <w:r>
        <w:br/>
      </w:r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7"/>
          <w:szCs w:val="47"/>
        </w:rPr>
        <w:t>Fenêtre des informations “de base”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titre de la fourniture/objets tel qu’il apparaît dans le catalogue du magasin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fournisseur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- numéro d’identification unique du matériel dans la base de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donnée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de l’entreprise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- petite image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preview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 modèle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quantité de ce modèle dans l’entreprise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date d’achat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un bouton pour faire une nouvelle commande de ce type de modèle</w:t>
      </w:r>
    </w:p>
    <w:p w:rsidR="00DB0FA0" w:rsidRDefault="00DB0FA0" w:rsidP="00DB0FA0">
      <w:r>
        <w:br/>
      </w:r>
      <w:r>
        <w:br/>
      </w:r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7"/>
          <w:szCs w:val="47"/>
        </w:rPr>
        <w:lastRenderedPageBreak/>
        <w:t>Fenêtre des informations “étendues”</w:t>
      </w:r>
    </w:p>
    <w:p w:rsidR="00DB0FA0" w:rsidRDefault="00DB0FA0" w:rsidP="00DB0FA0">
      <w:r>
        <w:br/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fournisseur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date d’achat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- type d’achat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( investissement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immédiat, location avec/sans  option d’achat)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date de fin de contrat (jamais ou une date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..)</w:t>
      </w:r>
      <w:proofErr w:type="gramEnd"/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type d’amortissement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amortissement courant</w:t>
      </w:r>
    </w:p>
    <w:p w:rsidR="00DB0FA0" w:rsidRDefault="00DB0FA0" w:rsidP="00DB0F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prix unitaire (déduit du prix de groupe le cas échéant)</w:t>
      </w:r>
    </w:p>
    <w:p w:rsidR="00503556" w:rsidRPr="00DB0FA0" w:rsidRDefault="00DB0FA0" w:rsidP="00DB0FA0">
      <w:r>
        <w:br/>
      </w:r>
      <w:r>
        <w:br/>
      </w:r>
      <w:bookmarkStart w:id="0" w:name="_GoBack"/>
      <w:bookmarkEnd w:id="0"/>
    </w:p>
    <w:sectPr w:rsidR="00503556" w:rsidRPr="00DB0FA0" w:rsidSect="007059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A47B4"/>
    <w:multiLevelType w:val="hybridMultilevel"/>
    <w:tmpl w:val="1A245AD6"/>
    <w:lvl w:ilvl="0" w:tplc="5964CB0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79"/>
    <w:rsid w:val="00503556"/>
    <w:rsid w:val="00705967"/>
    <w:rsid w:val="007C0833"/>
    <w:rsid w:val="00AB0979"/>
    <w:rsid w:val="00B63041"/>
    <w:rsid w:val="00DB0FA0"/>
    <w:rsid w:val="00F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17DC453-6C83-4CCA-9E3B-97E0AECF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9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B09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09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969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969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0F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CHRISTIAENS</dc:creator>
  <cp:keywords/>
  <dc:description/>
  <cp:lastModifiedBy>Nicolas Wirtz</cp:lastModifiedBy>
  <cp:revision>5</cp:revision>
  <dcterms:created xsi:type="dcterms:W3CDTF">2013-10-23T08:27:00Z</dcterms:created>
  <dcterms:modified xsi:type="dcterms:W3CDTF">2013-11-10T16:16:00Z</dcterms:modified>
</cp:coreProperties>
</file>