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60FD9420" w:rsidR="00DC0CAE" w:rsidRDefault="00F65FF2">
      <w:pPr>
        <w:jc w:val="center"/>
        <w:rPr>
          <w:b/>
          <w:sz w:val="24"/>
          <w:szCs w:val="24"/>
        </w:rPr>
      </w:pPr>
      <w:r>
        <w:rPr>
          <w:b/>
          <w:sz w:val="24"/>
          <w:szCs w:val="24"/>
        </w:rPr>
        <w:t>Misapplied Metrics</w:t>
      </w:r>
      <w:r w:rsidR="00FF40F3">
        <w:rPr>
          <w:b/>
          <w:sz w:val="24"/>
          <w:szCs w:val="24"/>
        </w:rPr>
        <w:t>:</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618A61D6" w14:textId="77777777" w:rsidR="00026095" w:rsidRDefault="00026095">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0318BBA2" w14:textId="77777777" w:rsidR="007B2433" w:rsidRDefault="007B2433" w:rsidP="007B2433">
      <w:pPr>
        <w:jc w:val="center"/>
        <w:rPr>
          <w:b/>
          <w:sz w:val="24"/>
          <w:szCs w:val="24"/>
        </w:rPr>
      </w:pPr>
    </w:p>
    <w:p w14:paraId="66E2D744" w14:textId="77777777" w:rsidR="007B2433" w:rsidRDefault="007B2433" w:rsidP="007B2433">
      <w:pPr>
        <w:jc w:val="center"/>
        <w:rPr>
          <w:bCs/>
          <w:sz w:val="24"/>
          <w:szCs w:val="24"/>
        </w:rPr>
      </w:pPr>
      <w:r>
        <w:rPr>
          <w:bCs/>
          <w:sz w:val="24"/>
          <w:szCs w:val="24"/>
        </w:rPr>
        <w:t>Ryan Light</w:t>
      </w:r>
      <w:r>
        <w:rPr>
          <w:bCs/>
          <w:sz w:val="24"/>
          <w:szCs w:val="24"/>
        </w:rPr>
        <w:tab/>
        <w:t>Jill Ann Harrison</w:t>
      </w:r>
    </w:p>
    <w:p w14:paraId="27694C5C" w14:textId="77777777" w:rsidR="007B2433" w:rsidRPr="00460BBF" w:rsidRDefault="007B2433" w:rsidP="007B2433">
      <w:pPr>
        <w:jc w:val="center"/>
        <w:rPr>
          <w:bCs/>
          <w:sz w:val="24"/>
          <w:szCs w:val="24"/>
        </w:rPr>
      </w:pPr>
      <w:r>
        <w:rPr>
          <w:bCs/>
          <w:sz w:val="24"/>
          <w:szCs w:val="24"/>
        </w:rPr>
        <w:t>University of Oregon</w:t>
      </w:r>
    </w:p>
    <w:p w14:paraId="0DA32B2F" w14:textId="77777777" w:rsidR="007B2433" w:rsidRDefault="007B2433" w:rsidP="007B2433">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663973D5" w:rsidR="00DC0CAE" w:rsidRDefault="00DC0CAE">
      <w:pPr>
        <w:jc w:val="center"/>
        <w:rPr>
          <w:b/>
          <w:sz w:val="24"/>
          <w:szCs w:val="24"/>
        </w:rPr>
      </w:pPr>
    </w:p>
    <w:p w14:paraId="451DA518" w14:textId="1D536715" w:rsidR="004B39E5" w:rsidRDefault="004B39E5">
      <w:pPr>
        <w:jc w:val="center"/>
        <w:rPr>
          <w:b/>
          <w:sz w:val="24"/>
          <w:szCs w:val="24"/>
        </w:rPr>
      </w:pPr>
    </w:p>
    <w:p w14:paraId="23A6508B" w14:textId="3E6CBC03" w:rsidR="004B39E5" w:rsidRDefault="004B39E5">
      <w:pPr>
        <w:jc w:val="center"/>
        <w:rPr>
          <w:b/>
          <w:sz w:val="24"/>
          <w:szCs w:val="24"/>
        </w:rPr>
      </w:pPr>
    </w:p>
    <w:p w14:paraId="6C759EEC" w14:textId="77777777" w:rsidR="004B39E5" w:rsidRDefault="004B39E5">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1D11809F" w14:textId="77777777" w:rsidR="00DC0CAE" w:rsidRDefault="00FF40F3">
      <w:pPr>
        <w:jc w:val="center"/>
        <w:rPr>
          <w:b/>
          <w:sz w:val="24"/>
          <w:szCs w:val="24"/>
        </w:rPr>
      </w:pPr>
      <w:r>
        <w:rPr>
          <w:b/>
          <w:sz w:val="24"/>
          <w:szCs w:val="24"/>
        </w:rPr>
        <w:lastRenderedPageBreak/>
        <w:t>Misapplied Metrics:</w:t>
      </w:r>
      <w:r>
        <w:rPr>
          <w:b/>
          <w:sz w:val="24"/>
          <w:szCs w:val="24"/>
        </w:rPr>
        <w:br/>
        <w:t xml:space="preserve">Variation in the </w:t>
      </w:r>
      <w:r>
        <w:rPr>
          <w:b/>
          <w:i/>
          <w:sz w:val="24"/>
          <w:szCs w:val="24"/>
        </w:rPr>
        <w:t>h-</w:t>
      </w:r>
      <w:r>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4C62F35D"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Despite warnings against the practice, the popular </w:t>
      </w:r>
      <w:r>
        <w:rPr>
          <w:i/>
          <w:sz w:val="24"/>
          <w:szCs w:val="24"/>
        </w:rPr>
        <w:t>h</w:t>
      </w:r>
      <w:r>
        <w:rPr>
          <w:sz w:val="24"/>
          <w:szCs w:val="24"/>
        </w:rPr>
        <w:t xml:space="preserve">-index has been formally used as one such metric of valuation. In this article, we use the case of the </w:t>
      </w:r>
      <w:r>
        <w:rPr>
          <w:i/>
          <w:sz w:val="24"/>
          <w:szCs w:val="24"/>
        </w:rPr>
        <w:t>h</w:t>
      </w:r>
      <w:r>
        <w:rPr>
          <w:sz w:val="24"/>
          <w:szCs w:val="24"/>
        </w:rPr>
        <w:t xml:space="preserve">-index to examine how within and between discipline inequalities extend from the reliance of metrics, an illustration of the risk involved in the so-called “tyranny of metrics.” Using data from over 42,000 high performing scientists across 120 disciplines, we construct multilevel models predicting the </w:t>
      </w:r>
      <w:r>
        <w:rPr>
          <w:i/>
          <w:sz w:val="24"/>
          <w:szCs w:val="24"/>
        </w:rPr>
        <w:t>h</w:t>
      </w:r>
      <w:r>
        <w:rPr>
          <w:sz w:val="24"/>
          <w:szCs w:val="24"/>
        </w:rPr>
        <w:t xml:space="preserve">-index. Results suggest significant within-discipline variation in several forms, including a female penalty, as well as significant between discipline variation. Conclusions include recommendations to avoid using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77777777" w:rsidR="00DC0CAE" w:rsidRDefault="00FF40F3">
      <w:pPr>
        <w:rPr>
          <w:sz w:val="24"/>
          <w:szCs w:val="24"/>
        </w:rPr>
      </w:pPr>
      <w:r>
        <w:rPr>
          <w:sz w:val="24"/>
          <w:szCs w:val="24"/>
        </w:rPr>
        <w:t xml:space="preserve">Metrics; </w:t>
      </w:r>
      <w:r>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60791A27" w14:textId="77777777" w:rsidR="00DC0CAE" w:rsidRDefault="00FF40F3">
      <w:pPr>
        <w:rPr>
          <w:b/>
          <w:sz w:val="24"/>
          <w:szCs w:val="24"/>
        </w:rPr>
      </w:pPr>
      <w:r>
        <w:rPr>
          <w:b/>
          <w:sz w:val="24"/>
          <w:szCs w:val="24"/>
        </w:rPr>
        <w:lastRenderedPageBreak/>
        <w:t>Introduction</w:t>
      </w:r>
    </w:p>
    <w:p w14:paraId="20ED3372" w14:textId="77777777" w:rsidR="00DC0CAE" w:rsidRDefault="00FF40F3">
      <w:pPr>
        <w:rPr>
          <w:sz w:val="24"/>
          <w:szCs w:val="24"/>
        </w:rPr>
      </w:pPr>
      <w:r>
        <w:rPr>
          <w:sz w:val="24"/>
          <w:szCs w:val="24"/>
        </w:rPr>
        <w:t xml:space="preserve">From teaching to research, systematic evaluation of academic work presents a unique set of challenges as the 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 xml:space="preserve">-index are well understood, but less is known about how processes of inequality are embedded within its distribution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2AB923C4" w:rsidR="00DC0CAE" w:rsidRDefault="00FF40F3">
      <w:pPr>
        <w:rPr>
          <w:sz w:val="24"/>
          <w:szCs w:val="24"/>
        </w:rPr>
      </w:pPr>
      <w:r>
        <w:rPr>
          <w:sz w:val="24"/>
          <w:szCs w:val="24"/>
        </w:rPr>
        <w:t xml:space="preserve">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risks of the increasing push to quantify aspects of social life, the so-called “tyranny of metrics” (Muller, 2019). This research 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build unproductive individual constraints into academic labor, such as the anxiety connected to hyper-competitiveness, and ultimately result in less productive and innovative scholarship (Edwards &amp; Roy, 2017; Muller, 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xml:space="preserve">, </w:t>
      </w:r>
      <w:r w:rsidR="00C70585">
        <w:rPr>
          <w:sz w:val="24"/>
          <w:szCs w:val="24"/>
        </w:rPr>
        <w:lastRenderedPageBreak/>
        <w:t>2022)</w:t>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4E475C25"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-index or Hirsch Index, we turn to data on over 42,000 high-performing scientists across 120 disciplines</w:t>
      </w:r>
      <w:r w:rsidR="00272AF8">
        <w:rPr>
          <w:sz w:val="24"/>
          <w:szCs w:val="24"/>
        </w:rPr>
        <w:t xml:space="preserve"> in the United States</w:t>
      </w:r>
      <w:r>
        <w:rPr>
          <w:sz w:val="24"/>
          <w:szCs w:val="24"/>
        </w:rPr>
        <w:t xml:space="preserve">. This analysis draws from Ioannidis et al.’s (2019) dataset identifying the top scientists in the Scopus database. To understand within and between discipline differences, we construct multilevel models predicting the </w:t>
      </w:r>
      <w:r>
        <w:rPr>
          <w:i/>
          <w:sz w:val="24"/>
          <w:szCs w:val="24"/>
        </w:rPr>
        <w:t>h</w:t>
      </w:r>
      <w:r>
        <w:rPr>
          <w:sz w:val="24"/>
          <w:szCs w:val="24"/>
        </w:rPr>
        <w:t xml:space="preserve">-index with a range of factors including disciplinary age, the number of sole publications, a female name index, and </w:t>
      </w:r>
      <w:r w:rsidR="00272AF8">
        <w:rPr>
          <w:sz w:val="24"/>
          <w:szCs w:val="24"/>
        </w:rPr>
        <w:t xml:space="preserve">a </w:t>
      </w:r>
      <w:r>
        <w:rPr>
          <w:sz w:val="24"/>
          <w:szCs w:val="24"/>
        </w:rPr>
        <w:t xml:space="preserve">measure of university productivity. This approach is consistent with calls to develop multilevel analyses of gender disparities in science (Fox, 2020). Results indicate that significant within discipline differences exist, including a female and sole authorship penalty. Results further show significant between discipline differences with a range of estimated mean </w:t>
      </w:r>
      <w:r>
        <w:rPr>
          <w:i/>
          <w:sz w:val="24"/>
          <w:szCs w:val="24"/>
        </w:rPr>
        <w:t>h</w:t>
      </w:r>
      <w:r>
        <w:rPr>
          <w:sz w:val="24"/>
          <w:szCs w:val="24"/>
        </w:rPr>
        <w:t xml:space="preserve">-index scores from </w:t>
      </w:r>
      <w:r w:rsidR="00C64BC7">
        <w:rPr>
          <w:sz w:val="24"/>
          <w:szCs w:val="24"/>
        </w:rPr>
        <w:t>22</w:t>
      </w:r>
      <w:r>
        <w:rPr>
          <w:sz w:val="24"/>
          <w:szCs w:val="24"/>
        </w:rPr>
        <w:t xml:space="preserve"> to 6</w:t>
      </w:r>
      <w:r w:rsidR="00C64BC7">
        <w:rPr>
          <w:sz w:val="24"/>
          <w:szCs w:val="24"/>
        </w:rPr>
        <w:t>8</w:t>
      </w:r>
      <w:r>
        <w:rPr>
          <w:sz w:val="24"/>
          <w:szCs w:val="24"/>
        </w:rPr>
        <w:t xml:space="preserve">. Conclusions </w:t>
      </w:r>
      <w:r w:rsidR="00272AF8">
        <w:rPr>
          <w:sz w:val="24"/>
          <w:szCs w:val="24"/>
        </w:rPr>
        <w:t xml:space="preserve">highlight how the continued use of the </w:t>
      </w:r>
      <w:r>
        <w:rPr>
          <w:i/>
          <w:sz w:val="24"/>
          <w:szCs w:val="24"/>
        </w:rPr>
        <w:t>h</w:t>
      </w:r>
      <w:r>
        <w:rPr>
          <w:sz w:val="24"/>
          <w:szCs w:val="24"/>
        </w:rPr>
        <w:t>-index or similar metrics for valuation purposes</w:t>
      </w:r>
      <w:r w:rsidR="00272AF8">
        <w:rPr>
          <w:sz w:val="24"/>
          <w:szCs w:val="24"/>
        </w:rPr>
        <w:t xml:space="preserve"> potentially perpetuates inequality in science</w:t>
      </w:r>
      <w:r>
        <w:rPr>
          <w:sz w:val="24"/>
          <w:szCs w:val="24"/>
        </w:rPr>
        <w:t>.</w:t>
      </w:r>
    </w:p>
    <w:p w14:paraId="2BFF0969" w14:textId="77777777" w:rsidR="00DC0CAE" w:rsidRDefault="00FF40F3">
      <w:pPr>
        <w:pStyle w:val="Heading1"/>
      </w:pPr>
      <w:bookmarkStart w:id="0" w:name="_lcvsq7xv1f13" w:colFirst="0" w:colLast="0"/>
      <w:bookmarkEnd w:id="0"/>
      <w:r>
        <w:t>Inequality in Science</w:t>
      </w:r>
    </w:p>
    <w:p w14:paraId="7218D057" w14:textId="77777777"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2"/>
      </w:r>
      <w:r>
        <w:rPr>
          <w:sz w:val="24"/>
          <w:szCs w:val="24"/>
        </w:rPr>
        <w:t xml:space="preserve">     </w:t>
      </w:r>
    </w:p>
    <w:p w14:paraId="3CFD9995" w14:textId="77777777" w:rsidR="00DC0CAE" w:rsidRDefault="00FF40F3">
      <w:pPr>
        <w:rPr>
          <w:sz w:val="24"/>
          <w:szCs w:val="24"/>
        </w:rPr>
      </w:pPr>
      <w:r>
        <w:rPr>
          <w:sz w:val="24"/>
          <w:szCs w:val="24"/>
        </w:rPr>
        <w:t>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w:t>
      </w:r>
      <w:r>
        <w:rPr>
          <w:sz w:val="24"/>
          <w:szCs w:val="24"/>
        </w:rPr>
        <w:lastRenderedPageBreak/>
        <w:t xml:space="preserve">suggests that the productivity puzzle remains. For example, </w:t>
      </w:r>
      <w:proofErr w:type="spellStart"/>
      <w:r>
        <w:rPr>
          <w:sz w:val="24"/>
          <w:szCs w:val="24"/>
        </w:rPr>
        <w:t>Leahey</w:t>
      </w:r>
      <w:proofErr w:type="spellEnd"/>
      <w:r>
        <w:rPr>
          <w:sz w:val="24"/>
          <w:szCs w:val="24"/>
        </w:rPr>
        <w:t xml:space="preserve"> shows how the level of 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77777777"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77777777"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w:t>
      </w:r>
      <w:r>
        <w:rPr>
          <w:sz w:val="24"/>
          <w:szCs w:val="24"/>
        </w:rPr>
        <w:lastRenderedPageBreak/>
        <w:t xml:space="preserve">between fields in terms of federal funding with implications - a “domino effect” - for future non-federal </w:t>
      </w:r>
      <w:proofErr w:type="gramStart"/>
      <w:r>
        <w:rPr>
          <w:sz w:val="24"/>
          <w:szCs w:val="24"/>
        </w:rPr>
        <w:t>funding  and</w:t>
      </w:r>
      <w:proofErr w:type="gramEnd"/>
      <w:r>
        <w:rPr>
          <w:sz w:val="24"/>
          <w:szCs w:val="24"/>
        </w:rPr>
        <w:t xml:space="preserve"> a potential site of cumulative advantage stratifying disciplines.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77777777" w:rsidR="00DC0CAE" w:rsidRDefault="00FF40F3">
      <w:pPr>
        <w:pStyle w:val="Heading1"/>
      </w:pPr>
      <w:bookmarkStart w:id="2" w:name="_gu7m1ipxv0vs" w:colFirst="0" w:colLast="0"/>
      <w:bookmarkEnd w:id="2"/>
      <w:r>
        <w:t>Tyranny of Metrics</w:t>
      </w:r>
    </w:p>
    <w:p w14:paraId="072266E4" w14:textId="77777777" w:rsidR="00DC0CAE" w:rsidRDefault="00FF40F3">
      <w:pPr>
        <w:spacing w:after="0"/>
        <w:rPr>
          <w:sz w:val="24"/>
          <w:szCs w:val="24"/>
        </w:rPr>
      </w:pPr>
      <w:r>
        <w:rPr>
          <w:sz w:val="24"/>
          <w:szCs w:val="24"/>
        </w:rPr>
        <w:t xml:space="preserve">The tyranny of metrics is the process by which quantification becomes the central factor in determining worth. This “metrics fixation” occurs in a variety of fields from the law to business to education (Muller, 2019, p. 4). The turn to metrics is part of the broader process of </w:t>
      </w:r>
      <w:proofErr w:type="spellStart"/>
      <w:r>
        <w:rPr>
          <w:sz w:val="24"/>
          <w:szCs w:val="24"/>
        </w:rPr>
        <w:t>neoliberalization</w:t>
      </w:r>
      <w:proofErr w:type="spellEnd"/>
      <w:r>
        <w:rPr>
          <w:sz w:val="24"/>
          <w:szCs w:val="24"/>
        </w:rPr>
        <w:t xml:space="preserve"> of education. While </w:t>
      </w:r>
      <w:proofErr w:type="spellStart"/>
      <w:r>
        <w:rPr>
          <w:sz w:val="24"/>
          <w:szCs w:val="24"/>
        </w:rPr>
        <w:t>neoliberalization</w:t>
      </w:r>
      <w:proofErr w:type="spellEnd"/>
      <w:r>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Pr>
          <w:sz w:val="24"/>
          <w:szCs w:val="24"/>
        </w:rPr>
        <w:t>actually understand</w:t>
      </w:r>
      <w:proofErr w:type="gramEnd"/>
      <w:r>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w:t>
      </w:r>
      <w:r>
        <w:rPr>
          <w:sz w:val="24"/>
          <w:szCs w:val="24"/>
        </w:rPr>
        <w:lastRenderedPageBreak/>
        <w:t>shop floor with little regard to employee satisfaction or wellness. By using technology to set the 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w:t>
      </w:r>
      <w:r>
        <w:rPr>
          <w:sz w:val="24"/>
          <w:szCs w:val="24"/>
        </w:rPr>
        <w:lastRenderedPageBreak/>
        <w:t xml:space="preserve">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77777777" w:rsidR="00DC0CAE" w:rsidRDefault="00FF40F3">
      <w:pPr>
        <w:rPr>
          <w:sz w:val="24"/>
          <w:szCs w:val="24"/>
        </w:rPr>
      </w:pPr>
      <w:proofErr w:type="spellStart"/>
      <w:r>
        <w:rPr>
          <w:sz w:val="24"/>
          <w:szCs w:val="24"/>
        </w:rPr>
        <w:t>Inlight</w:t>
      </w:r>
      <w:proofErr w:type="spellEnd"/>
      <w:r>
        <w:rPr>
          <w:sz w:val="24"/>
          <w:szCs w:val="24"/>
        </w:rPr>
        <w:t xml:space="preserve"> of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7777777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77777777" w:rsidR="00DC0CAE" w:rsidRDefault="00FF40F3">
      <w:pPr>
        <w:rPr>
          <w:sz w:val="24"/>
          <w:szCs w:val="24"/>
        </w:rPr>
      </w:pPr>
      <w:r>
        <w:rPr>
          <w:sz w:val="24"/>
          <w:szCs w:val="24"/>
        </w:rPr>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 We also </w:t>
      </w:r>
      <w:r>
        <w:rPr>
          <w:sz w:val="24"/>
          <w:szCs w:val="24"/>
        </w:rPr>
        <w:lastRenderedPageBreak/>
        <w:t>filter the data to exclude the Visual &amp; Performing Arts, Philosophy &amp; Theology, Built Environment &amp; Design, Historical Studies, Communication and Textual Studies fields due to their relative rarity and to reduce apples to oranges comparisons. Disciplines were also filtered for size (n&gt;100) on top of the field filters. These reductions, plus listwise deletion of omitted variables, results in a sample size of 42,509 scholars nested in 120 disciplines.</w:t>
      </w:r>
    </w:p>
    <w:p w14:paraId="4F407C26" w14:textId="5A67503A"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university count of citation </w:t>
      </w:r>
      <w:r w:rsidR="00381FE0">
        <w:rPr>
          <w:sz w:val="24"/>
          <w:szCs w:val="24"/>
        </w:rPr>
        <w:t>“</w:t>
      </w:r>
      <w:r>
        <w:rPr>
          <w:sz w:val="24"/>
          <w:szCs w:val="24"/>
        </w:rPr>
        <w:t>all</w:t>
      </w:r>
      <w:r w:rsidR="00381FE0">
        <w:rPr>
          <w:sz w:val="24"/>
          <w:szCs w:val="24"/>
        </w:rPr>
        <w:t>-</w:t>
      </w:r>
      <w:r>
        <w:rPr>
          <w:sz w:val="24"/>
          <w:szCs w:val="24"/>
        </w:rPr>
        <w:t>stars,</w:t>
      </w:r>
      <w:r w:rsidR="00381FE0">
        <w:rPr>
          <w:sz w:val="24"/>
          <w:szCs w:val="24"/>
        </w:rPr>
        <w:t>”</w:t>
      </w:r>
      <w:r>
        <w:rPr>
          <w:sz w:val="24"/>
          <w:szCs w:val="24"/>
        </w:rPr>
        <w:t xml:space="preserve"> the 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We scaled the number of citations by dividing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Default="00FF40F3">
      <w:pPr>
        <w:rPr>
          <w:sz w:val="24"/>
          <w:szCs w:val="24"/>
        </w:rPr>
      </w:pPr>
      <w:r>
        <w:rPr>
          <w:sz w:val="24"/>
          <w:szCs w:val="24"/>
        </w:rPr>
        <w:t xml:space="preserve">To further evaluate the within and between discipline factors related to the </w:t>
      </w:r>
      <w:r>
        <w:rPr>
          <w:i/>
          <w:sz w:val="24"/>
          <w:szCs w:val="24"/>
        </w:rPr>
        <w:t>h</w:t>
      </w:r>
      <w:r>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Pr>
          <w:sz w:val="24"/>
          <w:szCs w:val="24"/>
        </w:rPr>
        <w:t>Mongeon</w:t>
      </w:r>
      <w:proofErr w:type="spellEnd"/>
      <w:r>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Pr>
          <w:sz w:val="24"/>
          <w:szCs w:val="24"/>
        </w:rPr>
        <w:t xml:space="preserve">Table 1 presents the descriptive statistics for the variables used in both the full (1a) and clinical medicine (1b) analyses. Note several differences between the two datasets with scholars in the clinical medicine set having a higher </w:t>
      </w:r>
      <w:r>
        <w:rPr>
          <w:i/>
          <w:sz w:val="24"/>
          <w:szCs w:val="24"/>
        </w:rPr>
        <w:t>h</w:t>
      </w:r>
      <w:r>
        <w:rPr>
          <w:sz w:val="24"/>
          <w:szCs w:val="24"/>
        </w:rPr>
        <w:t xml:space="preserve">-index, higher number of citations, and lower percentage of sole author publications consistent with a more strictly natural or life science set, but a similar mean percent female name. </w:t>
      </w:r>
    </w:p>
    <w:p w14:paraId="0564BB28" w14:textId="77777777" w:rsidR="00DC0CAE" w:rsidRDefault="00FF40F3">
      <w:pPr>
        <w:jc w:val="center"/>
        <w:rPr>
          <w:sz w:val="24"/>
          <w:szCs w:val="24"/>
        </w:rPr>
      </w:pPr>
      <w:r>
        <w:rPr>
          <w:sz w:val="24"/>
          <w:szCs w:val="24"/>
        </w:rPr>
        <w:t>&lt;Table 1 about here&gt;</w:t>
      </w:r>
    </w:p>
    <w:p w14:paraId="046CB3D1" w14:textId="77777777" w:rsidR="00DC0CAE" w:rsidRDefault="00FF40F3">
      <w:pPr>
        <w:pStyle w:val="Heading2"/>
      </w:pPr>
      <w:bookmarkStart w:id="6" w:name="_gk8f8c588b4x" w:colFirst="0" w:colLast="0"/>
      <w:bookmarkEnd w:id="6"/>
      <w:r>
        <w:lastRenderedPageBreak/>
        <w:t>Analytic Strategy</w:t>
      </w:r>
    </w:p>
    <w:p w14:paraId="593B1AF0" w14:textId="7F2BA7D2" w:rsidR="00DC0CAE" w:rsidRDefault="00FF40F3">
      <w:pPr>
        <w:rPr>
          <w:sz w:val="24"/>
          <w:szCs w:val="24"/>
        </w:rPr>
      </w:pPr>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Luke, 2019). Our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 As recommended given our substantive questions, first level variables were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p>
    <w:p w14:paraId="4B854400" w14:textId="77777777" w:rsidR="00DC0CAE" w:rsidRDefault="00FF40F3">
      <w:pPr>
        <w:rPr>
          <w:sz w:val="24"/>
          <w:szCs w:val="24"/>
        </w:rPr>
      </w:pPr>
      <w:r>
        <w:rPr>
          <w:sz w:val="24"/>
          <w:szCs w:val="24"/>
        </w:rPr>
        <w:t>All models were run using the lme4 package (Bates et al., 2007) in R version 1.4.1106.</w:t>
      </w:r>
    </w:p>
    <w:p w14:paraId="528E9388" w14:textId="77777777" w:rsidR="00DC0CAE" w:rsidRDefault="00FF40F3">
      <w:pPr>
        <w:pStyle w:val="Heading1"/>
      </w:pPr>
      <w:bookmarkStart w:id="7" w:name="_p3m4qcs1vb73" w:colFirst="0" w:colLast="0"/>
      <w:bookmarkEnd w:id="7"/>
      <w:r>
        <w:t>Results</w:t>
      </w:r>
    </w:p>
    <w:p w14:paraId="42BEB8F3" w14:textId="77777777"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w:t>
      </w:r>
      <w:proofErr w:type="gramStart"/>
      <w:r>
        <w:rPr>
          <w:sz w:val="24"/>
          <w:szCs w:val="24"/>
        </w:rPr>
        <w:t>2019,  p.</w:t>
      </w:r>
      <w:proofErr w:type="gramEnd"/>
      <w:r>
        <w:rPr>
          <w:sz w:val="24"/>
          <w:szCs w:val="24"/>
        </w:rPr>
        <w:t xml:space="preserve"> 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t xml:space="preserve">Figure 1 presents the estimated means for a distribution of 15 disciplines. We constructed the estimated mean by subtracting the conditional group means from the intercept for the full model </w:t>
      </w:r>
      <w:r>
        <w:rPr>
          <w:sz w:val="24"/>
          <w:szCs w:val="24"/>
        </w:rPr>
        <w:lastRenderedPageBreak/>
        <w:t xml:space="preserve">(Table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408E7F46" w14:textId="77777777" w:rsidR="00DC0CAE" w:rsidRDefault="00FF40F3">
      <w:pPr>
        <w:jc w:val="center"/>
        <w:rPr>
          <w:sz w:val="24"/>
          <w:szCs w:val="24"/>
        </w:rPr>
      </w:pPr>
      <w:r>
        <w:rPr>
          <w:sz w:val="24"/>
          <w:szCs w:val="24"/>
        </w:rPr>
        <w:t>&lt;Figure 2 about here&gt;</w:t>
      </w:r>
    </w:p>
    <w:p w14:paraId="35B57925" w14:textId="332EB23B" w:rsidR="00DC0CAE" w:rsidRDefault="00FF40F3">
      <w:pPr>
        <w:rPr>
          <w:sz w:val="24"/>
          <w:szCs w:val="24"/>
        </w:rPr>
      </w:pPr>
      <w:r>
        <w:rPr>
          <w:sz w:val="24"/>
          <w:szCs w:val="24"/>
        </w:rPr>
        <w:t>Like Figure 1, Figure 2 presents the estimated means for a distribution of 15 disciplines within the clinical medicine subset. Again, we see further evidence of the significant differences between disciplines. Dentistry and Otorhinolaryngology are the disciplines with the lowest scores - 3</w:t>
      </w:r>
      <w:r w:rsidR="001A194E">
        <w:rPr>
          <w:sz w:val="24"/>
          <w:szCs w:val="24"/>
        </w:rPr>
        <w:t>9</w:t>
      </w:r>
      <w:r>
        <w:rPr>
          <w:sz w:val="24"/>
          <w:szCs w:val="24"/>
        </w:rPr>
        <w:t>.</w:t>
      </w:r>
      <w:r w:rsidR="001A194E">
        <w:rPr>
          <w:sz w:val="24"/>
          <w:szCs w:val="24"/>
        </w:rPr>
        <w:t>8</w:t>
      </w:r>
      <w:r>
        <w:rPr>
          <w:sz w:val="24"/>
          <w:szCs w:val="24"/>
        </w:rPr>
        <w:t xml:space="preserve"> and 3</w:t>
      </w:r>
      <w:r w:rsidR="001A194E">
        <w:rPr>
          <w:sz w:val="24"/>
          <w:szCs w:val="24"/>
        </w:rPr>
        <w:t>9</w:t>
      </w:r>
      <w:r>
        <w:rPr>
          <w:sz w:val="24"/>
          <w:szCs w:val="24"/>
        </w:rPr>
        <w:t>.</w:t>
      </w:r>
      <w:r w:rsidR="001A194E">
        <w:rPr>
          <w:sz w:val="24"/>
          <w:szCs w:val="24"/>
        </w:rPr>
        <w:t>9</w:t>
      </w:r>
      <w:r>
        <w:rPr>
          <w:sz w:val="24"/>
          <w:szCs w:val="24"/>
        </w:rPr>
        <w:t xml:space="preserve"> - while epidemiology and immunology have the highest scores - 6</w:t>
      </w:r>
      <w:r w:rsidR="001A194E">
        <w:rPr>
          <w:sz w:val="24"/>
          <w:szCs w:val="24"/>
        </w:rPr>
        <w:t>6</w:t>
      </w:r>
      <w:r>
        <w:rPr>
          <w:sz w:val="24"/>
          <w:szCs w:val="24"/>
        </w:rPr>
        <w:t>.</w:t>
      </w:r>
      <w:r w:rsidR="001A194E">
        <w:rPr>
          <w:sz w:val="24"/>
          <w:szCs w:val="24"/>
        </w:rPr>
        <w:t>3</w:t>
      </w:r>
      <w:r>
        <w:rPr>
          <w:sz w:val="24"/>
          <w:szCs w:val="24"/>
        </w:rPr>
        <w:t xml:space="preserve"> and 6</w:t>
      </w:r>
      <w:r w:rsidR="001A194E">
        <w:rPr>
          <w:sz w:val="24"/>
          <w:szCs w:val="24"/>
        </w:rPr>
        <w:t>6</w:t>
      </w:r>
      <w:r>
        <w:rPr>
          <w:sz w:val="24"/>
          <w:szCs w:val="24"/>
        </w:rPr>
        <w:t>.</w:t>
      </w:r>
      <w:r w:rsidR="001A194E">
        <w:rPr>
          <w:sz w:val="24"/>
          <w:szCs w:val="24"/>
        </w:rPr>
        <w:t>8</w:t>
      </w:r>
      <w:r>
        <w:rPr>
          <w:sz w:val="24"/>
          <w:szCs w:val="24"/>
        </w:rPr>
        <w:t>.</w:t>
      </w:r>
      <w:r>
        <w:rPr>
          <w:sz w:val="24"/>
          <w:szCs w:val="24"/>
          <w:vertAlign w:val="superscript"/>
        </w:rPr>
        <w:footnoteReference w:id="3"/>
      </w:r>
      <w:r>
        <w:rPr>
          <w:sz w:val="24"/>
          <w:szCs w:val="24"/>
        </w:rPr>
        <w:t xml:space="preserve"> These differences provide further evidence supporting the disciplinary differences hypothesis (hypothesis 3).</w:t>
      </w:r>
    </w:p>
    <w:p w14:paraId="0DF55CAE" w14:textId="77777777" w:rsidR="00DC0CAE" w:rsidRDefault="00FF40F3">
      <w:pPr>
        <w:pStyle w:val="Heading1"/>
      </w:pPr>
      <w:bookmarkStart w:id="8" w:name="_rx9vsk29h8ae" w:colFirst="0" w:colLast="0"/>
      <w:bookmarkEnd w:id="8"/>
      <w:r>
        <w:t>Conclusion</w:t>
      </w:r>
    </w:p>
    <w:p w14:paraId="18F149B1" w14:textId="77777777"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multilevel models predicting the </w:t>
      </w:r>
      <w:r>
        <w:rPr>
          <w:i/>
          <w:sz w:val="24"/>
          <w:szCs w:val="24"/>
        </w:rPr>
        <w:t>h</w:t>
      </w:r>
      <w:r>
        <w:rPr>
          <w:sz w:val="24"/>
          <w:szCs w:val="24"/>
        </w:rPr>
        <w:t xml:space="preserve">-index for high-performing scholars in 140 disciplines. Results indicate that gender and sole-authorship affect the </w:t>
      </w:r>
      <w:r>
        <w:rPr>
          <w:i/>
          <w:sz w:val="24"/>
          <w:szCs w:val="24"/>
        </w:rPr>
        <w:t>h</w:t>
      </w:r>
      <w:r>
        <w:rPr>
          <w:sz w:val="24"/>
          <w:szCs w:val="24"/>
        </w:rPr>
        <w:t xml:space="preserve">-index providing support for our female penalty and sole authorship hypotheses. The ICC score provided evidence of between discipline differences alongside pronounced differences in the distribution of the estimated mean supporting the disciplinary differences hypothesis. The </w:t>
      </w:r>
      <w:r>
        <w:rPr>
          <w:sz w:val="24"/>
          <w:szCs w:val="24"/>
        </w:rPr>
        <w:lastRenderedPageBreak/>
        <w:t xml:space="preserve">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p>
    <w:p w14:paraId="7BA4D3E7" w14:textId="77777777" w:rsidR="00DC0CAE" w:rsidRDefault="00FF40F3">
      <w:pPr>
        <w:rPr>
          <w:sz w:val="24"/>
          <w:szCs w:val="24"/>
        </w:rPr>
      </w:pPr>
      <w:r>
        <w:rPr>
          <w:sz w:val="24"/>
          <w:szCs w:val="24"/>
        </w:rPr>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77777777" w:rsidR="00DC0CAE" w:rsidRDefault="00FF40F3">
      <w:pPr>
        <w:rPr>
          <w:sz w:val="24"/>
          <w:szCs w:val="24"/>
        </w:rPr>
      </w:pPr>
      <w:r>
        <w:rPr>
          <w:sz w:val="24"/>
          <w:szCs w:val="24"/>
        </w:rPr>
        <w:t xml:space="preserve">In conclusion, we believe that any debate about the merits of using metrics in performance evaluation in academia is resolved by this analysis and the significant body of research that proceeds it: Metrics provide an inadequate summary of academic careers and, moreover, are subject to within and between discipline biases. 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These metrics simply should not be used for evaluating academic labor. As Cassidy Sugimoto succinctly states, </w:t>
      </w:r>
      <w:r>
        <w:rPr>
          <w:color w:val="222222"/>
          <w:sz w:val="24"/>
          <w:szCs w:val="24"/>
          <w:highlight w:val="white"/>
        </w:rPr>
        <w:t xml:space="preserve">“Ranking scientists is not good for science” </w:t>
      </w:r>
      <w:r>
        <w:rPr>
          <w:sz w:val="24"/>
          <w:szCs w:val="24"/>
        </w:rPr>
        <w:t xml:space="preserve">(quoted in Van </w:t>
      </w:r>
      <w:proofErr w:type="spellStart"/>
      <w:r>
        <w:rPr>
          <w:sz w:val="24"/>
          <w:szCs w:val="24"/>
        </w:rPr>
        <w:t>Noorden</w:t>
      </w:r>
      <w:proofErr w:type="spellEnd"/>
      <w:r>
        <w:rPr>
          <w:sz w:val="24"/>
          <w:szCs w:val="24"/>
        </w:rPr>
        <w:t xml:space="preserve"> &amp; Singh Chawla, 2019). </w:t>
      </w:r>
    </w:p>
    <w:p w14:paraId="3E10E74A" w14:textId="77777777" w:rsidR="00DC0CAE" w:rsidRDefault="00FF40F3" w:rsidP="0070044D">
      <w:pPr>
        <w:pStyle w:val="Heading1"/>
        <w:spacing w:after="0" w:line="240" w:lineRule="auto"/>
      </w:pPr>
      <w:bookmarkStart w:id="9" w:name="_hn6bb3mupilb" w:colFirst="0" w:colLast="0"/>
      <w:bookmarkEnd w:id="9"/>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6626AA84"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0C263E18" w14:textId="77777777"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4DB8906A" w14:textId="77777777"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 xml:space="preserve">(5), 641–666. </w:t>
      </w:r>
      <w:r>
        <w:lastRenderedPageBreak/>
        <w:t>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lastRenderedPageBreak/>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301018B1" w14:textId="77777777" w:rsidR="00DC0CAE" w:rsidRDefault="00FF40F3" w:rsidP="0070044D">
      <w:pPr>
        <w:widowControl w:val="0"/>
        <w:pBdr>
          <w:top w:val="nil"/>
          <w:left w:val="nil"/>
          <w:bottom w:val="nil"/>
          <w:right w:val="nil"/>
          <w:between w:val="nil"/>
        </w:pBdr>
        <w:spacing w:after="0" w:line="240" w:lineRule="auto"/>
        <w:ind w:left="720" w:hanging="720"/>
      </w:pPr>
      <w:r>
        <w:t xml:space="preserve">Ma, Y., &amp; Xiao, S. (2021). Math and Science Identity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 xml:space="preserve">(1), e0189742. </w:t>
      </w:r>
      <w:r>
        <w:lastRenderedPageBreak/>
        <w:t>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4F294EF5" w14:textId="77777777" w:rsidR="00DC0CAE" w:rsidRDefault="00FF40F3" w:rsidP="0070044D">
      <w:pPr>
        <w:widowControl w:val="0"/>
        <w:pBdr>
          <w:top w:val="nil"/>
          <w:left w:val="nil"/>
          <w:bottom w:val="nil"/>
          <w:right w:val="nil"/>
          <w:between w:val="nil"/>
        </w:pBdr>
        <w:spacing w:after="0" w:line="240" w:lineRule="auto"/>
        <w:ind w:left="720" w:hanging="720"/>
      </w:pPr>
      <w:r>
        <w:t xml:space="preserve">Van </w:t>
      </w:r>
      <w:proofErr w:type="spellStart"/>
      <w:r>
        <w:t>Noorden</w:t>
      </w:r>
      <w:proofErr w:type="spellEnd"/>
      <w:r>
        <w:t xml:space="preserve">, R., &amp; Singh Chawla, D. (2019). Hundreds of extreme self-citing scientists revealed in new database. </w:t>
      </w:r>
      <w:r>
        <w:rPr>
          <w:i/>
        </w:rPr>
        <w:t>Nature</w:t>
      </w:r>
      <w:r>
        <w:t xml:space="preserve">, </w:t>
      </w:r>
      <w:r>
        <w:rPr>
          <w:i/>
        </w:rPr>
        <w:t>572</w:t>
      </w:r>
      <w:r>
        <w:t>(7771), 578–579. https://doi.org/10.1038/d41586-019-02479-7</w:t>
      </w:r>
    </w:p>
    <w:p w14:paraId="7EC6DE5F"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tbl>
      <w:tblPr>
        <w:tblStyle w:val="a"/>
        <w:tblW w:w="10124" w:type="dxa"/>
        <w:tblLayout w:type="fixed"/>
        <w:tblLook w:val="0400" w:firstRow="0" w:lastRow="0" w:firstColumn="0" w:lastColumn="0" w:noHBand="0" w:noVBand="1"/>
      </w:tblPr>
      <w:tblGrid>
        <w:gridCol w:w="2700"/>
        <w:gridCol w:w="880"/>
        <w:gridCol w:w="44"/>
        <w:gridCol w:w="1256"/>
        <w:gridCol w:w="44"/>
        <w:gridCol w:w="1256"/>
        <w:gridCol w:w="44"/>
        <w:gridCol w:w="1256"/>
        <w:gridCol w:w="44"/>
        <w:gridCol w:w="1256"/>
        <w:gridCol w:w="44"/>
        <w:gridCol w:w="1256"/>
        <w:gridCol w:w="44"/>
      </w:tblGrid>
      <w:tr w:rsidR="00DC0CAE" w14:paraId="00A30B25" w14:textId="77777777">
        <w:trPr>
          <w:trHeight w:val="320"/>
        </w:trPr>
        <w:tc>
          <w:tcPr>
            <w:tcW w:w="3624" w:type="dxa"/>
            <w:gridSpan w:val="3"/>
            <w:tcBorders>
              <w:top w:val="nil"/>
              <w:left w:val="nil"/>
              <w:bottom w:val="single" w:sz="4" w:space="0" w:color="000000"/>
              <w:right w:val="nil"/>
            </w:tcBorders>
            <w:shd w:val="clear" w:color="auto" w:fill="auto"/>
            <w:vAlign w:val="center"/>
          </w:tcPr>
          <w:p w14:paraId="23C3F6C7" w14:textId="77777777" w:rsidR="00DC0CAE" w:rsidRDefault="00DC0CAE" w:rsidP="0070044D">
            <w:pPr>
              <w:spacing w:after="0" w:line="240" w:lineRule="auto"/>
              <w:rPr>
                <w:b/>
              </w:rPr>
            </w:pPr>
          </w:p>
          <w:p w14:paraId="2FDF063D" w14:textId="77777777" w:rsidR="00DC0CAE" w:rsidRDefault="00DC0CAE" w:rsidP="0070044D">
            <w:pPr>
              <w:spacing w:after="0" w:line="240" w:lineRule="auto"/>
              <w:rPr>
                <w:b/>
              </w:rPr>
            </w:pPr>
          </w:p>
          <w:p w14:paraId="19FF12C0" w14:textId="77777777" w:rsidR="00DC0CAE" w:rsidRDefault="00DC0CAE" w:rsidP="0070044D">
            <w:pPr>
              <w:spacing w:after="0" w:line="240" w:lineRule="auto"/>
              <w:rPr>
                <w:b/>
              </w:rPr>
            </w:pPr>
          </w:p>
          <w:p w14:paraId="697F1941" w14:textId="77777777" w:rsidR="00DC0CAE" w:rsidRDefault="00DC0CAE" w:rsidP="0070044D">
            <w:pPr>
              <w:spacing w:after="0" w:line="240" w:lineRule="auto"/>
              <w:rPr>
                <w:b/>
              </w:rPr>
            </w:pPr>
          </w:p>
          <w:p w14:paraId="4BF8B3B8" w14:textId="77777777" w:rsidR="00DC0CAE" w:rsidRDefault="00DC0CAE" w:rsidP="0070044D">
            <w:pPr>
              <w:spacing w:after="0" w:line="240" w:lineRule="auto"/>
              <w:rPr>
                <w:b/>
              </w:rPr>
            </w:pPr>
          </w:p>
          <w:p w14:paraId="1F138345" w14:textId="77777777" w:rsidR="00DC0CAE" w:rsidRDefault="00DC0CAE" w:rsidP="0070044D">
            <w:pPr>
              <w:spacing w:after="0" w:line="240" w:lineRule="auto"/>
              <w:rPr>
                <w:b/>
              </w:rPr>
            </w:pPr>
          </w:p>
          <w:p w14:paraId="4A9FB759" w14:textId="77777777" w:rsidR="00DC0CAE" w:rsidRDefault="00DC0CAE" w:rsidP="0070044D">
            <w:pPr>
              <w:spacing w:after="0" w:line="240" w:lineRule="auto"/>
              <w:rPr>
                <w:b/>
              </w:rPr>
            </w:pPr>
          </w:p>
          <w:p w14:paraId="6C499D88" w14:textId="77777777" w:rsidR="00DC0CAE" w:rsidRDefault="00DC0CAE" w:rsidP="0070044D">
            <w:pPr>
              <w:spacing w:after="0" w:line="240" w:lineRule="auto"/>
              <w:rPr>
                <w:b/>
              </w:rPr>
            </w:pPr>
          </w:p>
          <w:p w14:paraId="5F2D6031" w14:textId="77777777" w:rsidR="00DC0CAE" w:rsidRDefault="00DC0CAE" w:rsidP="0070044D">
            <w:pPr>
              <w:spacing w:after="0" w:line="240" w:lineRule="auto"/>
              <w:rPr>
                <w:b/>
              </w:rPr>
            </w:pPr>
          </w:p>
          <w:p w14:paraId="6AD02651" w14:textId="77777777" w:rsidR="00DC0CAE" w:rsidRDefault="00DC0CAE" w:rsidP="0070044D">
            <w:pPr>
              <w:spacing w:after="0" w:line="240" w:lineRule="auto"/>
              <w:rPr>
                <w:b/>
              </w:rPr>
            </w:pPr>
          </w:p>
          <w:p w14:paraId="4E5AEE8E" w14:textId="77777777" w:rsidR="00DC0CAE" w:rsidRDefault="00DC0CAE" w:rsidP="0070044D">
            <w:pPr>
              <w:spacing w:after="0" w:line="240" w:lineRule="auto"/>
              <w:rPr>
                <w:b/>
              </w:rPr>
            </w:pPr>
          </w:p>
          <w:p w14:paraId="117EA49E" w14:textId="77777777" w:rsidR="00DC0CAE" w:rsidRDefault="00DC0CAE" w:rsidP="0070044D">
            <w:pPr>
              <w:spacing w:after="0" w:line="240" w:lineRule="auto"/>
              <w:rPr>
                <w:b/>
              </w:rPr>
            </w:pPr>
          </w:p>
          <w:p w14:paraId="427DEB82" w14:textId="77777777" w:rsidR="00DC0CAE" w:rsidRDefault="00DC0CAE" w:rsidP="0070044D">
            <w:pPr>
              <w:spacing w:after="0" w:line="240" w:lineRule="auto"/>
              <w:rPr>
                <w:b/>
              </w:rPr>
            </w:pPr>
          </w:p>
          <w:p w14:paraId="73C0B736" w14:textId="77777777" w:rsidR="00DC0CAE" w:rsidRDefault="00DC0CAE" w:rsidP="0070044D">
            <w:pPr>
              <w:spacing w:after="0" w:line="240" w:lineRule="auto"/>
              <w:rPr>
                <w:b/>
              </w:rPr>
            </w:pPr>
          </w:p>
          <w:p w14:paraId="43417C6B" w14:textId="77777777" w:rsidR="00DC0CAE" w:rsidRDefault="00DC0CAE" w:rsidP="0070044D">
            <w:pPr>
              <w:spacing w:after="0" w:line="240" w:lineRule="auto"/>
              <w:rPr>
                <w:b/>
              </w:rPr>
            </w:pPr>
          </w:p>
          <w:p w14:paraId="424EDAA1" w14:textId="77777777" w:rsidR="00DC0CAE" w:rsidRDefault="00DC0CAE" w:rsidP="0070044D">
            <w:pPr>
              <w:spacing w:after="0" w:line="240" w:lineRule="auto"/>
              <w:rPr>
                <w:b/>
              </w:rPr>
            </w:pPr>
          </w:p>
          <w:p w14:paraId="66263072" w14:textId="77777777" w:rsidR="00DC0CAE" w:rsidRDefault="00DC0CAE" w:rsidP="0070044D">
            <w:pPr>
              <w:spacing w:after="0" w:line="240" w:lineRule="auto"/>
              <w:rPr>
                <w:b/>
              </w:rPr>
            </w:pPr>
          </w:p>
          <w:p w14:paraId="621D7D13" w14:textId="77777777" w:rsidR="00DC0CAE" w:rsidRDefault="00DC0CAE" w:rsidP="0070044D">
            <w:pPr>
              <w:spacing w:after="0" w:line="240" w:lineRule="auto"/>
              <w:rPr>
                <w:b/>
              </w:rPr>
            </w:pPr>
          </w:p>
          <w:p w14:paraId="20541ED1" w14:textId="77777777" w:rsidR="00DC0CAE" w:rsidRDefault="00DC0CAE" w:rsidP="0070044D">
            <w:pPr>
              <w:spacing w:after="0" w:line="240" w:lineRule="auto"/>
              <w:rPr>
                <w:b/>
              </w:rPr>
            </w:pPr>
          </w:p>
          <w:p w14:paraId="562EF464" w14:textId="77777777" w:rsidR="00DC0CAE" w:rsidRDefault="00DC0CAE" w:rsidP="0070044D">
            <w:pPr>
              <w:spacing w:after="0" w:line="240" w:lineRule="auto"/>
              <w:rPr>
                <w:b/>
              </w:rPr>
            </w:pPr>
          </w:p>
          <w:p w14:paraId="62629092" w14:textId="77777777" w:rsidR="00DC0CAE" w:rsidRDefault="00DC0CAE" w:rsidP="0070044D">
            <w:pPr>
              <w:spacing w:after="0" w:line="240" w:lineRule="auto"/>
              <w:rPr>
                <w:b/>
              </w:rPr>
            </w:pPr>
          </w:p>
          <w:p w14:paraId="7A510E9F" w14:textId="77777777" w:rsidR="00DC0CAE" w:rsidRDefault="00DC0CAE" w:rsidP="0070044D">
            <w:pPr>
              <w:spacing w:after="0" w:line="240" w:lineRule="auto"/>
              <w:rPr>
                <w:b/>
              </w:rPr>
            </w:pPr>
          </w:p>
          <w:p w14:paraId="12AAE4F2" w14:textId="77777777" w:rsidR="00DC0CAE" w:rsidRDefault="00DC0CAE" w:rsidP="0070044D">
            <w:pPr>
              <w:spacing w:after="0" w:line="240" w:lineRule="auto"/>
              <w:rPr>
                <w:b/>
              </w:rPr>
            </w:pPr>
          </w:p>
          <w:p w14:paraId="411DE311" w14:textId="77777777" w:rsidR="00DC0CAE" w:rsidRDefault="00DC0CAE" w:rsidP="0070044D">
            <w:pPr>
              <w:spacing w:after="0" w:line="240" w:lineRule="auto"/>
              <w:rPr>
                <w:b/>
              </w:rPr>
            </w:pPr>
          </w:p>
          <w:p w14:paraId="329CE422" w14:textId="77777777" w:rsidR="00DC0CAE" w:rsidRDefault="00DC0CAE" w:rsidP="0070044D">
            <w:pPr>
              <w:spacing w:after="0" w:line="240" w:lineRule="auto"/>
              <w:rPr>
                <w:b/>
              </w:rPr>
            </w:pPr>
          </w:p>
          <w:p w14:paraId="47E8C7D7" w14:textId="77777777" w:rsidR="00DC0CAE" w:rsidRDefault="00DC0CAE" w:rsidP="0070044D">
            <w:pPr>
              <w:spacing w:after="0" w:line="240" w:lineRule="auto"/>
              <w:rPr>
                <w:b/>
              </w:rPr>
            </w:pPr>
          </w:p>
          <w:p w14:paraId="208387ED" w14:textId="77777777" w:rsidR="0070044D" w:rsidRDefault="0070044D" w:rsidP="0070044D">
            <w:pPr>
              <w:spacing w:after="0" w:line="240" w:lineRule="auto"/>
              <w:rPr>
                <w:b/>
              </w:rPr>
            </w:pPr>
          </w:p>
          <w:p w14:paraId="02A92613" w14:textId="77777777" w:rsidR="0070044D" w:rsidRDefault="0070044D" w:rsidP="0070044D">
            <w:pPr>
              <w:spacing w:after="0" w:line="240" w:lineRule="auto"/>
              <w:rPr>
                <w:b/>
              </w:rPr>
            </w:pPr>
          </w:p>
          <w:p w14:paraId="0E2726C8" w14:textId="77777777" w:rsidR="0070044D" w:rsidRDefault="0070044D" w:rsidP="0070044D">
            <w:pPr>
              <w:spacing w:after="0" w:line="240" w:lineRule="auto"/>
              <w:rPr>
                <w:b/>
              </w:rPr>
            </w:pPr>
          </w:p>
          <w:p w14:paraId="2D4F973D" w14:textId="77777777" w:rsidR="0070044D" w:rsidRDefault="0070044D" w:rsidP="0070044D">
            <w:pPr>
              <w:spacing w:after="0" w:line="240" w:lineRule="auto"/>
              <w:rPr>
                <w:b/>
              </w:rPr>
            </w:pPr>
          </w:p>
          <w:p w14:paraId="34CAC5C4" w14:textId="77777777" w:rsidR="0070044D" w:rsidRDefault="0070044D" w:rsidP="0070044D">
            <w:pPr>
              <w:spacing w:after="0" w:line="240" w:lineRule="auto"/>
              <w:rPr>
                <w:b/>
              </w:rPr>
            </w:pPr>
          </w:p>
          <w:p w14:paraId="60DCAA05" w14:textId="77777777" w:rsidR="0070044D" w:rsidRDefault="0070044D" w:rsidP="0070044D">
            <w:pPr>
              <w:spacing w:after="0" w:line="240" w:lineRule="auto"/>
              <w:rPr>
                <w:b/>
              </w:rPr>
            </w:pPr>
          </w:p>
          <w:p w14:paraId="4081AE5A" w14:textId="77777777" w:rsidR="0070044D" w:rsidRDefault="0070044D" w:rsidP="0070044D">
            <w:pPr>
              <w:spacing w:after="0" w:line="240" w:lineRule="auto"/>
              <w:rPr>
                <w:b/>
              </w:rPr>
            </w:pPr>
          </w:p>
          <w:p w14:paraId="0F03B4DF" w14:textId="77777777" w:rsidR="0070044D" w:rsidRDefault="0070044D" w:rsidP="0070044D">
            <w:pPr>
              <w:spacing w:after="0" w:line="240" w:lineRule="auto"/>
              <w:rPr>
                <w:b/>
              </w:rPr>
            </w:pPr>
          </w:p>
          <w:p w14:paraId="25A7E101" w14:textId="77777777" w:rsidR="0070044D" w:rsidRDefault="0070044D" w:rsidP="0070044D">
            <w:pPr>
              <w:spacing w:after="0" w:line="240" w:lineRule="auto"/>
              <w:rPr>
                <w:b/>
              </w:rPr>
            </w:pPr>
          </w:p>
          <w:p w14:paraId="23CAD755" w14:textId="67ABC7AB" w:rsidR="0070044D" w:rsidRDefault="0070044D" w:rsidP="0070044D">
            <w:pPr>
              <w:spacing w:after="0" w:line="240" w:lineRule="auto"/>
              <w:rPr>
                <w:b/>
              </w:rPr>
            </w:pPr>
          </w:p>
          <w:p w14:paraId="4417E46E" w14:textId="77777777" w:rsidR="0070044D" w:rsidRDefault="0070044D" w:rsidP="0070044D">
            <w:pPr>
              <w:spacing w:after="0" w:line="240" w:lineRule="auto"/>
              <w:rPr>
                <w:b/>
              </w:rPr>
            </w:pPr>
          </w:p>
          <w:p w14:paraId="00B6340D" w14:textId="77777777" w:rsidR="0070044D" w:rsidRDefault="0070044D" w:rsidP="0070044D">
            <w:pPr>
              <w:spacing w:after="0" w:line="240" w:lineRule="auto"/>
              <w:rPr>
                <w:b/>
              </w:rPr>
            </w:pPr>
          </w:p>
          <w:p w14:paraId="42A2523A" w14:textId="77777777" w:rsidR="0070044D" w:rsidRDefault="0070044D" w:rsidP="0070044D">
            <w:pPr>
              <w:spacing w:after="0" w:line="240" w:lineRule="auto"/>
              <w:rPr>
                <w:b/>
              </w:rPr>
            </w:pPr>
          </w:p>
          <w:p w14:paraId="7AB4BDBA" w14:textId="77777777" w:rsidR="0070044D" w:rsidRDefault="0070044D" w:rsidP="0070044D">
            <w:pPr>
              <w:spacing w:after="0" w:line="240" w:lineRule="auto"/>
              <w:rPr>
                <w:b/>
              </w:rPr>
            </w:pPr>
          </w:p>
          <w:p w14:paraId="53A33048" w14:textId="77777777" w:rsidR="0070044D" w:rsidRDefault="0070044D" w:rsidP="0070044D">
            <w:pPr>
              <w:spacing w:after="0" w:line="240" w:lineRule="auto"/>
              <w:rPr>
                <w:b/>
              </w:rPr>
            </w:pPr>
          </w:p>
          <w:p w14:paraId="6A6C67BB" w14:textId="77777777" w:rsidR="0070044D" w:rsidRDefault="0070044D" w:rsidP="0070044D">
            <w:pPr>
              <w:spacing w:after="0" w:line="240" w:lineRule="auto"/>
              <w:rPr>
                <w:b/>
              </w:rPr>
            </w:pPr>
          </w:p>
          <w:p w14:paraId="7FA361C8" w14:textId="77777777" w:rsidR="0070044D" w:rsidRDefault="0070044D" w:rsidP="0070044D">
            <w:pPr>
              <w:spacing w:after="0" w:line="240" w:lineRule="auto"/>
              <w:rPr>
                <w:b/>
              </w:rPr>
            </w:pPr>
          </w:p>
          <w:p w14:paraId="484754A1" w14:textId="5BD46E96" w:rsidR="00DC0CAE" w:rsidRDefault="00FF40F3" w:rsidP="0070044D">
            <w:pPr>
              <w:spacing w:after="0" w:line="240" w:lineRule="auto"/>
              <w:rPr>
                <w:b/>
              </w:rPr>
            </w:pPr>
            <w:r>
              <w:rPr>
                <w:b/>
              </w:rPr>
              <w:t>Table 1: Descriptive Statistics</w:t>
            </w:r>
          </w:p>
        </w:tc>
        <w:tc>
          <w:tcPr>
            <w:tcW w:w="1300" w:type="dxa"/>
            <w:gridSpan w:val="2"/>
            <w:tcBorders>
              <w:top w:val="nil"/>
              <w:left w:val="nil"/>
              <w:bottom w:val="single" w:sz="4" w:space="0" w:color="000000"/>
              <w:right w:val="nil"/>
            </w:tcBorders>
            <w:shd w:val="clear" w:color="auto" w:fill="auto"/>
            <w:vAlign w:val="center"/>
          </w:tcPr>
          <w:p w14:paraId="73866FF0" w14:textId="77777777" w:rsidR="00DC0CAE" w:rsidRDefault="00FF40F3" w:rsidP="0070044D">
            <w:pPr>
              <w:spacing w:after="0" w:line="240" w:lineRule="auto"/>
              <w:rPr>
                <w:rFonts w:ascii="Calibri" w:eastAsia="Calibri" w:hAnsi="Calibri" w:cs="Calibri"/>
              </w:rPr>
            </w:pPr>
            <w:r>
              <w:rPr>
                <w:rFonts w:ascii="Calibri" w:eastAsia="Calibri" w:hAnsi="Calibri" w:cs="Calibri"/>
              </w:rPr>
              <w:lastRenderedPageBreak/>
              <w:t> </w:t>
            </w:r>
          </w:p>
        </w:tc>
        <w:tc>
          <w:tcPr>
            <w:tcW w:w="1300" w:type="dxa"/>
            <w:gridSpan w:val="2"/>
            <w:tcBorders>
              <w:top w:val="nil"/>
              <w:left w:val="nil"/>
              <w:bottom w:val="single" w:sz="4" w:space="0" w:color="000000"/>
              <w:right w:val="nil"/>
            </w:tcBorders>
            <w:shd w:val="clear" w:color="auto" w:fill="auto"/>
            <w:vAlign w:val="center"/>
          </w:tcPr>
          <w:p w14:paraId="0781470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058E55F9"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084EC0D"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c>
          <w:tcPr>
            <w:tcW w:w="1300" w:type="dxa"/>
            <w:gridSpan w:val="2"/>
            <w:tcBorders>
              <w:top w:val="nil"/>
              <w:left w:val="nil"/>
              <w:bottom w:val="single" w:sz="4" w:space="0" w:color="000000"/>
              <w:right w:val="nil"/>
            </w:tcBorders>
            <w:shd w:val="clear" w:color="auto" w:fill="auto"/>
            <w:vAlign w:val="center"/>
          </w:tcPr>
          <w:p w14:paraId="46608A36" w14:textId="77777777" w:rsidR="00DC0CAE" w:rsidRDefault="00FF40F3" w:rsidP="0070044D">
            <w:pPr>
              <w:spacing w:after="0" w:line="240" w:lineRule="auto"/>
              <w:rPr>
                <w:rFonts w:ascii="Calibri" w:eastAsia="Calibri" w:hAnsi="Calibri" w:cs="Calibri"/>
              </w:rPr>
            </w:pPr>
            <w:r>
              <w:rPr>
                <w:rFonts w:ascii="Calibri" w:eastAsia="Calibri" w:hAnsi="Calibri" w:cs="Calibri"/>
              </w:rPr>
              <w:t> </w:t>
            </w:r>
          </w:p>
        </w:tc>
      </w:tr>
      <w:tr w:rsidR="00DC0CAE" w14:paraId="05671E73"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09EF2F89" w14:textId="77777777" w:rsidR="00DC0CAE" w:rsidRDefault="00FF40F3">
            <w:pPr>
              <w:spacing w:after="0" w:line="240" w:lineRule="auto"/>
              <w:rPr>
                <w:b/>
              </w:rPr>
            </w:pPr>
            <w:r>
              <w:rPr>
                <w:b/>
              </w:rPr>
              <w:t> </w:t>
            </w:r>
          </w:p>
        </w:tc>
        <w:tc>
          <w:tcPr>
            <w:tcW w:w="3480" w:type="dxa"/>
            <w:gridSpan w:val="5"/>
            <w:tcBorders>
              <w:top w:val="nil"/>
              <w:left w:val="nil"/>
              <w:bottom w:val="single" w:sz="4" w:space="0" w:color="000000"/>
              <w:right w:val="nil"/>
            </w:tcBorders>
            <w:shd w:val="clear" w:color="auto" w:fill="auto"/>
            <w:vAlign w:val="center"/>
          </w:tcPr>
          <w:p w14:paraId="37FF4AE0" w14:textId="77777777" w:rsidR="00DC0CAE" w:rsidRDefault="00FF40F3">
            <w:pPr>
              <w:spacing w:after="0" w:line="240" w:lineRule="auto"/>
            </w:pPr>
            <w:r>
              <w:t>All Disciplines</w:t>
            </w:r>
          </w:p>
        </w:tc>
        <w:tc>
          <w:tcPr>
            <w:tcW w:w="3900" w:type="dxa"/>
            <w:gridSpan w:val="6"/>
            <w:tcBorders>
              <w:top w:val="nil"/>
              <w:left w:val="nil"/>
              <w:bottom w:val="single" w:sz="4" w:space="0" w:color="000000"/>
              <w:right w:val="nil"/>
            </w:tcBorders>
            <w:shd w:val="clear" w:color="auto" w:fill="auto"/>
            <w:vAlign w:val="center"/>
          </w:tcPr>
          <w:p w14:paraId="57E849E1" w14:textId="77777777" w:rsidR="00DC0CAE" w:rsidRDefault="00FF40F3">
            <w:pPr>
              <w:spacing w:after="0" w:line="240" w:lineRule="auto"/>
            </w:pPr>
            <w:r>
              <w:t>Clinical Medicine Subset</w:t>
            </w:r>
          </w:p>
        </w:tc>
      </w:tr>
      <w:tr w:rsidR="00DC0CAE" w14:paraId="127B1847"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6007CFDB" w14:textId="77777777" w:rsidR="00DC0CAE" w:rsidRDefault="00FF40F3">
            <w:pPr>
              <w:spacing w:after="0" w:line="240" w:lineRule="auto"/>
            </w:pPr>
            <w:r>
              <w:t>Statistic</w:t>
            </w:r>
          </w:p>
        </w:tc>
        <w:tc>
          <w:tcPr>
            <w:tcW w:w="880" w:type="dxa"/>
            <w:tcBorders>
              <w:top w:val="nil"/>
              <w:left w:val="nil"/>
              <w:bottom w:val="single" w:sz="4" w:space="0" w:color="000000"/>
              <w:right w:val="nil"/>
            </w:tcBorders>
            <w:shd w:val="clear" w:color="auto" w:fill="auto"/>
            <w:vAlign w:val="center"/>
          </w:tcPr>
          <w:p w14:paraId="26BDF999"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611D31C8"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380B9F45" w14:textId="77777777" w:rsidR="00DC0CAE" w:rsidRDefault="00FF40F3">
            <w:pPr>
              <w:spacing w:after="0" w:line="240" w:lineRule="auto"/>
            </w:pPr>
            <w:r>
              <w:t>St. Dev.</w:t>
            </w:r>
          </w:p>
        </w:tc>
        <w:tc>
          <w:tcPr>
            <w:tcW w:w="1300" w:type="dxa"/>
            <w:gridSpan w:val="2"/>
            <w:tcBorders>
              <w:top w:val="nil"/>
              <w:left w:val="nil"/>
              <w:bottom w:val="single" w:sz="4" w:space="0" w:color="000000"/>
              <w:right w:val="nil"/>
            </w:tcBorders>
            <w:shd w:val="clear" w:color="auto" w:fill="auto"/>
            <w:vAlign w:val="center"/>
          </w:tcPr>
          <w:p w14:paraId="30E9FD33" w14:textId="77777777" w:rsidR="00DC0CAE" w:rsidRDefault="00FF40F3">
            <w:pPr>
              <w:spacing w:after="0" w:line="240" w:lineRule="auto"/>
            </w:pPr>
            <w:r>
              <w:t>N</w:t>
            </w:r>
          </w:p>
        </w:tc>
        <w:tc>
          <w:tcPr>
            <w:tcW w:w="1300" w:type="dxa"/>
            <w:gridSpan w:val="2"/>
            <w:tcBorders>
              <w:top w:val="nil"/>
              <w:left w:val="nil"/>
              <w:bottom w:val="single" w:sz="4" w:space="0" w:color="000000"/>
              <w:right w:val="nil"/>
            </w:tcBorders>
            <w:shd w:val="clear" w:color="auto" w:fill="auto"/>
            <w:vAlign w:val="center"/>
          </w:tcPr>
          <w:p w14:paraId="1BA34CEB" w14:textId="77777777" w:rsidR="00DC0CAE" w:rsidRDefault="00FF40F3">
            <w:pPr>
              <w:spacing w:after="0" w:line="240" w:lineRule="auto"/>
            </w:pPr>
            <w:r>
              <w:t>Mean</w:t>
            </w:r>
          </w:p>
        </w:tc>
        <w:tc>
          <w:tcPr>
            <w:tcW w:w="1300" w:type="dxa"/>
            <w:gridSpan w:val="2"/>
            <w:tcBorders>
              <w:top w:val="nil"/>
              <w:left w:val="nil"/>
              <w:bottom w:val="single" w:sz="4" w:space="0" w:color="000000"/>
              <w:right w:val="nil"/>
            </w:tcBorders>
            <w:shd w:val="clear" w:color="auto" w:fill="auto"/>
            <w:vAlign w:val="center"/>
          </w:tcPr>
          <w:p w14:paraId="62CAA078" w14:textId="77777777" w:rsidR="00DC0CAE" w:rsidRDefault="00FF40F3">
            <w:pPr>
              <w:spacing w:after="0" w:line="240" w:lineRule="auto"/>
            </w:pPr>
            <w:r>
              <w:t>St. Dev.</w:t>
            </w:r>
          </w:p>
        </w:tc>
      </w:tr>
      <w:tr w:rsidR="00DC0CAE" w14:paraId="51C92F39" w14:textId="77777777">
        <w:trPr>
          <w:gridAfter w:val="1"/>
          <w:wAfter w:w="44" w:type="dxa"/>
          <w:trHeight w:val="320"/>
        </w:trPr>
        <w:tc>
          <w:tcPr>
            <w:tcW w:w="2700" w:type="dxa"/>
            <w:tcBorders>
              <w:top w:val="nil"/>
              <w:left w:val="nil"/>
              <w:bottom w:val="nil"/>
              <w:right w:val="nil"/>
            </w:tcBorders>
            <w:shd w:val="clear" w:color="auto" w:fill="auto"/>
            <w:vAlign w:val="center"/>
          </w:tcPr>
          <w:p w14:paraId="175F18DD" w14:textId="77777777" w:rsidR="00DC0CAE" w:rsidRDefault="00FF40F3">
            <w:pPr>
              <w:spacing w:after="0" w:line="240" w:lineRule="auto"/>
            </w:pPr>
            <w:r>
              <w:rPr>
                <w:i/>
              </w:rPr>
              <w:t>h</w:t>
            </w:r>
            <w:r>
              <w:t>-index</w:t>
            </w:r>
          </w:p>
        </w:tc>
        <w:tc>
          <w:tcPr>
            <w:tcW w:w="880" w:type="dxa"/>
            <w:tcBorders>
              <w:top w:val="nil"/>
              <w:left w:val="nil"/>
              <w:bottom w:val="nil"/>
              <w:right w:val="nil"/>
            </w:tcBorders>
            <w:shd w:val="clear" w:color="auto" w:fill="auto"/>
            <w:vAlign w:val="center"/>
          </w:tcPr>
          <w:p w14:paraId="36498B2F"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E6D6D0E" w14:textId="77777777" w:rsidR="00DC0CAE" w:rsidRDefault="00FF40F3">
            <w:pPr>
              <w:spacing w:after="0" w:line="240" w:lineRule="auto"/>
            </w:pPr>
            <w:r>
              <w:t>45.6</w:t>
            </w:r>
          </w:p>
        </w:tc>
        <w:tc>
          <w:tcPr>
            <w:tcW w:w="1300" w:type="dxa"/>
            <w:gridSpan w:val="2"/>
            <w:tcBorders>
              <w:top w:val="nil"/>
              <w:left w:val="nil"/>
              <w:bottom w:val="nil"/>
              <w:right w:val="nil"/>
            </w:tcBorders>
            <w:shd w:val="clear" w:color="auto" w:fill="auto"/>
            <w:vAlign w:val="center"/>
          </w:tcPr>
          <w:p w14:paraId="06FD89E8" w14:textId="77777777" w:rsidR="00DC0CAE" w:rsidRDefault="00FF40F3">
            <w:pPr>
              <w:spacing w:after="0" w:line="240" w:lineRule="auto"/>
            </w:pPr>
            <w:r>
              <w:t>21</w:t>
            </w:r>
          </w:p>
        </w:tc>
        <w:tc>
          <w:tcPr>
            <w:tcW w:w="1300" w:type="dxa"/>
            <w:gridSpan w:val="2"/>
            <w:tcBorders>
              <w:top w:val="nil"/>
              <w:left w:val="nil"/>
              <w:bottom w:val="nil"/>
              <w:right w:val="nil"/>
            </w:tcBorders>
            <w:shd w:val="clear" w:color="auto" w:fill="auto"/>
            <w:vAlign w:val="center"/>
          </w:tcPr>
          <w:p w14:paraId="47A03843"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689B37E8" w14:textId="77777777" w:rsidR="00DC0CAE" w:rsidRDefault="00FF40F3">
            <w:pPr>
              <w:spacing w:after="0" w:line="240" w:lineRule="auto"/>
            </w:pPr>
            <w:r>
              <w:t>53.2</w:t>
            </w:r>
          </w:p>
        </w:tc>
        <w:tc>
          <w:tcPr>
            <w:tcW w:w="1300" w:type="dxa"/>
            <w:gridSpan w:val="2"/>
            <w:tcBorders>
              <w:top w:val="nil"/>
              <w:left w:val="nil"/>
              <w:bottom w:val="nil"/>
              <w:right w:val="nil"/>
            </w:tcBorders>
            <w:shd w:val="clear" w:color="auto" w:fill="auto"/>
            <w:vAlign w:val="center"/>
          </w:tcPr>
          <w:p w14:paraId="25BCA9C2" w14:textId="77777777" w:rsidR="00DC0CAE" w:rsidRDefault="00FF40F3">
            <w:pPr>
              <w:spacing w:after="0" w:line="240" w:lineRule="auto"/>
            </w:pPr>
            <w:r>
              <w:t>22.1</w:t>
            </w:r>
          </w:p>
        </w:tc>
      </w:tr>
      <w:tr w:rsidR="00DC0CAE" w14:paraId="07F0A9BA" w14:textId="77777777">
        <w:trPr>
          <w:gridAfter w:val="1"/>
          <w:wAfter w:w="44" w:type="dxa"/>
          <w:trHeight w:val="320"/>
        </w:trPr>
        <w:tc>
          <w:tcPr>
            <w:tcW w:w="2700" w:type="dxa"/>
            <w:tcBorders>
              <w:top w:val="nil"/>
              <w:left w:val="nil"/>
              <w:bottom w:val="nil"/>
              <w:right w:val="nil"/>
            </w:tcBorders>
            <w:shd w:val="clear" w:color="auto" w:fill="auto"/>
            <w:vAlign w:val="center"/>
          </w:tcPr>
          <w:p w14:paraId="2E257CF1" w14:textId="77777777" w:rsidR="00DC0CAE" w:rsidRDefault="00FF40F3">
            <w:pPr>
              <w:spacing w:after="0" w:line="240" w:lineRule="auto"/>
            </w:pPr>
            <w:r>
              <w:t>% Female Name</w:t>
            </w:r>
          </w:p>
        </w:tc>
        <w:tc>
          <w:tcPr>
            <w:tcW w:w="880" w:type="dxa"/>
            <w:tcBorders>
              <w:top w:val="nil"/>
              <w:left w:val="nil"/>
              <w:bottom w:val="nil"/>
              <w:right w:val="nil"/>
            </w:tcBorders>
            <w:shd w:val="clear" w:color="auto" w:fill="auto"/>
            <w:vAlign w:val="center"/>
          </w:tcPr>
          <w:p w14:paraId="6F36FE38"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BC38DED" w14:textId="77777777" w:rsidR="00DC0CAE" w:rsidRDefault="00FF40F3">
            <w:pPr>
              <w:spacing w:after="0" w:line="240" w:lineRule="auto"/>
            </w:pPr>
            <w:r>
              <w:t>19.1</w:t>
            </w:r>
          </w:p>
        </w:tc>
        <w:tc>
          <w:tcPr>
            <w:tcW w:w="1300" w:type="dxa"/>
            <w:gridSpan w:val="2"/>
            <w:tcBorders>
              <w:top w:val="nil"/>
              <w:left w:val="nil"/>
              <w:bottom w:val="nil"/>
              <w:right w:val="nil"/>
            </w:tcBorders>
            <w:shd w:val="clear" w:color="auto" w:fill="auto"/>
            <w:vAlign w:val="center"/>
          </w:tcPr>
          <w:p w14:paraId="08288003" w14:textId="77777777" w:rsidR="00DC0CAE" w:rsidRDefault="00FF40F3">
            <w:pPr>
              <w:spacing w:after="0" w:line="240" w:lineRule="auto"/>
            </w:pPr>
            <w:r>
              <w:t>37.7</w:t>
            </w:r>
          </w:p>
        </w:tc>
        <w:tc>
          <w:tcPr>
            <w:tcW w:w="1300" w:type="dxa"/>
            <w:gridSpan w:val="2"/>
            <w:tcBorders>
              <w:top w:val="nil"/>
              <w:left w:val="nil"/>
              <w:bottom w:val="nil"/>
              <w:right w:val="nil"/>
            </w:tcBorders>
            <w:shd w:val="clear" w:color="auto" w:fill="auto"/>
            <w:vAlign w:val="center"/>
          </w:tcPr>
          <w:p w14:paraId="14C3AE7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3207ACC5" w14:textId="77777777" w:rsidR="00DC0CAE" w:rsidRDefault="00FF40F3">
            <w:pPr>
              <w:spacing w:after="0" w:line="240" w:lineRule="auto"/>
            </w:pPr>
            <w:r>
              <w:t>19.7</w:t>
            </w:r>
          </w:p>
        </w:tc>
        <w:tc>
          <w:tcPr>
            <w:tcW w:w="1300" w:type="dxa"/>
            <w:gridSpan w:val="2"/>
            <w:tcBorders>
              <w:top w:val="nil"/>
              <w:left w:val="nil"/>
              <w:bottom w:val="nil"/>
              <w:right w:val="nil"/>
            </w:tcBorders>
            <w:shd w:val="clear" w:color="auto" w:fill="auto"/>
            <w:vAlign w:val="center"/>
          </w:tcPr>
          <w:p w14:paraId="6B7BD03D" w14:textId="77777777" w:rsidR="00DC0CAE" w:rsidRDefault="00FF40F3">
            <w:pPr>
              <w:spacing w:after="0" w:line="240" w:lineRule="auto"/>
            </w:pPr>
            <w:r>
              <w:t>38.4</w:t>
            </w:r>
          </w:p>
        </w:tc>
      </w:tr>
      <w:tr w:rsidR="00DC0CAE" w14:paraId="4A18B7EA" w14:textId="77777777">
        <w:trPr>
          <w:gridAfter w:val="1"/>
          <w:wAfter w:w="44" w:type="dxa"/>
          <w:trHeight w:val="320"/>
        </w:trPr>
        <w:tc>
          <w:tcPr>
            <w:tcW w:w="2700" w:type="dxa"/>
            <w:tcBorders>
              <w:top w:val="nil"/>
              <w:left w:val="nil"/>
              <w:bottom w:val="nil"/>
              <w:right w:val="nil"/>
            </w:tcBorders>
            <w:shd w:val="clear" w:color="auto" w:fill="auto"/>
            <w:vAlign w:val="center"/>
          </w:tcPr>
          <w:p w14:paraId="36ABF7E6" w14:textId="77777777" w:rsidR="00DC0CAE" w:rsidRDefault="00FF40F3">
            <w:pPr>
              <w:spacing w:after="0" w:line="240" w:lineRule="auto"/>
            </w:pPr>
            <w:r>
              <w:t>% Sole Author Publications</w:t>
            </w:r>
          </w:p>
        </w:tc>
        <w:tc>
          <w:tcPr>
            <w:tcW w:w="880" w:type="dxa"/>
            <w:tcBorders>
              <w:top w:val="nil"/>
              <w:left w:val="nil"/>
              <w:bottom w:val="nil"/>
              <w:right w:val="nil"/>
            </w:tcBorders>
            <w:shd w:val="clear" w:color="auto" w:fill="auto"/>
            <w:vAlign w:val="center"/>
          </w:tcPr>
          <w:p w14:paraId="7E51F649"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29625684" w14:textId="77777777" w:rsidR="00DC0CAE" w:rsidRDefault="00FF40F3">
            <w:pPr>
              <w:spacing w:after="0" w:line="240" w:lineRule="auto"/>
            </w:pPr>
            <w:r>
              <w:t>9.8</w:t>
            </w:r>
          </w:p>
        </w:tc>
        <w:tc>
          <w:tcPr>
            <w:tcW w:w="1300" w:type="dxa"/>
            <w:gridSpan w:val="2"/>
            <w:tcBorders>
              <w:top w:val="nil"/>
              <w:left w:val="nil"/>
              <w:bottom w:val="nil"/>
              <w:right w:val="nil"/>
            </w:tcBorders>
            <w:shd w:val="clear" w:color="auto" w:fill="auto"/>
            <w:vAlign w:val="center"/>
          </w:tcPr>
          <w:p w14:paraId="3C9DD381" w14:textId="77777777" w:rsidR="00DC0CAE" w:rsidRDefault="00FF40F3">
            <w:pPr>
              <w:spacing w:after="0" w:line="240" w:lineRule="auto"/>
            </w:pPr>
            <w:r>
              <w:t>12.3</w:t>
            </w:r>
          </w:p>
        </w:tc>
        <w:tc>
          <w:tcPr>
            <w:tcW w:w="1300" w:type="dxa"/>
            <w:gridSpan w:val="2"/>
            <w:tcBorders>
              <w:top w:val="nil"/>
              <w:left w:val="nil"/>
              <w:bottom w:val="nil"/>
              <w:right w:val="nil"/>
            </w:tcBorders>
            <w:shd w:val="clear" w:color="auto" w:fill="auto"/>
            <w:vAlign w:val="center"/>
          </w:tcPr>
          <w:p w14:paraId="0DC7D5A1"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65B4C31" w14:textId="77777777" w:rsidR="00DC0CAE" w:rsidRDefault="00FF40F3">
            <w:pPr>
              <w:spacing w:after="0" w:line="240" w:lineRule="auto"/>
            </w:pPr>
            <w:r>
              <w:t>8.2</w:t>
            </w:r>
          </w:p>
        </w:tc>
        <w:tc>
          <w:tcPr>
            <w:tcW w:w="1300" w:type="dxa"/>
            <w:gridSpan w:val="2"/>
            <w:tcBorders>
              <w:top w:val="nil"/>
              <w:left w:val="nil"/>
              <w:bottom w:val="nil"/>
              <w:right w:val="nil"/>
            </w:tcBorders>
            <w:shd w:val="clear" w:color="auto" w:fill="auto"/>
            <w:vAlign w:val="center"/>
          </w:tcPr>
          <w:p w14:paraId="3786D150" w14:textId="77777777" w:rsidR="00DC0CAE" w:rsidRDefault="00FF40F3">
            <w:pPr>
              <w:spacing w:after="0" w:line="240" w:lineRule="auto"/>
            </w:pPr>
            <w:r>
              <w:t>9.1</w:t>
            </w:r>
          </w:p>
        </w:tc>
      </w:tr>
      <w:tr w:rsidR="00DC0CAE" w14:paraId="4728410D" w14:textId="77777777">
        <w:trPr>
          <w:gridAfter w:val="1"/>
          <w:wAfter w:w="44" w:type="dxa"/>
          <w:trHeight w:val="320"/>
        </w:trPr>
        <w:tc>
          <w:tcPr>
            <w:tcW w:w="2700" w:type="dxa"/>
            <w:tcBorders>
              <w:top w:val="nil"/>
              <w:left w:val="nil"/>
              <w:bottom w:val="nil"/>
              <w:right w:val="nil"/>
            </w:tcBorders>
            <w:shd w:val="clear" w:color="auto" w:fill="auto"/>
            <w:vAlign w:val="center"/>
          </w:tcPr>
          <w:p w14:paraId="31545B48" w14:textId="77777777" w:rsidR="00DC0CAE" w:rsidRDefault="00FF40F3">
            <w:pPr>
              <w:spacing w:after="0" w:line="240" w:lineRule="auto"/>
            </w:pPr>
            <w:r>
              <w:t xml:space="preserve"># </w:t>
            </w:r>
            <w:proofErr w:type="gramStart"/>
            <w:r>
              <w:t>of</w:t>
            </w:r>
            <w:proofErr w:type="gramEnd"/>
            <w:r>
              <w:t xml:space="preserve"> Citations</w:t>
            </w:r>
          </w:p>
        </w:tc>
        <w:tc>
          <w:tcPr>
            <w:tcW w:w="880" w:type="dxa"/>
            <w:tcBorders>
              <w:top w:val="nil"/>
              <w:left w:val="nil"/>
              <w:bottom w:val="nil"/>
              <w:right w:val="nil"/>
            </w:tcBorders>
            <w:shd w:val="clear" w:color="auto" w:fill="auto"/>
            <w:vAlign w:val="center"/>
          </w:tcPr>
          <w:p w14:paraId="0C3EB9B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5D6866AB" w14:textId="77777777" w:rsidR="00DC0CAE" w:rsidRDefault="00FF40F3">
            <w:pPr>
              <w:spacing w:after="0" w:line="240" w:lineRule="auto"/>
            </w:pPr>
            <w:r>
              <w:t>10,876.80</w:t>
            </w:r>
          </w:p>
        </w:tc>
        <w:tc>
          <w:tcPr>
            <w:tcW w:w="1300" w:type="dxa"/>
            <w:gridSpan w:val="2"/>
            <w:tcBorders>
              <w:top w:val="nil"/>
              <w:left w:val="nil"/>
              <w:bottom w:val="nil"/>
              <w:right w:val="nil"/>
            </w:tcBorders>
            <w:shd w:val="clear" w:color="auto" w:fill="auto"/>
            <w:vAlign w:val="center"/>
          </w:tcPr>
          <w:p w14:paraId="09379441" w14:textId="77777777" w:rsidR="00DC0CAE" w:rsidRDefault="00FF40F3">
            <w:pPr>
              <w:spacing w:after="0" w:line="240" w:lineRule="auto"/>
            </w:pPr>
            <w:r>
              <w:t>12,910.80</w:t>
            </w:r>
          </w:p>
        </w:tc>
        <w:tc>
          <w:tcPr>
            <w:tcW w:w="1300" w:type="dxa"/>
            <w:gridSpan w:val="2"/>
            <w:tcBorders>
              <w:top w:val="nil"/>
              <w:left w:val="nil"/>
              <w:bottom w:val="nil"/>
              <w:right w:val="nil"/>
            </w:tcBorders>
            <w:shd w:val="clear" w:color="auto" w:fill="auto"/>
            <w:vAlign w:val="center"/>
          </w:tcPr>
          <w:p w14:paraId="343F24D5"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7574C117" w14:textId="77777777" w:rsidR="00DC0CAE" w:rsidRDefault="00FF40F3">
            <w:pPr>
              <w:spacing w:after="0" w:line="240" w:lineRule="auto"/>
            </w:pPr>
            <w:r>
              <w:t>14,005.30</w:t>
            </w:r>
          </w:p>
        </w:tc>
        <w:tc>
          <w:tcPr>
            <w:tcW w:w="1300" w:type="dxa"/>
            <w:gridSpan w:val="2"/>
            <w:tcBorders>
              <w:top w:val="nil"/>
              <w:left w:val="nil"/>
              <w:bottom w:val="nil"/>
              <w:right w:val="nil"/>
            </w:tcBorders>
            <w:shd w:val="clear" w:color="auto" w:fill="auto"/>
            <w:vAlign w:val="center"/>
          </w:tcPr>
          <w:p w14:paraId="1B2074A9" w14:textId="77777777" w:rsidR="00DC0CAE" w:rsidRDefault="00FF40F3">
            <w:pPr>
              <w:spacing w:after="0" w:line="240" w:lineRule="auto"/>
            </w:pPr>
            <w:r>
              <w:t>14,971.50</w:t>
            </w:r>
          </w:p>
        </w:tc>
      </w:tr>
      <w:tr w:rsidR="00DC0CAE" w14:paraId="6ED0D9BB" w14:textId="77777777">
        <w:trPr>
          <w:gridAfter w:val="1"/>
          <w:wAfter w:w="44" w:type="dxa"/>
          <w:trHeight w:val="320"/>
        </w:trPr>
        <w:tc>
          <w:tcPr>
            <w:tcW w:w="2700" w:type="dxa"/>
            <w:tcBorders>
              <w:top w:val="nil"/>
              <w:left w:val="nil"/>
              <w:bottom w:val="nil"/>
              <w:right w:val="nil"/>
            </w:tcBorders>
            <w:shd w:val="clear" w:color="auto" w:fill="auto"/>
            <w:vAlign w:val="center"/>
          </w:tcPr>
          <w:p w14:paraId="6E545867" w14:textId="77777777" w:rsidR="00DC0CAE" w:rsidRDefault="00FF40F3">
            <w:pPr>
              <w:spacing w:after="0" w:line="240" w:lineRule="auto"/>
            </w:pPr>
            <w:r>
              <w:t>University Count</w:t>
            </w:r>
          </w:p>
        </w:tc>
        <w:tc>
          <w:tcPr>
            <w:tcW w:w="880" w:type="dxa"/>
            <w:tcBorders>
              <w:top w:val="nil"/>
              <w:left w:val="nil"/>
              <w:bottom w:val="nil"/>
              <w:right w:val="nil"/>
            </w:tcBorders>
            <w:shd w:val="clear" w:color="auto" w:fill="auto"/>
            <w:vAlign w:val="center"/>
          </w:tcPr>
          <w:p w14:paraId="34D0489A"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357E060D" w14:textId="77777777" w:rsidR="00DC0CAE" w:rsidRDefault="00FF40F3">
            <w:pPr>
              <w:spacing w:after="0" w:line="240" w:lineRule="auto"/>
            </w:pPr>
            <w:r>
              <w:t>198.3</w:t>
            </w:r>
          </w:p>
        </w:tc>
        <w:tc>
          <w:tcPr>
            <w:tcW w:w="1300" w:type="dxa"/>
            <w:gridSpan w:val="2"/>
            <w:tcBorders>
              <w:top w:val="nil"/>
              <w:left w:val="nil"/>
              <w:bottom w:val="nil"/>
              <w:right w:val="nil"/>
            </w:tcBorders>
            <w:shd w:val="clear" w:color="auto" w:fill="auto"/>
            <w:vAlign w:val="center"/>
          </w:tcPr>
          <w:p w14:paraId="3EBAECDA" w14:textId="77777777" w:rsidR="00DC0CAE" w:rsidRDefault="00FF40F3">
            <w:pPr>
              <w:spacing w:after="0" w:line="240" w:lineRule="auto"/>
            </w:pPr>
            <w:r>
              <w:t>203.1</w:t>
            </w:r>
          </w:p>
        </w:tc>
        <w:tc>
          <w:tcPr>
            <w:tcW w:w="1300" w:type="dxa"/>
            <w:gridSpan w:val="2"/>
            <w:tcBorders>
              <w:top w:val="nil"/>
              <w:left w:val="nil"/>
              <w:bottom w:val="nil"/>
              <w:right w:val="nil"/>
            </w:tcBorders>
            <w:shd w:val="clear" w:color="auto" w:fill="auto"/>
            <w:vAlign w:val="center"/>
          </w:tcPr>
          <w:p w14:paraId="241D2FA7"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0EB9E5F3" w14:textId="77777777" w:rsidR="00DC0CAE" w:rsidRDefault="00FF40F3">
            <w:pPr>
              <w:spacing w:after="0" w:line="240" w:lineRule="auto"/>
            </w:pPr>
            <w:r>
              <w:t>182</w:t>
            </w:r>
          </w:p>
        </w:tc>
        <w:tc>
          <w:tcPr>
            <w:tcW w:w="1300" w:type="dxa"/>
            <w:gridSpan w:val="2"/>
            <w:tcBorders>
              <w:top w:val="nil"/>
              <w:left w:val="nil"/>
              <w:bottom w:val="nil"/>
              <w:right w:val="nil"/>
            </w:tcBorders>
            <w:shd w:val="clear" w:color="auto" w:fill="auto"/>
            <w:vAlign w:val="center"/>
          </w:tcPr>
          <w:p w14:paraId="0CB74B4F" w14:textId="77777777" w:rsidR="00DC0CAE" w:rsidRDefault="00FF40F3">
            <w:pPr>
              <w:spacing w:after="0" w:line="240" w:lineRule="auto"/>
            </w:pPr>
            <w:r>
              <w:t>200.2</w:t>
            </w:r>
          </w:p>
        </w:tc>
      </w:tr>
      <w:tr w:rsidR="00DC0CAE" w14:paraId="30064312" w14:textId="77777777">
        <w:trPr>
          <w:gridAfter w:val="1"/>
          <w:wAfter w:w="44" w:type="dxa"/>
          <w:trHeight w:val="320"/>
        </w:trPr>
        <w:tc>
          <w:tcPr>
            <w:tcW w:w="2700" w:type="dxa"/>
            <w:tcBorders>
              <w:top w:val="nil"/>
              <w:left w:val="nil"/>
              <w:bottom w:val="nil"/>
              <w:right w:val="nil"/>
            </w:tcBorders>
            <w:shd w:val="clear" w:color="auto" w:fill="auto"/>
            <w:vAlign w:val="center"/>
          </w:tcPr>
          <w:p w14:paraId="5D3DD870" w14:textId="77777777" w:rsidR="00DC0CAE" w:rsidRDefault="00FF40F3">
            <w:pPr>
              <w:spacing w:after="0" w:line="240" w:lineRule="auto"/>
            </w:pPr>
            <w:r>
              <w:t>% Disciplinarity</w:t>
            </w:r>
          </w:p>
        </w:tc>
        <w:tc>
          <w:tcPr>
            <w:tcW w:w="880" w:type="dxa"/>
            <w:tcBorders>
              <w:top w:val="nil"/>
              <w:left w:val="nil"/>
              <w:bottom w:val="nil"/>
              <w:right w:val="nil"/>
            </w:tcBorders>
            <w:shd w:val="clear" w:color="auto" w:fill="auto"/>
            <w:vAlign w:val="center"/>
          </w:tcPr>
          <w:p w14:paraId="28A5241E" w14:textId="77777777" w:rsidR="00DC0CAE" w:rsidRDefault="00FF40F3">
            <w:pPr>
              <w:spacing w:after="0" w:line="240" w:lineRule="auto"/>
            </w:pPr>
            <w:r>
              <w:t>42,509</w:t>
            </w:r>
          </w:p>
        </w:tc>
        <w:tc>
          <w:tcPr>
            <w:tcW w:w="1300" w:type="dxa"/>
            <w:gridSpan w:val="2"/>
            <w:tcBorders>
              <w:top w:val="nil"/>
              <w:left w:val="nil"/>
              <w:bottom w:val="nil"/>
              <w:right w:val="nil"/>
            </w:tcBorders>
            <w:shd w:val="clear" w:color="auto" w:fill="auto"/>
            <w:vAlign w:val="center"/>
          </w:tcPr>
          <w:p w14:paraId="62676E29" w14:textId="77777777" w:rsidR="00DC0CAE" w:rsidRDefault="00FF40F3">
            <w:pPr>
              <w:spacing w:after="0" w:line="240" w:lineRule="auto"/>
            </w:pPr>
            <w:r>
              <w:t>73.1</w:t>
            </w:r>
          </w:p>
        </w:tc>
        <w:tc>
          <w:tcPr>
            <w:tcW w:w="1300" w:type="dxa"/>
            <w:gridSpan w:val="2"/>
            <w:tcBorders>
              <w:top w:val="nil"/>
              <w:left w:val="nil"/>
              <w:bottom w:val="nil"/>
              <w:right w:val="nil"/>
            </w:tcBorders>
            <w:shd w:val="clear" w:color="auto" w:fill="auto"/>
            <w:vAlign w:val="center"/>
          </w:tcPr>
          <w:p w14:paraId="34F9FDE0" w14:textId="77777777" w:rsidR="00DC0CAE" w:rsidRDefault="00FF40F3">
            <w:pPr>
              <w:spacing w:after="0" w:line="240" w:lineRule="auto"/>
            </w:pPr>
            <w:r>
              <w:t>19.2</w:t>
            </w:r>
          </w:p>
        </w:tc>
        <w:tc>
          <w:tcPr>
            <w:tcW w:w="1300" w:type="dxa"/>
            <w:gridSpan w:val="2"/>
            <w:tcBorders>
              <w:top w:val="nil"/>
              <w:left w:val="nil"/>
              <w:bottom w:val="nil"/>
              <w:right w:val="nil"/>
            </w:tcBorders>
            <w:shd w:val="clear" w:color="auto" w:fill="auto"/>
            <w:vAlign w:val="center"/>
          </w:tcPr>
          <w:p w14:paraId="758D5230" w14:textId="77777777" w:rsidR="00DC0CAE" w:rsidRDefault="00FF40F3">
            <w:pPr>
              <w:spacing w:after="0" w:line="240" w:lineRule="auto"/>
            </w:pPr>
            <w:r>
              <w:t>16,041</w:t>
            </w:r>
          </w:p>
        </w:tc>
        <w:tc>
          <w:tcPr>
            <w:tcW w:w="1300" w:type="dxa"/>
            <w:gridSpan w:val="2"/>
            <w:tcBorders>
              <w:top w:val="nil"/>
              <w:left w:val="nil"/>
              <w:bottom w:val="nil"/>
              <w:right w:val="nil"/>
            </w:tcBorders>
            <w:shd w:val="clear" w:color="auto" w:fill="auto"/>
            <w:vAlign w:val="center"/>
          </w:tcPr>
          <w:p w14:paraId="4996F725" w14:textId="77777777" w:rsidR="00DC0CAE" w:rsidRDefault="00FF40F3">
            <w:pPr>
              <w:spacing w:after="0" w:line="240" w:lineRule="auto"/>
            </w:pPr>
            <w:r>
              <w:t>79.9</w:t>
            </w:r>
          </w:p>
        </w:tc>
        <w:tc>
          <w:tcPr>
            <w:tcW w:w="1300" w:type="dxa"/>
            <w:gridSpan w:val="2"/>
            <w:tcBorders>
              <w:top w:val="nil"/>
              <w:left w:val="nil"/>
              <w:bottom w:val="nil"/>
              <w:right w:val="nil"/>
            </w:tcBorders>
            <w:shd w:val="clear" w:color="auto" w:fill="auto"/>
            <w:vAlign w:val="center"/>
          </w:tcPr>
          <w:p w14:paraId="3F941C16" w14:textId="77777777" w:rsidR="00DC0CAE" w:rsidRDefault="00FF40F3">
            <w:pPr>
              <w:spacing w:after="0" w:line="240" w:lineRule="auto"/>
            </w:pPr>
            <w:r>
              <w:t>16.9</w:t>
            </w:r>
          </w:p>
        </w:tc>
      </w:tr>
      <w:tr w:rsidR="00DC0CAE" w14:paraId="75A01D35" w14:textId="77777777">
        <w:trPr>
          <w:gridAfter w:val="1"/>
          <w:wAfter w:w="44" w:type="dxa"/>
          <w:trHeight w:val="320"/>
        </w:trPr>
        <w:tc>
          <w:tcPr>
            <w:tcW w:w="2700" w:type="dxa"/>
            <w:tcBorders>
              <w:top w:val="nil"/>
              <w:left w:val="nil"/>
              <w:bottom w:val="single" w:sz="4" w:space="0" w:color="000000"/>
              <w:right w:val="nil"/>
            </w:tcBorders>
            <w:shd w:val="clear" w:color="auto" w:fill="auto"/>
            <w:vAlign w:val="center"/>
          </w:tcPr>
          <w:p w14:paraId="7B47E386" w14:textId="77777777" w:rsidR="00DC0CAE" w:rsidRDefault="00FF40F3">
            <w:pPr>
              <w:spacing w:after="0" w:line="240" w:lineRule="auto"/>
            </w:pPr>
            <w:r>
              <w:t>Age</w:t>
            </w:r>
          </w:p>
        </w:tc>
        <w:tc>
          <w:tcPr>
            <w:tcW w:w="880" w:type="dxa"/>
            <w:tcBorders>
              <w:top w:val="nil"/>
              <w:left w:val="nil"/>
              <w:bottom w:val="single" w:sz="4" w:space="0" w:color="000000"/>
              <w:right w:val="nil"/>
            </w:tcBorders>
            <w:shd w:val="clear" w:color="auto" w:fill="auto"/>
            <w:vAlign w:val="center"/>
          </w:tcPr>
          <w:p w14:paraId="0FF091A8" w14:textId="77777777" w:rsidR="00DC0CAE" w:rsidRDefault="00FF40F3">
            <w:pPr>
              <w:spacing w:after="0" w:line="240" w:lineRule="auto"/>
            </w:pPr>
            <w:r>
              <w:t>42,509</w:t>
            </w:r>
          </w:p>
        </w:tc>
        <w:tc>
          <w:tcPr>
            <w:tcW w:w="1300" w:type="dxa"/>
            <w:gridSpan w:val="2"/>
            <w:tcBorders>
              <w:top w:val="nil"/>
              <w:left w:val="nil"/>
              <w:bottom w:val="single" w:sz="4" w:space="0" w:color="000000"/>
              <w:right w:val="nil"/>
            </w:tcBorders>
            <w:shd w:val="clear" w:color="auto" w:fill="auto"/>
            <w:vAlign w:val="center"/>
          </w:tcPr>
          <w:p w14:paraId="1B1084D1" w14:textId="77777777" w:rsidR="00DC0CAE" w:rsidRDefault="00FF40F3">
            <w:pPr>
              <w:spacing w:after="0" w:line="240" w:lineRule="auto"/>
            </w:pPr>
            <w:r>
              <w:t>35.5</w:t>
            </w:r>
          </w:p>
        </w:tc>
        <w:tc>
          <w:tcPr>
            <w:tcW w:w="1300" w:type="dxa"/>
            <w:gridSpan w:val="2"/>
            <w:tcBorders>
              <w:top w:val="nil"/>
              <w:left w:val="nil"/>
              <w:bottom w:val="single" w:sz="4" w:space="0" w:color="000000"/>
              <w:right w:val="nil"/>
            </w:tcBorders>
            <w:shd w:val="clear" w:color="auto" w:fill="auto"/>
            <w:vAlign w:val="center"/>
          </w:tcPr>
          <w:p w14:paraId="63C414E6" w14:textId="77777777" w:rsidR="00DC0CAE" w:rsidRDefault="00FF40F3">
            <w:pPr>
              <w:spacing w:after="0" w:line="240" w:lineRule="auto"/>
            </w:pPr>
            <w:r>
              <w:t>9.9</w:t>
            </w:r>
          </w:p>
        </w:tc>
        <w:tc>
          <w:tcPr>
            <w:tcW w:w="1300" w:type="dxa"/>
            <w:gridSpan w:val="2"/>
            <w:tcBorders>
              <w:top w:val="nil"/>
              <w:left w:val="nil"/>
              <w:bottom w:val="single" w:sz="4" w:space="0" w:color="000000"/>
              <w:right w:val="nil"/>
            </w:tcBorders>
            <w:shd w:val="clear" w:color="auto" w:fill="auto"/>
            <w:vAlign w:val="center"/>
          </w:tcPr>
          <w:p w14:paraId="7462A6A0" w14:textId="77777777" w:rsidR="00DC0CAE" w:rsidRDefault="00FF40F3">
            <w:pPr>
              <w:spacing w:after="0" w:line="240" w:lineRule="auto"/>
            </w:pPr>
            <w:r>
              <w:t>16,041</w:t>
            </w:r>
          </w:p>
        </w:tc>
        <w:tc>
          <w:tcPr>
            <w:tcW w:w="1300" w:type="dxa"/>
            <w:gridSpan w:val="2"/>
            <w:tcBorders>
              <w:top w:val="nil"/>
              <w:left w:val="nil"/>
              <w:bottom w:val="single" w:sz="4" w:space="0" w:color="000000"/>
              <w:right w:val="nil"/>
            </w:tcBorders>
            <w:shd w:val="clear" w:color="auto" w:fill="auto"/>
            <w:vAlign w:val="center"/>
          </w:tcPr>
          <w:p w14:paraId="079F379F" w14:textId="77777777" w:rsidR="00DC0CAE" w:rsidRDefault="00FF40F3">
            <w:pPr>
              <w:spacing w:after="0" w:line="240" w:lineRule="auto"/>
            </w:pPr>
            <w:r>
              <w:t>36.1</w:t>
            </w:r>
          </w:p>
        </w:tc>
        <w:tc>
          <w:tcPr>
            <w:tcW w:w="1300" w:type="dxa"/>
            <w:gridSpan w:val="2"/>
            <w:tcBorders>
              <w:top w:val="nil"/>
              <w:left w:val="nil"/>
              <w:bottom w:val="single" w:sz="4" w:space="0" w:color="000000"/>
              <w:right w:val="nil"/>
            </w:tcBorders>
            <w:shd w:val="clear" w:color="auto" w:fill="auto"/>
            <w:vAlign w:val="center"/>
          </w:tcPr>
          <w:p w14:paraId="02258D08" w14:textId="77777777" w:rsidR="00DC0CAE" w:rsidRDefault="00FF40F3">
            <w:pPr>
              <w:spacing w:after="0" w:line="240" w:lineRule="auto"/>
            </w:pPr>
            <w:r>
              <w:t>9.2</w:t>
            </w:r>
          </w:p>
        </w:tc>
      </w:tr>
    </w:tbl>
    <w:p w14:paraId="1A8D6807" w14:textId="77777777" w:rsidR="00DC0CAE" w:rsidRDefault="00DC0CAE">
      <w:pPr>
        <w:spacing w:after="0" w:line="240" w:lineRule="auto"/>
        <w:rPr>
          <w:sz w:val="24"/>
          <w:szCs w:val="24"/>
        </w:rPr>
      </w:pPr>
    </w:p>
    <w:p w14:paraId="3DDCA2FE" w14:textId="77777777" w:rsidR="00DC0CAE" w:rsidRDefault="00DC0CAE">
      <w:pPr>
        <w:spacing w:after="0" w:line="240" w:lineRule="auto"/>
        <w:rPr>
          <w:sz w:val="24"/>
          <w:szCs w:val="24"/>
        </w:rPr>
      </w:pPr>
    </w:p>
    <w:p w14:paraId="5465CAEE" w14:textId="77777777" w:rsidR="00DC0CAE" w:rsidRDefault="00DC0CAE">
      <w:pPr>
        <w:spacing w:after="0" w:line="240" w:lineRule="auto"/>
        <w:rPr>
          <w:sz w:val="24"/>
          <w:szCs w:val="24"/>
        </w:rPr>
      </w:pPr>
    </w:p>
    <w:p w14:paraId="6026F270" w14:textId="77777777" w:rsidR="00DC0CAE" w:rsidRDefault="00DC0CAE">
      <w:pPr>
        <w:spacing w:after="0" w:line="240" w:lineRule="auto"/>
        <w:rPr>
          <w:sz w:val="24"/>
          <w:szCs w:val="24"/>
        </w:rPr>
      </w:pPr>
    </w:p>
    <w:p w14:paraId="512F94B1" w14:textId="77777777" w:rsidR="00DC0CAE" w:rsidRDefault="00DC0CAE">
      <w:pPr>
        <w:spacing w:after="0" w:line="240" w:lineRule="auto"/>
        <w:rPr>
          <w:sz w:val="24"/>
          <w:szCs w:val="24"/>
        </w:rPr>
      </w:pPr>
    </w:p>
    <w:p w14:paraId="29683A9F" w14:textId="77777777" w:rsidR="00DC0CAE" w:rsidRDefault="00DC0CAE">
      <w:pPr>
        <w:spacing w:after="0" w:line="240" w:lineRule="auto"/>
        <w:rPr>
          <w:sz w:val="24"/>
          <w:szCs w:val="24"/>
        </w:rPr>
      </w:pPr>
    </w:p>
    <w:p w14:paraId="1E9DA3F4" w14:textId="77777777" w:rsidR="00DC0CAE" w:rsidRDefault="00DC0CAE">
      <w:pPr>
        <w:spacing w:after="0" w:line="240" w:lineRule="auto"/>
        <w:rPr>
          <w:sz w:val="24"/>
          <w:szCs w:val="24"/>
        </w:rPr>
      </w:pPr>
    </w:p>
    <w:p w14:paraId="20A79857" w14:textId="77777777" w:rsidR="00DC0CAE" w:rsidRDefault="00DC0CAE">
      <w:pPr>
        <w:spacing w:after="0" w:line="240" w:lineRule="auto"/>
        <w:rPr>
          <w:sz w:val="24"/>
          <w:szCs w:val="24"/>
        </w:rPr>
      </w:pPr>
    </w:p>
    <w:p w14:paraId="588C0D22" w14:textId="77777777" w:rsidR="00DC0CAE" w:rsidRDefault="00DC0CAE">
      <w:pPr>
        <w:spacing w:after="0" w:line="240" w:lineRule="auto"/>
        <w:rPr>
          <w:sz w:val="24"/>
          <w:szCs w:val="24"/>
        </w:rPr>
      </w:pPr>
    </w:p>
    <w:p w14:paraId="0FE0AECA" w14:textId="77777777" w:rsidR="00DC0CAE" w:rsidRDefault="00DC0CAE">
      <w:pPr>
        <w:spacing w:after="0" w:line="240" w:lineRule="auto"/>
        <w:rPr>
          <w:sz w:val="24"/>
          <w:szCs w:val="24"/>
        </w:rPr>
      </w:pPr>
    </w:p>
    <w:p w14:paraId="399E4244" w14:textId="77777777" w:rsidR="00DC0CAE" w:rsidRDefault="00DC0CAE">
      <w:pPr>
        <w:spacing w:after="0" w:line="240" w:lineRule="auto"/>
        <w:rPr>
          <w:sz w:val="24"/>
          <w:szCs w:val="24"/>
        </w:rPr>
      </w:pPr>
    </w:p>
    <w:p w14:paraId="0760FE1A" w14:textId="77777777" w:rsidR="00DC0CAE" w:rsidRDefault="00DC0CAE">
      <w:pPr>
        <w:spacing w:after="0" w:line="240" w:lineRule="auto"/>
        <w:rPr>
          <w:sz w:val="24"/>
          <w:szCs w:val="24"/>
        </w:rPr>
      </w:pPr>
    </w:p>
    <w:p w14:paraId="2F00E54B" w14:textId="77777777" w:rsidR="00DC0CAE" w:rsidRDefault="00DC0CAE">
      <w:pPr>
        <w:spacing w:after="0" w:line="240" w:lineRule="auto"/>
        <w:rPr>
          <w:sz w:val="24"/>
          <w:szCs w:val="24"/>
        </w:rPr>
      </w:pPr>
    </w:p>
    <w:p w14:paraId="50692A6A" w14:textId="77777777" w:rsidR="00DC0CAE" w:rsidRDefault="00DC0CAE">
      <w:pPr>
        <w:spacing w:after="0" w:line="240" w:lineRule="auto"/>
        <w:rPr>
          <w:sz w:val="24"/>
          <w:szCs w:val="24"/>
        </w:rPr>
      </w:pPr>
    </w:p>
    <w:p w14:paraId="6D8CF8E0" w14:textId="77777777" w:rsidR="00DC0CAE" w:rsidRDefault="00DC0CAE">
      <w:pPr>
        <w:spacing w:after="0" w:line="240" w:lineRule="auto"/>
        <w:rPr>
          <w:sz w:val="24"/>
          <w:szCs w:val="24"/>
        </w:rPr>
      </w:pPr>
    </w:p>
    <w:p w14:paraId="54349772" w14:textId="77777777" w:rsidR="00DC0CAE" w:rsidRDefault="00DC0CAE">
      <w:pPr>
        <w:spacing w:after="0" w:line="240" w:lineRule="auto"/>
        <w:rPr>
          <w:sz w:val="24"/>
          <w:szCs w:val="24"/>
        </w:rPr>
      </w:pPr>
    </w:p>
    <w:p w14:paraId="00A2C3D0" w14:textId="77777777" w:rsidR="00DC0CAE" w:rsidRDefault="00DC0CAE">
      <w:pPr>
        <w:spacing w:after="0" w:line="240" w:lineRule="auto"/>
        <w:rPr>
          <w:sz w:val="24"/>
          <w:szCs w:val="24"/>
        </w:rPr>
      </w:pPr>
    </w:p>
    <w:p w14:paraId="7F3EBC67" w14:textId="77777777" w:rsidR="00DC0CAE" w:rsidRDefault="00DC0CAE">
      <w:pPr>
        <w:spacing w:after="0" w:line="240" w:lineRule="auto"/>
        <w:rPr>
          <w:sz w:val="24"/>
          <w:szCs w:val="24"/>
        </w:rPr>
      </w:pPr>
    </w:p>
    <w:p w14:paraId="24CEC451" w14:textId="77777777" w:rsidR="00DC0CAE" w:rsidRDefault="00DC0CAE">
      <w:pPr>
        <w:spacing w:after="0" w:line="240" w:lineRule="auto"/>
        <w:rPr>
          <w:sz w:val="24"/>
          <w:szCs w:val="24"/>
        </w:rPr>
      </w:pPr>
    </w:p>
    <w:p w14:paraId="2B4E110C" w14:textId="77777777" w:rsidR="00DC0CAE" w:rsidRDefault="00DC0CAE">
      <w:pPr>
        <w:spacing w:after="0" w:line="240" w:lineRule="auto"/>
        <w:rPr>
          <w:sz w:val="24"/>
          <w:szCs w:val="24"/>
        </w:rPr>
      </w:pPr>
    </w:p>
    <w:p w14:paraId="6CF0C6FC" w14:textId="77777777" w:rsidR="00DC0CAE" w:rsidRDefault="00DC0CAE">
      <w:pPr>
        <w:spacing w:after="0" w:line="240" w:lineRule="auto"/>
        <w:rPr>
          <w:sz w:val="24"/>
          <w:szCs w:val="24"/>
        </w:rPr>
      </w:pPr>
    </w:p>
    <w:p w14:paraId="6C0E9247" w14:textId="77777777" w:rsidR="00DC0CAE" w:rsidRDefault="00DC0CAE">
      <w:pPr>
        <w:spacing w:after="0" w:line="240" w:lineRule="auto"/>
        <w:rPr>
          <w:sz w:val="24"/>
          <w:szCs w:val="24"/>
        </w:rPr>
      </w:pPr>
    </w:p>
    <w:p w14:paraId="060E9AD1" w14:textId="77777777" w:rsidR="00DC0CAE" w:rsidRDefault="00DC0CAE">
      <w:pPr>
        <w:spacing w:after="0" w:line="240" w:lineRule="auto"/>
        <w:rPr>
          <w:sz w:val="24"/>
          <w:szCs w:val="24"/>
        </w:rPr>
      </w:pPr>
    </w:p>
    <w:p w14:paraId="7956027D" w14:textId="77777777" w:rsidR="00DC0CAE" w:rsidRDefault="00DC0CAE">
      <w:pPr>
        <w:spacing w:after="0" w:line="240" w:lineRule="auto"/>
        <w:rPr>
          <w:sz w:val="24"/>
          <w:szCs w:val="24"/>
        </w:rPr>
      </w:pPr>
    </w:p>
    <w:p w14:paraId="73AA68F2" w14:textId="77777777" w:rsidR="00DC0CAE" w:rsidRDefault="00DC0CAE">
      <w:pPr>
        <w:spacing w:after="0" w:line="240" w:lineRule="auto"/>
        <w:rPr>
          <w:sz w:val="24"/>
          <w:szCs w:val="24"/>
        </w:rPr>
      </w:pPr>
    </w:p>
    <w:p w14:paraId="6B890FB6" w14:textId="77777777" w:rsidR="00DC0CAE" w:rsidRDefault="00DC0CAE">
      <w:pPr>
        <w:spacing w:after="0" w:line="240" w:lineRule="auto"/>
        <w:rPr>
          <w:sz w:val="24"/>
          <w:szCs w:val="24"/>
        </w:rPr>
      </w:pPr>
    </w:p>
    <w:p w14:paraId="042CA671" w14:textId="77777777" w:rsidR="00DC0CAE" w:rsidRDefault="00DC0CAE">
      <w:pPr>
        <w:spacing w:after="0" w:line="240" w:lineRule="auto"/>
        <w:rPr>
          <w:sz w:val="24"/>
          <w:szCs w:val="24"/>
        </w:rPr>
      </w:pPr>
    </w:p>
    <w:p w14:paraId="3FF9F120" w14:textId="77777777" w:rsidR="00DC0CAE" w:rsidRDefault="00DC0CAE">
      <w:pPr>
        <w:spacing w:after="0" w:line="240" w:lineRule="auto"/>
        <w:rPr>
          <w:sz w:val="24"/>
          <w:szCs w:val="24"/>
        </w:rPr>
      </w:pPr>
    </w:p>
    <w:p w14:paraId="72A43BAD" w14:textId="77777777" w:rsidR="00DC0CAE" w:rsidRDefault="00DC0CAE">
      <w:pPr>
        <w:spacing w:after="0" w:line="240" w:lineRule="auto"/>
        <w:rPr>
          <w:sz w:val="24"/>
          <w:szCs w:val="24"/>
        </w:rPr>
      </w:pPr>
    </w:p>
    <w:p w14:paraId="219260FF" w14:textId="77777777" w:rsidR="00DC0CAE" w:rsidRDefault="00DC0CAE">
      <w:pPr>
        <w:spacing w:after="0" w:line="240" w:lineRule="auto"/>
        <w:rPr>
          <w:sz w:val="24"/>
          <w:szCs w:val="24"/>
        </w:rPr>
      </w:pPr>
    </w:p>
    <w:p w14:paraId="079FE7F0" w14:textId="77777777" w:rsidR="00DC0CAE" w:rsidRDefault="00DC0CAE">
      <w:pPr>
        <w:spacing w:after="0" w:line="240" w:lineRule="auto"/>
        <w:rPr>
          <w:sz w:val="24"/>
          <w:szCs w:val="24"/>
        </w:rPr>
      </w:pPr>
    </w:p>
    <w:p w14:paraId="1C9198BD" w14:textId="77777777" w:rsidR="00DC0CAE" w:rsidRDefault="00DC0CAE">
      <w:pPr>
        <w:spacing w:after="0" w:line="240" w:lineRule="auto"/>
        <w:rPr>
          <w:sz w:val="24"/>
          <w:szCs w:val="24"/>
        </w:rPr>
      </w:pPr>
    </w:p>
    <w:p w14:paraId="189D4721" w14:textId="77777777" w:rsidR="00DC0CAE" w:rsidRDefault="00DC0CAE">
      <w:pPr>
        <w:spacing w:after="0" w:line="240" w:lineRule="auto"/>
        <w:rPr>
          <w:sz w:val="24"/>
          <w:szCs w:val="24"/>
        </w:rPr>
      </w:pPr>
    </w:p>
    <w:tbl>
      <w:tblPr>
        <w:tblStyle w:val="a0"/>
        <w:tblW w:w="9360" w:type="dxa"/>
        <w:tblLayout w:type="fixed"/>
        <w:tblLook w:val="0400" w:firstRow="0" w:lastRow="0" w:firstColumn="0" w:lastColumn="0" w:noHBand="0" w:noVBand="1"/>
      </w:tblPr>
      <w:tblGrid>
        <w:gridCol w:w="3378"/>
        <w:gridCol w:w="1485"/>
        <w:gridCol w:w="1485"/>
        <w:gridCol w:w="1510"/>
        <w:gridCol w:w="1502"/>
      </w:tblGrid>
      <w:tr w:rsidR="00DC0CAE" w14:paraId="35F9128D" w14:textId="77777777">
        <w:tc>
          <w:tcPr>
            <w:tcW w:w="9360" w:type="dxa"/>
            <w:gridSpan w:val="5"/>
            <w:tcBorders>
              <w:top w:val="nil"/>
              <w:left w:val="nil"/>
              <w:bottom w:val="nil"/>
              <w:right w:val="nil"/>
            </w:tcBorders>
            <w:vAlign w:val="center"/>
          </w:tcPr>
          <w:p w14:paraId="64BE86DE" w14:textId="77777777" w:rsidR="00DC0CAE" w:rsidRDefault="00DC0CAE">
            <w:pPr>
              <w:spacing w:after="0" w:line="240" w:lineRule="auto"/>
              <w:rPr>
                <w:rFonts w:ascii="Times" w:eastAsia="Times" w:hAnsi="Times" w:cs="Times"/>
                <w:b/>
              </w:rPr>
            </w:pPr>
          </w:p>
          <w:p w14:paraId="7C48D03B" w14:textId="77777777" w:rsidR="00DC0CAE" w:rsidRPr="00F01999" w:rsidRDefault="00DC0CAE">
            <w:pPr>
              <w:spacing w:after="0" w:line="240" w:lineRule="auto"/>
              <w:rPr>
                <w:rFonts w:eastAsia="Times"/>
                <w:b/>
              </w:rPr>
            </w:pPr>
          </w:p>
          <w:p w14:paraId="1069629E" w14:textId="77777777" w:rsidR="00DC0CAE" w:rsidRDefault="00FF40F3">
            <w:pPr>
              <w:spacing w:after="0" w:line="240" w:lineRule="auto"/>
              <w:rPr>
                <w:rFonts w:ascii="Times" w:eastAsia="Times" w:hAnsi="Times" w:cs="Times"/>
              </w:rPr>
            </w:pPr>
            <w:r w:rsidRPr="00F01999">
              <w:rPr>
                <w:rFonts w:eastAsia="Times"/>
                <w:b/>
              </w:rPr>
              <w:t xml:space="preserve">Table 2: A Multilevel Model of the </w:t>
            </w:r>
            <w:r w:rsidRPr="00F01999">
              <w:rPr>
                <w:rFonts w:eastAsia="Times"/>
                <w:b/>
                <w:i/>
              </w:rPr>
              <w:t>h</w:t>
            </w:r>
            <w:r w:rsidRPr="00F01999">
              <w:rPr>
                <w:rFonts w:eastAsia="Times"/>
                <w:b/>
              </w:rPr>
              <w:t>-index</w:t>
            </w:r>
          </w:p>
        </w:tc>
      </w:tr>
      <w:tr w:rsidR="00DC0CAE" w14:paraId="33939C33" w14:textId="77777777">
        <w:tc>
          <w:tcPr>
            <w:tcW w:w="9360" w:type="dxa"/>
            <w:gridSpan w:val="5"/>
            <w:tcBorders>
              <w:bottom w:val="single" w:sz="6" w:space="0" w:color="000000"/>
            </w:tcBorders>
            <w:vAlign w:val="center"/>
          </w:tcPr>
          <w:p w14:paraId="2F498C2E" w14:textId="77777777" w:rsidR="00DC0CAE" w:rsidRDefault="00DC0CAE">
            <w:pPr>
              <w:spacing w:after="0" w:line="240" w:lineRule="auto"/>
              <w:jc w:val="center"/>
              <w:rPr>
                <w:rFonts w:ascii="Times" w:eastAsia="Times" w:hAnsi="Times" w:cs="Times"/>
              </w:rPr>
            </w:pPr>
          </w:p>
        </w:tc>
      </w:tr>
      <w:tr w:rsidR="00DC0CAE" w14:paraId="6F934CD0" w14:textId="77777777">
        <w:tc>
          <w:tcPr>
            <w:tcW w:w="3378" w:type="dxa"/>
            <w:vAlign w:val="center"/>
          </w:tcPr>
          <w:p w14:paraId="40DC220D" w14:textId="77777777" w:rsidR="00DC0CAE" w:rsidRDefault="00DC0CAE">
            <w:pPr>
              <w:spacing w:after="0" w:line="240" w:lineRule="auto"/>
              <w:jc w:val="center"/>
            </w:pPr>
          </w:p>
        </w:tc>
        <w:tc>
          <w:tcPr>
            <w:tcW w:w="5982" w:type="dxa"/>
            <w:gridSpan w:val="4"/>
            <w:vAlign w:val="center"/>
          </w:tcPr>
          <w:p w14:paraId="5813182D" w14:textId="77777777" w:rsidR="00DC0CAE" w:rsidRDefault="00DC0CAE">
            <w:pPr>
              <w:spacing w:after="0" w:line="240" w:lineRule="auto"/>
              <w:jc w:val="center"/>
              <w:rPr>
                <w:rFonts w:ascii="Times" w:eastAsia="Times" w:hAnsi="Times" w:cs="Times"/>
              </w:rPr>
            </w:pPr>
          </w:p>
        </w:tc>
      </w:tr>
      <w:tr w:rsidR="00DC0CAE" w14:paraId="5EDCAFAC" w14:textId="77777777">
        <w:tc>
          <w:tcPr>
            <w:tcW w:w="3378" w:type="dxa"/>
            <w:vAlign w:val="center"/>
          </w:tcPr>
          <w:p w14:paraId="00F6B8EF" w14:textId="77777777" w:rsidR="00DC0CAE" w:rsidRDefault="00DC0CAE">
            <w:pPr>
              <w:spacing w:after="0" w:line="240" w:lineRule="auto"/>
              <w:jc w:val="center"/>
              <w:rPr>
                <w:rFonts w:ascii="Times" w:eastAsia="Times" w:hAnsi="Times" w:cs="Times"/>
              </w:rPr>
            </w:pPr>
          </w:p>
        </w:tc>
        <w:tc>
          <w:tcPr>
            <w:tcW w:w="2970" w:type="dxa"/>
            <w:gridSpan w:val="2"/>
            <w:tcBorders>
              <w:bottom w:val="single" w:sz="4" w:space="0" w:color="000000"/>
            </w:tcBorders>
            <w:vAlign w:val="center"/>
          </w:tcPr>
          <w:p w14:paraId="1421558F" w14:textId="77777777" w:rsidR="00DC0CAE" w:rsidRDefault="00FF40F3">
            <w:pPr>
              <w:spacing w:after="0" w:line="240" w:lineRule="auto"/>
              <w:jc w:val="center"/>
              <w:rPr>
                <w:rFonts w:ascii="Times" w:eastAsia="Times" w:hAnsi="Times" w:cs="Times"/>
              </w:rPr>
            </w:pPr>
            <w:r>
              <w:rPr>
                <w:rFonts w:ascii="Times" w:eastAsia="Times" w:hAnsi="Times" w:cs="Times"/>
              </w:rPr>
              <w:t>All Disciplines</w:t>
            </w:r>
          </w:p>
        </w:tc>
        <w:tc>
          <w:tcPr>
            <w:tcW w:w="3012" w:type="dxa"/>
            <w:gridSpan w:val="2"/>
            <w:tcBorders>
              <w:bottom w:val="single" w:sz="4" w:space="0" w:color="000000"/>
            </w:tcBorders>
            <w:vAlign w:val="center"/>
          </w:tcPr>
          <w:p w14:paraId="5DDC1349" w14:textId="77777777" w:rsidR="00DC0CAE" w:rsidRDefault="00FF40F3">
            <w:pPr>
              <w:spacing w:after="0" w:line="240" w:lineRule="auto"/>
              <w:jc w:val="center"/>
              <w:rPr>
                <w:rFonts w:ascii="Times" w:eastAsia="Times" w:hAnsi="Times" w:cs="Times"/>
              </w:rPr>
            </w:pPr>
            <w:r>
              <w:rPr>
                <w:rFonts w:ascii="Times" w:eastAsia="Times" w:hAnsi="Times" w:cs="Times"/>
              </w:rPr>
              <w:t>Clinical Medicine Subset</w:t>
            </w:r>
          </w:p>
        </w:tc>
      </w:tr>
      <w:tr w:rsidR="00DC0CAE" w14:paraId="07275836" w14:textId="77777777">
        <w:tc>
          <w:tcPr>
            <w:tcW w:w="3378" w:type="dxa"/>
            <w:vAlign w:val="center"/>
          </w:tcPr>
          <w:p w14:paraId="534C3B0A" w14:textId="77777777" w:rsidR="00DC0CAE" w:rsidRDefault="00DC0CAE">
            <w:pPr>
              <w:spacing w:after="0" w:line="240" w:lineRule="auto"/>
              <w:jc w:val="center"/>
              <w:rPr>
                <w:rFonts w:ascii="Times" w:eastAsia="Times" w:hAnsi="Times" w:cs="Times"/>
              </w:rPr>
            </w:pPr>
          </w:p>
        </w:tc>
        <w:tc>
          <w:tcPr>
            <w:tcW w:w="1485" w:type="dxa"/>
            <w:vAlign w:val="center"/>
          </w:tcPr>
          <w:p w14:paraId="2E81DB81"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485" w:type="dxa"/>
            <w:vAlign w:val="center"/>
          </w:tcPr>
          <w:p w14:paraId="46CEBAC8"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c>
          <w:tcPr>
            <w:tcW w:w="1510" w:type="dxa"/>
            <w:vAlign w:val="center"/>
          </w:tcPr>
          <w:p w14:paraId="03E0591C" w14:textId="77777777" w:rsidR="00DC0CAE" w:rsidRDefault="00FF40F3">
            <w:pPr>
              <w:spacing w:after="0" w:line="240" w:lineRule="auto"/>
              <w:jc w:val="center"/>
              <w:rPr>
                <w:rFonts w:ascii="Times" w:eastAsia="Times" w:hAnsi="Times" w:cs="Times"/>
              </w:rPr>
            </w:pPr>
            <w:r>
              <w:rPr>
                <w:rFonts w:ascii="Times" w:eastAsia="Times" w:hAnsi="Times" w:cs="Times"/>
              </w:rPr>
              <w:t xml:space="preserve">Null Model </w:t>
            </w:r>
          </w:p>
        </w:tc>
        <w:tc>
          <w:tcPr>
            <w:tcW w:w="1502" w:type="dxa"/>
            <w:vAlign w:val="center"/>
          </w:tcPr>
          <w:p w14:paraId="50C74177" w14:textId="77777777" w:rsidR="00DC0CAE" w:rsidRDefault="00FF40F3">
            <w:pPr>
              <w:spacing w:after="0" w:line="240" w:lineRule="auto"/>
              <w:jc w:val="center"/>
              <w:rPr>
                <w:rFonts w:ascii="Times" w:eastAsia="Times" w:hAnsi="Times" w:cs="Times"/>
              </w:rPr>
            </w:pPr>
            <w:r>
              <w:rPr>
                <w:rFonts w:ascii="Times" w:eastAsia="Times" w:hAnsi="Times" w:cs="Times"/>
              </w:rPr>
              <w:t xml:space="preserve">Full Model </w:t>
            </w:r>
          </w:p>
        </w:tc>
      </w:tr>
      <w:tr w:rsidR="00DC0CAE" w14:paraId="0CF3AF07" w14:textId="77777777">
        <w:tc>
          <w:tcPr>
            <w:tcW w:w="3378" w:type="dxa"/>
            <w:vAlign w:val="center"/>
          </w:tcPr>
          <w:p w14:paraId="0B6FCB43" w14:textId="77777777" w:rsidR="00DC0CAE" w:rsidRDefault="00DC0CAE">
            <w:pPr>
              <w:spacing w:after="0" w:line="240" w:lineRule="auto"/>
              <w:jc w:val="center"/>
              <w:rPr>
                <w:rFonts w:ascii="Times" w:eastAsia="Times" w:hAnsi="Times" w:cs="Times"/>
              </w:rPr>
            </w:pPr>
          </w:p>
        </w:tc>
        <w:tc>
          <w:tcPr>
            <w:tcW w:w="1485" w:type="dxa"/>
            <w:vAlign w:val="center"/>
          </w:tcPr>
          <w:p w14:paraId="5AD5934B" w14:textId="77777777" w:rsidR="00DC0CAE" w:rsidRDefault="00FF40F3">
            <w:pPr>
              <w:spacing w:after="0" w:line="240" w:lineRule="auto"/>
              <w:jc w:val="center"/>
              <w:rPr>
                <w:rFonts w:ascii="Times" w:eastAsia="Times" w:hAnsi="Times" w:cs="Times"/>
              </w:rPr>
            </w:pPr>
            <w:r>
              <w:rPr>
                <w:rFonts w:ascii="Times" w:eastAsia="Times" w:hAnsi="Times" w:cs="Times"/>
              </w:rPr>
              <w:t>(1)</w:t>
            </w:r>
          </w:p>
        </w:tc>
        <w:tc>
          <w:tcPr>
            <w:tcW w:w="1485" w:type="dxa"/>
            <w:vAlign w:val="center"/>
          </w:tcPr>
          <w:p w14:paraId="4E8088CD" w14:textId="77777777" w:rsidR="00DC0CAE" w:rsidRDefault="00FF40F3">
            <w:pPr>
              <w:spacing w:after="0" w:line="240" w:lineRule="auto"/>
              <w:jc w:val="center"/>
              <w:rPr>
                <w:rFonts w:ascii="Times" w:eastAsia="Times" w:hAnsi="Times" w:cs="Times"/>
              </w:rPr>
            </w:pPr>
            <w:r>
              <w:rPr>
                <w:rFonts w:ascii="Times" w:eastAsia="Times" w:hAnsi="Times" w:cs="Times"/>
              </w:rPr>
              <w:t>(2)</w:t>
            </w:r>
          </w:p>
        </w:tc>
        <w:tc>
          <w:tcPr>
            <w:tcW w:w="1510" w:type="dxa"/>
            <w:vAlign w:val="center"/>
          </w:tcPr>
          <w:p w14:paraId="340CF12C" w14:textId="77777777" w:rsidR="00DC0CAE" w:rsidRDefault="00FF40F3">
            <w:pPr>
              <w:spacing w:after="0" w:line="240" w:lineRule="auto"/>
              <w:jc w:val="center"/>
              <w:rPr>
                <w:rFonts w:ascii="Times" w:eastAsia="Times" w:hAnsi="Times" w:cs="Times"/>
              </w:rPr>
            </w:pPr>
            <w:r>
              <w:rPr>
                <w:rFonts w:ascii="Times" w:eastAsia="Times" w:hAnsi="Times" w:cs="Times"/>
              </w:rPr>
              <w:t>(3)</w:t>
            </w:r>
          </w:p>
        </w:tc>
        <w:tc>
          <w:tcPr>
            <w:tcW w:w="1502" w:type="dxa"/>
            <w:vAlign w:val="center"/>
          </w:tcPr>
          <w:p w14:paraId="6F8CF082" w14:textId="77777777" w:rsidR="00DC0CAE" w:rsidRDefault="00FF40F3">
            <w:pPr>
              <w:spacing w:after="0" w:line="240" w:lineRule="auto"/>
              <w:jc w:val="center"/>
              <w:rPr>
                <w:rFonts w:ascii="Times" w:eastAsia="Times" w:hAnsi="Times" w:cs="Times"/>
              </w:rPr>
            </w:pPr>
            <w:r>
              <w:rPr>
                <w:rFonts w:ascii="Times" w:eastAsia="Times" w:hAnsi="Times" w:cs="Times"/>
              </w:rPr>
              <w:t>(4)</w:t>
            </w:r>
          </w:p>
        </w:tc>
      </w:tr>
      <w:tr w:rsidR="00DC0CAE" w14:paraId="20FF16DE" w14:textId="77777777">
        <w:tc>
          <w:tcPr>
            <w:tcW w:w="9360" w:type="dxa"/>
            <w:gridSpan w:val="5"/>
            <w:tcBorders>
              <w:bottom w:val="single" w:sz="6" w:space="0" w:color="000000"/>
            </w:tcBorders>
            <w:vAlign w:val="center"/>
          </w:tcPr>
          <w:p w14:paraId="7B8E667F" w14:textId="77777777" w:rsidR="00DC0CAE" w:rsidRDefault="00DC0CAE">
            <w:pPr>
              <w:spacing w:after="0" w:line="240" w:lineRule="auto"/>
              <w:jc w:val="center"/>
              <w:rPr>
                <w:rFonts w:ascii="Times" w:eastAsia="Times" w:hAnsi="Times" w:cs="Times"/>
              </w:rPr>
            </w:pPr>
          </w:p>
        </w:tc>
      </w:tr>
      <w:tr w:rsidR="00DC0CAE" w14:paraId="7952B7EE" w14:textId="77777777">
        <w:tc>
          <w:tcPr>
            <w:tcW w:w="3378" w:type="dxa"/>
            <w:vAlign w:val="center"/>
          </w:tcPr>
          <w:p w14:paraId="751CF885" w14:textId="77777777" w:rsidR="00DC0CAE" w:rsidRDefault="00FF40F3">
            <w:pPr>
              <w:spacing w:after="0" w:line="240" w:lineRule="auto"/>
              <w:rPr>
                <w:rFonts w:ascii="Times" w:eastAsia="Times" w:hAnsi="Times" w:cs="Times"/>
              </w:rPr>
            </w:pPr>
            <w:r>
              <w:rPr>
                <w:rFonts w:ascii="Times" w:eastAsia="Times" w:hAnsi="Times" w:cs="Times"/>
              </w:rPr>
              <w:t>% Female Name</w:t>
            </w:r>
          </w:p>
        </w:tc>
        <w:tc>
          <w:tcPr>
            <w:tcW w:w="1485" w:type="dxa"/>
            <w:vAlign w:val="center"/>
          </w:tcPr>
          <w:p w14:paraId="7376F728" w14:textId="77777777" w:rsidR="00DC0CAE" w:rsidRDefault="00DC0CAE">
            <w:pPr>
              <w:spacing w:after="0" w:line="240" w:lineRule="auto"/>
              <w:rPr>
                <w:rFonts w:ascii="Times" w:eastAsia="Times" w:hAnsi="Times" w:cs="Times"/>
              </w:rPr>
            </w:pPr>
          </w:p>
        </w:tc>
        <w:tc>
          <w:tcPr>
            <w:tcW w:w="1485" w:type="dxa"/>
            <w:vAlign w:val="center"/>
          </w:tcPr>
          <w:p w14:paraId="35F4A8A7"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c>
          <w:tcPr>
            <w:tcW w:w="1510" w:type="dxa"/>
            <w:vAlign w:val="center"/>
          </w:tcPr>
          <w:p w14:paraId="05F6D089" w14:textId="77777777" w:rsidR="00DC0CAE" w:rsidRDefault="00DC0CAE">
            <w:pPr>
              <w:spacing w:after="0" w:line="240" w:lineRule="auto"/>
              <w:jc w:val="center"/>
              <w:rPr>
                <w:rFonts w:ascii="Times" w:eastAsia="Times" w:hAnsi="Times" w:cs="Times"/>
              </w:rPr>
            </w:pPr>
          </w:p>
        </w:tc>
        <w:tc>
          <w:tcPr>
            <w:tcW w:w="1502" w:type="dxa"/>
            <w:vAlign w:val="center"/>
          </w:tcPr>
          <w:p w14:paraId="68AABE48" w14:textId="77777777" w:rsidR="00DC0CAE" w:rsidRDefault="00FF40F3">
            <w:pPr>
              <w:spacing w:after="0" w:line="240" w:lineRule="auto"/>
              <w:jc w:val="center"/>
              <w:rPr>
                <w:rFonts w:ascii="Times" w:eastAsia="Times" w:hAnsi="Times" w:cs="Times"/>
              </w:rPr>
            </w:pPr>
            <w:r>
              <w:rPr>
                <w:rFonts w:ascii="Times" w:eastAsia="Times" w:hAnsi="Times" w:cs="Times"/>
              </w:rPr>
              <w:t>-0.01</w:t>
            </w:r>
            <w:r>
              <w:rPr>
                <w:rFonts w:ascii="Times" w:eastAsia="Times" w:hAnsi="Times" w:cs="Times"/>
                <w:vertAlign w:val="superscript"/>
              </w:rPr>
              <w:t>***</w:t>
            </w:r>
          </w:p>
        </w:tc>
      </w:tr>
      <w:tr w:rsidR="00DC0CAE" w14:paraId="24DFBF15" w14:textId="77777777">
        <w:tc>
          <w:tcPr>
            <w:tcW w:w="3378" w:type="dxa"/>
            <w:vAlign w:val="center"/>
          </w:tcPr>
          <w:p w14:paraId="75671540" w14:textId="77777777" w:rsidR="00DC0CAE" w:rsidRDefault="00FF40F3">
            <w:pPr>
              <w:spacing w:after="0" w:line="240" w:lineRule="auto"/>
              <w:rPr>
                <w:rFonts w:ascii="Times" w:eastAsia="Times" w:hAnsi="Times" w:cs="Times"/>
              </w:rPr>
            </w:pPr>
            <w:r>
              <w:rPr>
                <w:rFonts w:ascii="Times" w:eastAsia="Times" w:hAnsi="Times" w:cs="Times"/>
              </w:rPr>
              <w:t>% Sole Author Publications</w:t>
            </w:r>
          </w:p>
        </w:tc>
        <w:tc>
          <w:tcPr>
            <w:tcW w:w="1485" w:type="dxa"/>
            <w:vAlign w:val="center"/>
          </w:tcPr>
          <w:p w14:paraId="0EA738C1" w14:textId="77777777" w:rsidR="00DC0CAE" w:rsidRDefault="00DC0CAE">
            <w:pPr>
              <w:spacing w:after="0" w:line="240" w:lineRule="auto"/>
              <w:rPr>
                <w:rFonts w:ascii="Times" w:eastAsia="Times" w:hAnsi="Times" w:cs="Times"/>
              </w:rPr>
            </w:pPr>
          </w:p>
        </w:tc>
        <w:tc>
          <w:tcPr>
            <w:tcW w:w="1485" w:type="dxa"/>
            <w:vAlign w:val="center"/>
          </w:tcPr>
          <w:p w14:paraId="40390B5F" w14:textId="77777777" w:rsidR="00DC0CAE" w:rsidRDefault="00FF40F3">
            <w:pPr>
              <w:spacing w:after="0" w:line="240" w:lineRule="auto"/>
              <w:jc w:val="center"/>
              <w:rPr>
                <w:rFonts w:ascii="Times" w:eastAsia="Times" w:hAnsi="Times" w:cs="Times"/>
              </w:rPr>
            </w:pPr>
            <w:r>
              <w:rPr>
                <w:rFonts w:ascii="Times" w:eastAsia="Times" w:hAnsi="Times" w:cs="Times"/>
              </w:rPr>
              <w:t>-0.28</w:t>
            </w:r>
            <w:r>
              <w:rPr>
                <w:rFonts w:ascii="Times" w:eastAsia="Times" w:hAnsi="Times" w:cs="Times"/>
                <w:vertAlign w:val="superscript"/>
              </w:rPr>
              <w:t>***</w:t>
            </w:r>
          </w:p>
        </w:tc>
        <w:tc>
          <w:tcPr>
            <w:tcW w:w="1510" w:type="dxa"/>
            <w:vAlign w:val="center"/>
          </w:tcPr>
          <w:p w14:paraId="67760B62" w14:textId="77777777" w:rsidR="00DC0CAE" w:rsidRDefault="00DC0CAE">
            <w:pPr>
              <w:spacing w:after="0" w:line="240" w:lineRule="auto"/>
              <w:jc w:val="center"/>
              <w:rPr>
                <w:rFonts w:ascii="Times" w:eastAsia="Times" w:hAnsi="Times" w:cs="Times"/>
              </w:rPr>
            </w:pPr>
          </w:p>
        </w:tc>
        <w:tc>
          <w:tcPr>
            <w:tcW w:w="1502" w:type="dxa"/>
            <w:vAlign w:val="center"/>
          </w:tcPr>
          <w:p w14:paraId="369FA092" w14:textId="77777777" w:rsidR="00DC0CAE" w:rsidRDefault="00FF40F3">
            <w:pPr>
              <w:spacing w:after="0" w:line="240" w:lineRule="auto"/>
              <w:jc w:val="center"/>
              <w:rPr>
                <w:rFonts w:ascii="Times" w:eastAsia="Times" w:hAnsi="Times" w:cs="Times"/>
              </w:rPr>
            </w:pPr>
            <w:r>
              <w:rPr>
                <w:rFonts w:ascii="Times" w:eastAsia="Times" w:hAnsi="Times" w:cs="Times"/>
              </w:rPr>
              <w:t>-0.34</w:t>
            </w:r>
            <w:r>
              <w:rPr>
                <w:rFonts w:ascii="Times" w:eastAsia="Times" w:hAnsi="Times" w:cs="Times"/>
                <w:vertAlign w:val="superscript"/>
              </w:rPr>
              <w:t>***</w:t>
            </w:r>
          </w:p>
        </w:tc>
      </w:tr>
      <w:tr w:rsidR="00DC0CAE" w14:paraId="399F28CE" w14:textId="77777777">
        <w:tc>
          <w:tcPr>
            <w:tcW w:w="3378" w:type="dxa"/>
            <w:vAlign w:val="center"/>
          </w:tcPr>
          <w:p w14:paraId="36B24B64" w14:textId="77777777" w:rsidR="00DC0CAE" w:rsidRDefault="00FF40F3">
            <w:pPr>
              <w:spacing w:after="0" w:line="240" w:lineRule="auto"/>
              <w:rPr>
                <w:rFonts w:ascii="Times" w:eastAsia="Times" w:hAnsi="Times" w:cs="Times"/>
              </w:rPr>
            </w:pPr>
            <w:r>
              <w:rPr>
                <w:rFonts w:ascii="Times" w:eastAsia="Times" w:hAnsi="Times" w:cs="Times"/>
              </w:rPr>
              <w:t xml:space="preserve"># </w:t>
            </w:r>
            <w:proofErr w:type="gramStart"/>
            <w:r>
              <w:rPr>
                <w:rFonts w:ascii="Times" w:eastAsia="Times" w:hAnsi="Times" w:cs="Times"/>
              </w:rPr>
              <w:t>of</w:t>
            </w:r>
            <w:proofErr w:type="gramEnd"/>
            <w:r>
              <w:rPr>
                <w:rFonts w:ascii="Times" w:eastAsia="Times" w:hAnsi="Times" w:cs="Times"/>
              </w:rPr>
              <w:t xml:space="preserve"> Citations (1996-2019)</w:t>
            </w:r>
          </w:p>
        </w:tc>
        <w:tc>
          <w:tcPr>
            <w:tcW w:w="1485" w:type="dxa"/>
            <w:vAlign w:val="center"/>
          </w:tcPr>
          <w:p w14:paraId="71030F18" w14:textId="77777777" w:rsidR="00DC0CAE" w:rsidRDefault="00DC0CAE">
            <w:pPr>
              <w:spacing w:after="0" w:line="240" w:lineRule="auto"/>
              <w:rPr>
                <w:rFonts w:ascii="Times" w:eastAsia="Times" w:hAnsi="Times" w:cs="Times"/>
              </w:rPr>
            </w:pPr>
          </w:p>
        </w:tc>
        <w:tc>
          <w:tcPr>
            <w:tcW w:w="1485" w:type="dxa"/>
            <w:vAlign w:val="center"/>
          </w:tcPr>
          <w:p w14:paraId="1D670EC5"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c>
          <w:tcPr>
            <w:tcW w:w="1510" w:type="dxa"/>
            <w:vAlign w:val="center"/>
          </w:tcPr>
          <w:p w14:paraId="15AE6992" w14:textId="77777777" w:rsidR="00DC0CAE" w:rsidRDefault="00DC0CAE">
            <w:pPr>
              <w:spacing w:after="0" w:line="240" w:lineRule="auto"/>
              <w:jc w:val="center"/>
              <w:rPr>
                <w:rFonts w:ascii="Times" w:eastAsia="Times" w:hAnsi="Times" w:cs="Times"/>
              </w:rPr>
            </w:pPr>
          </w:p>
        </w:tc>
        <w:tc>
          <w:tcPr>
            <w:tcW w:w="1502" w:type="dxa"/>
            <w:vAlign w:val="center"/>
          </w:tcPr>
          <w:p w14:paraId="5F14BCE3" w14:textId="77777777" w:rsidR="00DC0CAE" w:rsidRDefault="00FF40F3">
            <w:pPr>
              <w:spacing w:after="0" w:line="240" w:lineRule="auto"/>
              <w:jc w:val="center"/>
              <w:rPr>
                <w:rFonts w:ascii="Times" w:eastAsia="Times" w:hAnsi="Times" w:cs="Times"/>
              </w:rPr>
            </w:pPr>
            <w:r>
              <w:rPr>
                <w:rFonts w:ascii="Times" w:eastAsia="Times" w:hAnsi="Times" w:cs="Times"/>
              </w:rPr>
              <w:t>0.12</w:t>
            </w:r>
            <w:r>
              <w:rPr>
                <w:rFonts w:ascii="Times" w:eastAsia="Times" w:hAnsi="Times" w:cs="Times"/>
                <w:vertAlign w:val="superscript"/>
              </w:rPr>
              <w:t>***</w:t>
            </w:r>
          </w:p>
        </w:tc>
      </w:tr>
      <w:tr w:rsidR="00DC0CAE" w14:paraId="23A486ED" w14:textId="77777777">
        <w:tc>
          <w:tcPr>
            <w:tcW w:w="3378" w:type="dxa"/>
            <w:vAlign w:val="center"/>
          </w:tcPr>
          <w:p w14:paraId="29ED4699" w14:textId="77777777" w:rsidR="00DC0CAE" w:rsidRDefault="00FF40F3">
            <w:pPr>
              <w:spacing w:after="0" w:line="240" w:lineRule="auto"/>
              <w:rPr>
                <w:rFonts w:ascii="Times" w:eastAsia="Times" w:hAnsi="Times" w:cs="Times"/>
              </w:rPr>
            </w:pPr>
            <w:r>
              <w:rPr>
                <w:rFonts w:ascii="Times" w:eastAsia="Times" w:hAnsi="Times" w:cs="Times"/>
              </w:rPr>
              <w:t>University Count (# of Citation Allstars)</w:t>
            </w:r>
          </w:p>
        </w:tc>
        <w:tc>
          <w:tcPr>
            <w:tcW w:w="1485" w:type="dxa"/>
            <w:vAlign w:val="center"/>
          </w:tcPr>
          <w:p w14:paraId="0EBA144E" w14:textId="77777777" w:rsidR="00DC0CAE" w:rsidRDefault="00DC0CAE">
            <w:pPr>
              <w:spacing w:after="0" w:line="240" w:lineRule="auto"/>
              <w:rPr>
                <w:rFonts w:ascii="Times" w:eastAsia="Times" w:hAnsi="Times" w:cs="Times"/>
              </w:rPr>
            </w:pPr>
          </w:p>
        </w:tc>
        <w:tc>
          <w:tcPr>
            <w:tcW w:w="1485" w:type="dxa"/>
            <w:vAlign w:val="center"/>
          </w:tcPr>
          <w:p w14:paraId="13A9BB12" w14:textId="77777777" w:rsidR="00DC0CAE" w:rsidRDefault="00FF40F3">
            <w:pPr>
              <w:spacing w:after="0" w:line="240" w:lineRule="auto"/>
              <w:jc w:val="center"/>
              <w:rPr>
                <w:rFonts w:ascii="Times" w:eastAsia="Times" w:hAnsi="Times" w:cs="Times"/>
              </w:rPr>
            </w:pPr>
            <w:r>
              <w:rPr>
                <w:rFonts w:ascii="Times" w:eastAsia="Times" w:hAnsi="Times" w:cs="Times"/>
              </w:rPr>
              <w:t>0.004</w:t>
            </w:r>
            <w:r>
              <w:rPr>
                <w:rFonts w:ascii="Times" w:eastAsia="Times" w:hAnsi="Times" w:cs="Times"/>
                <w:vertAlign w:val="superscript"/>
              </w:rPr>
              <w:t>***</w:t>
            </w:r>
          </w:p>
        </w:tc>
        <w:tc>
          <w:tcPr>
            <w:tcW w:w="1510" w:type="dxa"/>
            <w:vAlign w:val="center"/>
          </w:tcPr>
          <w:p w14:paraId="717A66FF" w14:textId="77777777" w:rsidR="00DC0CAE" w:rsidRDefault="00DC0CAE">
            <w:pPr>
              <w:spacing w:after="0" w:line="240" w:lineRule="auto"/>
              <w:jc w:val="center"/>
              <w:rPr>
                <w:rFonts w:ascii="Times" w:eastAsia="Times" w:hAnsi="Times" w:cs="Times"/>
              </w:rPr>
            </w:pPr>
          </w:p>
        </w:tc>
        <w:tc>
          <w:tcPr>
            <w:tcW w:w="1502" w:type="dxa"/>
            <w:vAlign w:val="center"/>
          </w:tcPr>
          <w:p w14:paraId="7FCE2D15" w14:textId="77777777" w:rsidR="00DC0CAE" w:rsidRDefault="00FF40F3">
            <w:pPr>
              <w:spacing w:after="0" w:line="240" w:lineRule="auto"/>
              <w:jc w:val="center"/>
              <w:rPr>
                <w:rFonts w:ascii="Times" w:eastAsia="Times" w:hAnsi="Times" w:cs="Times"/>
              </w:rPr>
            </w:pPr>
            <w:r>
              <w:rPr>
                <w:rFonts w:ascii="Times" w:eastAsia="Times" w:hAnsi="Times" w:cs="Times"/>
              </w:rPr>
              <w:t>0.003</w:t>
            </w:r>
            <w:r>
              <w:rPr>
                <w:rFonts w:ascii="Times" w:eastAsia="Times" w:hAnsi="Times" w:cs="Times"/>
                <w:vertAlign w:val="superscript"/>
              </w:rPr>
              <w:t>***</w:t>
            </w:r>
          </w:p>
        </w:tc>
      </w:tr>
      <w:tr w:rsidR="00DC0CAE" w14:paraId="2A596F1E" w14:textId="77777777">
        <w:tc>
          <w:tcPr>
            <w:tcW w:w="3378" w:type="dxa"/>
            <w:vAlign w:val="center"/>
          </w:tcPr>
          <w:p w14:paraId="79D8F528" w14:textId="77777777" w:rsidR="00DC0CAE" w:rsidRDefault="00FF40F3">
            <w:pPr>
              <w:spacing w:after="0" w:line="240" w:lineRule="auto"/>
              <w:rPr>
                <w:rFonts w:ascii="Times" w:eastAsia="Times" w:hAnsi="Times" w:cs="Times"/>
              </w:rPr>
            </w:pPr>
            <w:r>
              <w:rPr>
                <w:rFonts w:ascii="Times" w:eastAsia="Times" w:hAnsi="Times" w:cs="Times"/>
              </w:rPr>
              <w:t>Disciplinarity Score</w:t>
            </w:r>
          </w:p>
        </w:tc>
        <w:tc>
          <w:tcPr>
            <w:tcW w:w="1485" w:type="dxa"/>
            <w:vAlign w:val="center"/>
          </w:tcPr>
          <w:p w14:paraId="1341EF2D" w14:textId="77777777" w:rsidR="00DC0CAE" w:rsidRDefault="00DC0CAE">
            <w:pPr>
              <w:spacing w:after="0" w:line="240" w:lineRule="auto"/>
              <w:rPr>
                <w:rFonts w:ascii="Times" w:eastAsia="Times" w:hAnsi="Times" w:cs="Times"/>
              </w:rPr>
            </w:pPr>
          </w:p>
        </w:tc>
        <w:tc>
          <w:tcPr>
            <w:tcW w:w="1485" w:type="dxa"/>
            <w:vAlign w:val="center"/>
          </w:tcPr>
          <w:p w14:paraId="63815DB3" w14:textId="77777777" w:rsidR="00DC0CAE" w:rsidRDefault="00FF40F3">
            <w:pPr>
              <w:spacing w:after="0" w:line="240" w:lineRule="auto"/>
              <w:jc w:val="center"/>
              <w:rPr>
                <w:rFonts w:ascii="Times" w:eastAsia="Times" w:hAnsi="Times" w:cs="Times"/>
              </w:rPr>
            </w:pPr>
            <w:r>
              <w:rPr>
                <w:rFonts w:ascii="Times" w:eastAsia="Times" w:hAnsi="Times" w:cs="Times"/>
              </w:rPr>
              <w:t>-0.001</w:t>
            </w:r>
          </w:p>
        </w:tc>
        <w:tc>
          <w:tcPr>
            <w:tcW w:w="1510" w:type="dxa"/>
            <w:vAlign w:val="center"/>
          </w:tcPr>
          <w:p w14:paraId="74F47963" w14:textId="77777777" w:rsidR="00DC0CAE" w:rsidRDefault="00DC0CAE">
            <w:pPr>
              <w:spacing w:after="0" w:line="240" w:lineRule="auto"/>
              <w:jc w:val="center"/>
              <w:rPr>
                <w:rFonts w:ascii="Times" w:eastAsia="Times" w:hAnsi="Times" w:cs="Times"/>
              </w:rPr>
            </w:pPr>
          </w:p>
        </w:tc>
        <w:tc>
          <w:tcPr>
            <w:tcW w:w="1502" w:type="dxa"/>
            <w:vAlign w:val="center"/>
          </w:tcPr>
          <w:p w14:paraId="61E1B13D" w14:textId="77777777" w:rsidR="00DC0CAE" w:rsidRDefault="00FF40F3">
            <w:pPr>
              <w:spacing w:after="0" w:line="240" w:lineRule="auto"/>
              <w:jc w:val="center"/>
              <w:rPr>
                <w:rFonts w:ascii="Times" w:eastAsia="Times" w:hAnsi="Times" w:cs="Times"/>
              </w:rPr>
            </w:pPr>
            <w:r>
              <w:rPr>
                <w:rFonts w:ascii="Times" w:eastAsia="Times" w:hAnsi="Times" w:cs="Times"/>
              </w:rPr>
              <w:t>0.02</w:t>
            </w:r>
            <w:r>
              <w:rPr>
                <w:rFonts w:ascii="Times" w:eastAsia="Times" w:hAnsi="Times" w:cs="Times"/>
                <w:vertAlign w:val="superscript"/>
              </w:rPr>
              <w:t>***</w:t>
            </w:r>
          </w:p>
        </w:tc>
      </w:tr>
      <w:tr w:rsidR="00DC0CAE" w14:paraId="0F9005A5" w14:textId="77777777">
        <w:tc>
          <w:tcPr>
            <w:tcW w:w="3378" w:type="dxa"/>
            <w:vAlign w:val="center"/>
          </w:tcPr>
          <w:p w14:paraId="44089256" w14:textId="77777777" w:rsidR="00DC0CAE" w:rsidRDefault="00FF40F3">
            <w:pPr>
              <w:spacing w:after="0" w:line="240" w:lineRule="auto"/>
              <w:rPr>
                <w:rFonts w:ascii="Times" w:eastAsia="Times" w:hAnsi="Times" w:cs="Times"/>
              </w:rPr>
            </w:pPr>
            <w:r>
              <w:rPr>
                <w:rFonts w:ascii="Times" w:eastAsia="Times" w:hAnsi="Times" w:cs="Times"/>
              </w:rPr>
              <w:t>Age (Years Publishing)</w:t>
            </w:r>
          </w:p>
        </w:tc>
        <w:tc>
          <w:tcPr>
            <w:tcW w:w="1485" w:type="dxa"/>
            <w:vAlign w:val="center"/>
          </w:tcPr>
          <w:p w14:paraId="17E2CF2D" w14:textId="77777777" w:rsidR="00DC0CAE" w:rsidRDefault="00DC0CAE">
            <w:pPr>
              <w:spacing w:after="0" w:line="240" w:lineRule="auto"/>
              <w:rPr>
                <w:rFonts w:ascii="Times" w:eastAsia="Times" w:hAnsi="Times" w:cs="Times"/>
              </w:rPr>
            </w:pPr>
          </w:p>
        </w:tc>
        <w:tc>
          <w:tcPr>
            <w:tcW w:w="1485" w:type="dxa"/>
            <w:vAlign w:val="center"/>
          </w:tcPr>
          <w:p w14:paraId="7332B455" w14:textId="77777777" w:rsidR="00DC0CAE" w:rsidRDefault="00FF40F3">
            <w:pPr>
              <w:spacing w:after="0" w:line="240" w:lineRule="auto"/>
              <w:jc w:val="center"/>
              <w:rPr>
                <w:rFonts w:ascii="Times" w:eastAsia="Times" w:hAnsi="Times" w:cs="Times"/>
              </w:rPr>
            </w:pPr>
            <w:r>
              <w:rPr>
                <w:rFonts w:ascii="Times" w:eastAsia="Times" w:hAnsi="Times" w:cs="Times"/>
              </w:rPr>
              <w:t>0.18</w:t>
            </w:r>
            <w:r>
              <w:rPr>
                <w:rFonts w:ascii="Times" w:eastAsia="Times" w:hAnsi="Times" w:cs="Times"/>
                <w:vertAlign w:val="superscript"/>
              </w:rPr>
              <w:t>***</w:t>
            </w:r>
          </w:p>
        </w:tc>
        <w:tc>
          <w:tcPr>
            <w:tcW w:w="1510" w:type="dxa"/>
            <w:vAlign w:val="center"/>
          </w:tcPr>
          <w:p w14:paraId="7B3D098D" w14:textId="77777777" w:rsidR="00DC0CAE" w:rsidRDefault="00DC0CAE">
            <w:pPr>
              <w:spacing w:after="0" w:line="240" w:lineRule="auto"/>
              <w:jc w:val="center"/>
              <w:rPr>
                <w:rFonts w:ascii="Times" w:eastAsia="Times" w:hAnsi="Times" w:cs="Times"/>
              </w:rPr>
            </w:pPr>
          </w:p>
        </w:tc>
        <w:tc>
          <w:tcPr>
            <w:tcW w:w="1502" w:type="dxa"/>
            <w:vAlign w:val="center"/>
          </w:tcPr>
          <w:p w14:paraId="6FA45CFB" w14:textId="77777777" w:rsidR="00DC0CAE" w:rsidRDefault="00FF40F3">
            <w:pPr>
              <w:spacing w:after="0" w:line="240" w:lineRule="auto"/>
              <w:jc w:val="center"/>
              <w:rPr>
                <w:rFonts w:ascii="Times" w:eastAsia="Times" w:hAnsi="Times" w:cs="Times"/>
              </w:rPr>
            </w:pPr>
            <w:r>
              <w:rPr>
                <w:rFonts w:ascii="Times" w:eastAsia="Times" w:hAnsi="Times" w:cs="Times"/>
              </w:rPr>
              <w:t>0.17</w:t>
            </w:r>
            <w:r>
              <w:rPr>
                <w:rFonts w:ascii="Times" w:eastAsia="Times" w:hAnsi="Times" w:cs="Times"/>
                <w:vertAlign w:val="superscript"/>
              </w:rPr>
              <w:t>***</w:t>
            </w:r>
          </w:p>
        </w:tc>
      </w:tr>
      <w:tr w:rsidR="00DC0CAE" w14:paraId="3B4C1E19" w14:textId="77777777">
        <w:tc>
          <w:tcPr>
            <w:tcW w:w="3378" w:type="dxa"/>
            <w:vAlign w:val="center"/>
          </w:tcPr>
          <w:p w14:paraId="2335332E" w14:textId="77777777" w:rsidR="00DC0CAE" w:rsidRDefault="00FF40F3">
            <w:pPr>
              <w:spacing w:after="0" w:line="240" w:lineRule="auto"/>
              <w:rPr>
                <w:rFonts w:ascii="Times" w:eastAsia="Times" w:hAnsi="Times" w:cs="Times"/>
              </w:rPr>
            </w:pPr>
            <w:r>
              <w:rPr>
                <w:rFonts w:ascii="Times" w:eastAsia="Times" w:hAnsi="Times" w:cs="Times"/>
              </w:rPr>
              <w:t>Constant</w:t>
            </w:r>
          </w:p>
        </w:tc>
        <w:tc>
          <w:tcPr>
            <w:tcW w:w="1485" w:type="dxa"/>
            <w:vAlign w:val="center"/>
          </w:tcPr>
          <w:p w14:paraId="4AF933F1" w14:textId="77777777" w:rsidR="00DC0CAE" w:rsidRDefault="00FF40F3">
            <w:pPr>
              <w:spacing w:after="0" w:line="240" w:lineRule="auto"/>
              <w:jc w:val="center"/>
              <w:rPr>
                <w:rFonts w:ascii="Times" w:eastAsia="Times" w:hAnsi="Times" w:cs="Times"/>
              </w:rPr>
            </w:pPr>
            <w:r>
              <w:rPr>
                <w:rFonts w:ascii="Times" w:eastAsia="Times" w:hAnsi="Times" w:cs="Times"/>
              </w:rPr>
              <w:t>41.08</w:t>
            </w:r>
            <w:r>
              <w:rPr>
                <w:rFonts w:ascii="Times" w:eastAsia="Times" w:hAnsi="Times" w:cs="Times"/>
                <w:vertAlign w:val="superscript"/>
              </w:rPr>
              <w:t>***</w:t>
            </w:r>
          </w:p>
        </w:tc>
        <w:tc>
          <w:tcPr>
            <w:tcW w:w="1485" w:type="dxa"/>
            <w:vAlign w:val="center"/>
          </w:tcPr>
          <w:p w14:paraId="554A8249" w14:textId="77777777" w:rsidR="00DC0CAE" w:rsidRDefault="00FF40F3">
            <w:pPr>
              <w:spacing w:after="0" w:line="240" w:lineRule="auto"/>
              <w:jc w:val="center"/>
              <w:rPr>
                <w:rFonts w:ascii="Times" w:eastAsia="Times" w:hAnsi="Times" w:cs="Times"/>
              </w:rPr>
            </w:pPr>
            <w:r>
              <w:rPr>
                <w:rFonts w:ascii="Times" w:eastAsia="Times" w:hAnsi="Times" w:cs="Times"/>
              </w:rPr>
              <w:t>40.94</w:t>
            </w:r>
            <w:r>
              <w:rPr>
                <w:rFonts w:ascii="Times" w:eastAsia="Times" w:hAnsi="Times" w:cs="Times"/>
                <w:vertAlign w:val="superscript"/>
              </w:rPr>
              <w:t>***</w:t>
            </w:r>
          </w:p>
        </w:tc>
        <w:tc>
          <w:tcPr>
            <w:tcW w:w="1510" w:type="dxa"/>
            <w:vAlign w:val="center"/>
          </w:tcPr>
          <w:p w14:paraId="26750D47" w14:textId="77777777" w:rsidR="00DC0CAE" w:rsidRDefault="00FF40F3">
            <w:pPr>
              <w:spacing w:after="0" w:line="240" w:lineRule="auto"/>
              <w:jc w:val="center"/>
              <w:rPr>
                <w:rFonts w:ascii="Times" w:eastAsia="Times" w:hAnsi="Times" w:cs="Times"/>
              </w:rPr>
            </w:pPr>
            <w:r>
              <w:rPr>
                <w:rFonts w:ascii="Times" w:eastAsia="Times" w:hAnsi="Times" w:cs="Times"/>
              </w:rPr>
              <w:t>51.00</w:t>
            </w:r>
            <w:r>
              <w:rPr>
                <w:rFonts w:ascii="Times" w:eastAsia="Times" w:hAnsi="Times" w:cs="Times"/>
                <w:vertAlign w:val="superscript"/>
              </w:rPr>
              <w:t>***</w:t>
            </w:r>
          </w:p>
        </w:tc>
        <w:tc>
          <w:tcPr>
            <w:tcW w:w="1502" w:type="dxa"/>
            <w:vAlign w:val="center"/>
          </w:tcPr>
          <w:p w14:paraId="738B1FB3" w14:textId="77777777" w:rsidR="00DC0CAE" w:rsidRDefault="00FF40F3">
            <w:pPr>
              <w:spacing w:after="0" w:line="240" w:lineRule="auto"/>
              <w:jc w:val="center"/>
              <w:rPr>
                <w:rFonts w:ascii="Times" w:eastAsia="Times" w:hAnsi="Times" w:cs="Times"/>
              </w:rPr>
            </w:pPr>
            <w:r>
              <w:rPr>
                <w:rFonts w:ascii="Times" w:eastAsia="Times" w:hAnsi="Times" w:cs="Times"/>
              </w:rPr>
              <w:t>49.30</w:t>
            </w:r>
            <w:r>
              <w:rPr>
                <w:rFonts w:ascii="Times" w:eastAsia="Times" w:hAnsi="Times" w:cs="Times"/>
                <w:vertAlign w:val="superscript"/>
              </w:rPr>
              <w:t>***</w:t>
            </w:r>
          </w:p>
        </w:tc>
      </w:tr>
      <w:tr w:rsidR="00DC0CAE" w14:paraId="5B1394A1" w14:textId="77777777">
        <w:tc>
          <w:tcPr>
            <w:tcW w:w="3378" w:type="dxa"/>
            <w:vAlign w:val="center"/>
          </w:tcPr>
          <w:p w14:paraId="722B7986" w14:textId="77777777" w:rsidR="00DC0CAE" w:rsidRDefault="00FF40F3">
            <w:pPr>
              <w:spacing w:after="0" w:line="240" w:lineRule="auto"/>
              <w:rPr>
                <w:rFonts w:ascii="Times" w:eastAsia="Times" w:hAnsi="Times" w:cs="Times"/>
              </w:rPr>
            </w:pPr>
            <w:r>
              <w:rPr>
                <w:rFonts w:ascii="Times" w:eastAsia="Times" w:hAnsi="Times" w:cs="Times"/>
              </w:rPr>
              <w:t>ICC</w:t>
            </w:r>
          </w:p>
        </w:tc>
        <w:tc>
          <w:tcPr>
            <w:tcW w:w="1485" w:type="dxa"/>
            <w:vAlign w:val="center"/>
          </w:tcPr>
          <w:p w14:paraId="08E1FEB9" w14:textId="77777777" w:rsidR="00DC0CAE" w:rsidRDefault="00FF40F3">
            <w:pPr>
              <w:spacing w:after="0" w:line="240" w:lineRule="auto"/>
              <w:jc w:val="center"/>
              <w:rPr>
                <w:rFonts w:ascii="Times" w:eastAsia="Times" w:hAnsi="Times" w:cs="Times"/>
              </w:rPr>
            </w:pPr>
            <w:r>
              <w:rPr>
                <w:rFonts w:ascii="Times" w:eastAsia="Times" w:hAnsi="Times" w:cs="Times"/>
              </w:rPr>
              <w:t>.23</w:t>
            </w:r>
          </w:p>
        </w:tc>
        <w:tc>
          <w:tcPr>
            <w:tcW w:w="1485" w:type="dxa"/>
            <w:vAlign w:val="center"/>
          </w:tcPr>
          <w:p w14:paraId="60F5A831" w14:textId="77777777" w:rsidR="00DC0CAE" w:rsidRDefault="00DC0CAE">
            <w:pPr>
              <w:spacing w:after="0" w:line="240" w:lineRule="auto"/>
              <w:jc w:val="center"/>
              <w:rPr>
                <w:rFonts w:ascii="Times" w:eastAsia="Times" w:hAnsi="Times" w:cs="Times"/>
              </w:rPr>
            </w:pPr>
          </w:p>
        </w:tc>
        <w:tc>
          <w:tcPr>
            <w:tcW w:w="1510" w:type="dxa"/>
            <w:vAlign w:val="center"/>
          </w:tcPr>
          <w:p w14:paraId="4B42475A" w14:textId="77777777" w:rsidR="00DC0CAE" w:rsidRDefault="00FF40F3">
            <w:pPr>
              <w:spacing w:after="0" w:line="240" w:lineRule="auto"/>
              <w:jc w:val="center"/>
              <w:rPr>
                <w:rFonts w:ascii="Times" w:eastAsia="Times" w:hAnsi="Times" w:cs="Times"/>
              </w:rPr>
            </w:pPr>
            <w:r>
              <w:rPr>
                <w:rFonts w:ascii="Times" w:eastAsia="Times" w:hAnsi="Times" w:cs="Times"/>
              </w:rPr>
              <w:t>.16</w:t>
            </w:r>
          </w:p>
        </w:tc>
        <w:tc>
          <w:tcPr>
            <w:tcW w:w="1502" w:type="dxa"/>
            <w:vAlign w:val="center"/>
          </w:tcPr>
          <w:p w14:paraId="48B82295" w14:textId="77777777" w:rsidR="00DC0CAE" w:rsidRDefault="00DC0CAE">
            <w:pPr>
              <w:spacing w:after="0" w:line="240" w:lineRule="auto"/>
              <w:jc w:val="center"/>
              <w:rPr>
                <w:rFonts w:ascii="Times" w:eastAsia="Times" w:hAnsi="Times" w:cs="Times"/>
              </w:rPr>
            </w:pPr>
          </w:p>
        </w:tc>
      </w:tr>
      <w:tr w:rsidR="00DC0CAE" w14:paraId="73BFA9A4" w14:textId="77777777">
        <w:tc>
          <w:tcPr>
            <w:tcW w:w="3378" w:type="dxa"/>
            <w:vAlign w:val="center"/>
          </w:tcPr>
          <w:p w14:paraId="1939D0EA" w14:textId="77777777" w:rsidR="00DC0CAE" w:rsidRDefault="00FF40F3">
            <w:pPr>
              <w:spacing w:after="0" w:line="240" w:lineRule="auto"/>
              <w:rPr>
                <w:rFonts w:ascii="Times" w:eastAsia="Times" w:hAnsi="Times" w:cs="Times"/>
              </w:rPr>
            </w:pPr>
            <w:r>
              <w:rPr>
                <w:rFonts w:ascii="Times" w:eastAsia="Times" w:hAnsi="Times" w:cs="Times"/>
                <w:i/>
              </w:rPr>
              <w:t>N</w:t>
            </w:r>
          </w:p>
        </w:tc>
        <w:tc>
          <w:tcPr>
            <w:tcW w:w="1485" w:type="dxa"/>
            <w:vAlign w:val="center"/>
          </w:tcPr>
          <w:p w14:paraId="5A104E1D"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485" w:type="dxa"/>
            <w:vAlign w:val="center"/>
          </w:tcPr>
          <w:p w14:paraId="3E9195B6" w14:textId="77777777" w:rsidR="00DC0CAE" w:rsidRDefault="00FF40F3">
            <w:pPr>
              <w:spacing w:after="0" w:line="240" w:lineRule="auto"/>
              <w:jc w:val="center"/>
              <w:rPr>
                <w:rFonts w:ascii="Times" w:eastAsia="Times" w:hAnsi="Times" w:cs="Times"/>
              </w:rPr>
            </w:pPr>
            <w:r>
              <w:rPr>
                <w:rFonts w:ascii="Times" w:eastAsia="Times" w:hAnsi="Times" w:cs="Times"/>
              </w:rPr>
              <w:t>42,509</w:t>
            </w:r>
          </w:p>
        </w:tc>
        <w:tc>
          <w:tcPr>
            <w:tcW w:w="1510" w:type="dxa"/>
            <w:vAlign w:val="center"/>
          </w:tcPr>
          <w:p w14:paraId="72294586" w14:textId="77777777" w:rsidR="00DC0CAE" w:rsidRDefault="00FF40F3">
            <w:pPr>
              <w:spacing w:after="0" w:line="240" w:lineRule="auto"/>
              <w:jc w:val="center"/>
              <w:rPr>
                <w:rFonts w:ascii="Times" w:eastAsia="Times" w:hAnsi="Times" w:cs="Times"/>
              </w:rPr>
            </w:pPr>
            <w:r>
              <w:rPr>
                <w:rFonts w:ascii="Times" w:eastAsia="Times" w:hAnsi="Times" w:cs="Times"/>
              </w:rPr>
              <w:t>16,041</w:t>
            </w:r>
          </w:p>
        </w:tc>
        <w:tc>
          <w:tcPr>
            <w:tcW w:w="1502" w:type="dxa"/>
            <w:vAlign w:val="center"/>
          </w:tcPr>
          <w:p w14:paraId="345D20CA" w14:textId="77777777" w:rsidR="00DC0CAE" w:rsidRDefault="00FF40F3">
            <w:pPr>
              <w:spacing w:after="0" w:line="240" w:lineRule="auto"/>
              <w:jc w:val="center"/>
              <w:rPr>
                <w:rFonts w:ascii="Times" w:eastAsia="Times" w:hAnsi="Times" w:cs="Times"/>
              </w:rPr>
            </w:pPr>
            <w:r>
              <w:rPr>
                <w:rFonts w:ascii="Times" w:eastAsia="Times" w:hAnsi="Times" w:cs="Times"/>
              </w:rPr>
              <w:t>16,041</w:t>
            </w:r>
          </w:p>
        </w:tc>
      </w:tr>
      <w:tr w:rsidR="00DC0CAE" w14:paraId="212F1306" w14:textId="77777777">
        <w:tc>
          <w:tcPr>
            <w:tcW w:w="3378" w:type="dxa"/>
            <w:vAlign w:val="center"/>
          </w:tcPr>
          <w:p w14:paraId="1ADBE4A1" w14:textId="77777777" w:rsidR="00DC0CAE" w:rsidRDefault="00FF40F3">
            <w:pPr>
              <w:spacing w:after="0" w:line="240" w:lineRule="auto"/>
              <w:rPr>
                <w:rFonts w:ascii="Times" w:eastAsia="Times" w:hAnsi="Times" w:cs="Times"/>
              </w:rPr>
            </w:pPr>
            <w:r>
              <w:rPr>
                <w:rFonts w:ascii="Times" w:eastAsia="Times" w:hAnsi="Times" w:cs="Times"/>
              </w:rPr>
              <w:t>Log Likelihood</w:t>
            </w:r>
          </w:p>
        </w:tc>
        <w:tc>
          <w:tcPr>
            <w:tcW w:w="1485" w:type="dxa"/>
            <w:vAlign w:val="center"/>
          </w:tcPr>
          <w:p w14:paraId="00DEA545" w14:textId="77777777" w:rsidR="00DC0CAE" w:rsidRDefault="00FF40F3">
            <w:pPr>
              <w:spacing w:after="0" w:line="240" w:lineRule="auto"/>
              <w:jc w:val="center"/>
              <w:rPr>
                <w:rFonts w:ascii="Times" w:eastAsia="Times" w:hAnsi="Times" w:cs="Times"/>
              </w:rPr>
            </w:pPr>
            <w:r>
              <w:rPr>
                <w:rFonts w:ascii="Times" w:eastAsia="Times" w:hAnsi="Times" w:cs="Times"/>
              </w:rPr>
              <w:t>-183,302.70</w:t>
            </w:r>
          </w:p>
        </w:tc>
        <w:tc>
          <w:tcPr>
            <w:tcW w:w="1485" w:type="dxa"/>
            <w:vAlign w:val="center"/>
          </w:tcPr>
          <w:p w14:paraId="7877050E" w14:textId="77777777" w:rsidR="00DC0CAE" w:rsidRDefault="00FF40F3">
            <w:pPr>
              <w:spacing w:after="0" w:line="240" w:lineRule="auto"/>
              <w:jc w:val="center"/>
              <w:rPr>
                <w:rFonts w:ascii="Times" w:eastAsia="Times" w:hAnsi="Times" w:cs="Times"/>
              </w:rPr>
            </w:pPr>
            <w:r>
              <w:rPr>
                <w:rFonts w:ascii="Times" w:eastAsia="Times" w:hAnsi="Times" w:cs="Times"/>
              </w:rPr>
              <w:t>-154,035.40</w:t>
            </w:r>
          </w:p>
        </w:tc>
        <w:tc>
          <w:tcPr>
            <w:tcW w:w="1510" w:type="dxa"/>
            <w:vAlign w:val="center"/>
          </w:tcPr>
          <w:p w14:paraId="0909E4C0" w14:textId="77777777" w:rsidR="00DC0CAE" w:rsidRDefault="00FF40F3">
            <w:pPr>
              <w:spacing w:after="0" w:line="240" w:lineRule="auto"/>
              <w:jc w:val="center"/>
              <w:rPr>
                <w:rFonts w:ascii="Times" w:eastAsia="Times" w:hAnsi="Times" w:cs="Times"/>
              </w:rPr>
            </w:pPr>
            <w:r>
              <w:rPr>
                <w:rFonts w:ascii="Times" w:eastAsia="Times" w:hAnsi="Times" w:cs="Times"/>
              </w:rPr>
              <w:t>-71,248.87</w:t>
            </w:r>
          </w:p>
        </w:tc>
        <w:tc>
          <w:tcPr>
            <w:tcW w:w="1502" w:type="dxa"/>
            <w:vAlign w:val="center"/>
          </w:tcPr>
          <w:p w14:paraId="5B993FBD" w14:textId="77777777" w:rsidR="00DC0CAE" w:rsidRDefault="00FF40F3">
            <w:pPr>
              <w:spacing w:after="0" w:line="240" w:lineRule="auto"/>
              <w:jc w:val="center"/>
              <w:rPr>
                <w:rFonts w:ascii="Times" w:eastAsia="Times" w:hAnsi="Times" w:cs="Times"/>
              </w:rPr>
            </w:pPr>
            <w:r>
              <w:rPr>
                <w:rFonts w:ascii="Times" w:eastAsia="Times" w:hAnsi="Times" w:cs="Times"/>
              </w:rPr>
              <w:t>-58,339.33</w:t>
            </w:r>
          </w:p>
        </w:tc>
      </w:tr>
      <w:tr w:rsidR="00DC0CAE" w14:paraId="3A993CE5" w14:textId="77777777">
        <w:tc>
          <w:tcPr>
            <w:tcW w:w="3378" w:type="dxa"/>
            <w:vAlign w:val="center"/>
          </w:tcPr>
          <w:p w14:paraId="25F98D18" w14:textId="77777777" w:rsidR="00DC0CAE" w:rsidRDefault="00FF40F3">
            <w:pPr>
              <w:spacing w:after="0" w:line="240" w:lineRule="auto"/>
              <w:rPr>
                <w:rFonts w:ascii="Times" w:eastAsia="Times" w:hAnsi="Times" w:cs="Times"/>
              </w:rPr>
            </w:pPr>
            <w:r>
              <w:rPr>
                <w:rFonts w:ascii="Times" w:eastAsia="Times" w:hAnsi="Times" w:cs="Times"/>
              </w:rPr>
              <w:t>AIC</w:t>
            </w:r>
          </w:p>
        </w:tc>
        <w:tc>
          <w:tcPr>
            <w:tcW w:w="1485" w:type="dxa"/>
            <w:vAlign w:val="center"/>
          </w:tcPr>
          <w:p w14:paraId="71A6A93B" w14:textId="77777777" w:rsidR="00DC0CAE" w:rsidRDefault="00FF40F3">
            <w:pPr>
              <w:spacing w:after="0" w:line="240" w:lineRule="auto"/>
              <w:jc w:val="center"/>
              <w:rPr>
                <w:rFonts w:ascii="Times" w:eastAsia="Times" w:hAnsi="Times" w:cs="Times"/>
              </w:rPr>
            </w:pPr>
            <w:r>
              <w:rPr>
                <w:rFonts w:ascii="Times" w:eastAsia="Times" w:hAnsi="Times" w:cs="Times"/>
              </w:rPr>
              <w:t>366,611.30</w:t>
            </w:r>
          </w:p>
        </w:tc>
        <w:tc>
          <w:tcPr>
            <w:tcW w:w="1485" w:type="dxa"/>
            <w:vAlign w:val="center"/>
          </w:tcPr>
          <w:p w14:paraId="21B742A2" w14:textId="77777777" w:rsidR="00DC0CAE" w:rsidRDefault="00FF40F3">
            <w:pPr>
              <w:spacing w:after="0" w:line="240" w:lineRule="auto"/>
              <w:jc w:val="center"/>
              <w:rPr>
                <w:rFonts w:ascii="Times" w:eastAsia="Times" w:hAnsi="Times" w:cs="Times"/>
              </w:rPr>
            </w:pPr>
            <w:r>
              <w:rPr>
                <w:rFonts w:ascii="Times" w:eastAsia="Times" w:hAnsi="Times" w:cs="Times"/>
              </w:rPr>
              <w:t>308,088.70</w:t>
            </w:r>
          </w:p>
        </w:tc>
        <w:tc>
          <w:tcPr>
            <w:tcW w:w="1510" w:type="dxa"/>
            <w:vAlign w:val="center"/>
          </w:tcPr>
          <w:p w14:paraId="0E84009E" w14:textId="77777777" w:rsidR="00DC0CAE" w:rsidRDefault="00FF40F3">
            <w:pPr>
              <w:spacing w:after="0" w:line="240" w:lineRule="auto"/>
              <w:jc w:val="center"/>
              <w:rPr>
                <w:rFonts w:ascii="Times" w:eastAsia="Times" w:hAnsi="Times" w:cs="Times"/>
              </w:rPr>
            </w:pPr>
            <w:r>
              <w:rPr>
                <w:rFonts w:ascii="Times" w:eastAsia="Times" w:hAnsi="Times" w:cs="Times"/>
              </w:rPr>
              <w:t>142,503.70</w:t>
            </w:r>
          </w:p>
        </w:tc>
        <w:tc>
          <w:tcPr>
            <w:tcW w:w="1502" w:type="dxa"/>
            <w:vAlign w:val="center"/>
          </w:tcPr>
          <w:p w14:paraId="791876FA" w14:textId="77777777" w:rsidR="00DC0CAE" w:rsidRDefault="00FF40F3">
            <w:pPr>
              <w:spacing w:after="0" w:line="240" w:lineRule="auto"/>
              <w:jc w:val="center"/>
              <w:rPr>
                <w:rFonts w:ascii="Times" w:eastAsia="Times" w:hAnsi="Times" w:cs="Times"/>
              </w:rPr>
            </w:pPr>
            <w:r>
              <w:rPr>
                <w:rFonts w:ascii="Times" w:eastAsia="Times" w:hAnsi="Times" w:cs="Times"/>
              </w:rPr>
              <w:t>116,696.70</w:t>
            </w:r>
          </w:p>
        </w:tc>
      </w:tr>
      <w:tr w:rsidR="00DC0CAE" w14:paraId="664BC700" w14:textId="77777777">
        <w:tc>
          <w:tcPr>
            <w:tcW w:w="3378" w:type="dxa"/>
            <w:vAlign w:val="center"/>
          </w:tcPr>
          <w:p w14:paraId="23C20292" w14:textId="77777777" w:rsidR="00DC0CAE" w:rsidRDefault="00FF40F3">
            <w:pPr>
              <w:spacing w:after="0" w:line="240" w:lineRule="auto"/>
              <w:rPr>
                <w:rFonts w:ascii="Times" w:eastAsia="Times" w:hAnsi="Times" w:cs="Times"/>
              </w:rPr>
            </w:pPr>
            <w:r>
              <w:rPr>
                <w:rFonts w:ascii="Times" w:eastAsia="Times" w:hAnsi="Times" w:cs="Times"/>
              </w:rPr>
              <w:t>BIC</w:t>
            </w:r>
          </w:p>
        </w:tc>
        <w:tc>
          <w:tcPr>
            <w:tcW w:w="1485" w:type="dxa"/>
            <w:vAlign w:val="center"/>
          </w:tcPr>
          <w:p w14:paraId="64E96BA9" w14:textId="77777777" w:rsidR="00DC0CAE" w:rsidRDefault="00FF40F3">
            <w:pPr>
              <w:spacing w:after="0" w:line="240" w:lineRule="auto"/>
              <w:jc w:val="center"/>
              <w:rPr>
                <w:rFonts w:ascii="Times" w:eastAsia="Times" w:hAnsi="Times" w:cs="Times"/>
              </w:rPr>
            </w:pPr>
            <w:r>
              <w:rPr>
                <w:rFonts w:ascii="Times" w:eastAsia="Times" w:hAnsi="Times" w:cs="Times"/>
              </w:rPr>
              <w:t>366,637.30</w:t>
            </w:r>
          </w:p>
        </w:tc>
        <w:tc>
          <w:tcPr>
            <w:tcW w:w="1485" w:type="dxa"/>
            <w:vAlign w:val="center"/>
          </w:tcPr>
          <w:p w14:paraId="69D41D51" w14:textId="77777777" w:rsidR="00DC0CAE" w:rsidRDefault="00FF40F3">
            <w:pPr>
              <w:spacing w:after="0" w:line="240" w:lineRule="auto"/>
              <w:jc w:val="center"/>
              <w:rPr>
                <w:rFonts w:ascii="Times" w:eastAsia="Times" w:hAnsi="Times" w:cs="Times"/>
              </w:rPr>
            </w:pPr>
            <w:r>
              <w:rPr>
                <w:rFonts w:ascii="Times" w:eastAsia="Times" w:hAnsi="Times" w:cs="Times"/>
              </w:rPr>
              <w:t>308,166.70</w:t>
            </w:r>
          </w:p>
        </w:tc>
        <w:tc>
          <w:tcPr>
            <w:tcW w:w="1510" w:type="dxa"/>
            <w:vAlign w:val="center"/>
          </w:tcPr>
          <w:p w14:paraId="09758DFC" w14:textId="77777777" w:rsidR="00DC0CAE" w:rsidRDefault="00FF40F3">
            <w:pPr>
              <w:spacing w:after="0" w:line="240" w:lineRule="auto"/>
              <w:jc w:val="center"/>
              <w:rPr>
                <w:rFonts w:ascii="Times" w:eastAsia="Times" w:hAnsi="Times" w:cs="Times"/>
              </w:rPr>
            </w:pPr>
            <w:r>
              <w:rPr>
                <w:rFonts w:ascii="Times" w:eastAsia="Times" w:hAnsi="Times" w:cs="Times"/>
              </w:rPr>
              <w:t>142,526.80</w:t>
            </w:r>
          </w:p>
        </w:tc>
        <w:tc>
          <w:tcPr>
            <w:tcW w:w="1502" w:type="dxa"/>
            <w:vAlign w:val="center"/>
          </w:tcPr>
          <w:p w14:paraId="7DD4C30D" w14:textId="77777777" w:rsidR="00DC0CAE" w:rsidRDefault="00FF40F3">
            <w:pPr>
              <w:spacing w:after="0" w:line="240" w:lineRule="auto"/>
              <w:jc w:val="center"/>
              <w:rPr>
                <w:rFonts w:ascii="Times" w:eastAsia="Times" w:hAnsi="Times" w:cs="Times"/>
              </w:rPr>
            </w:pPr>
            <w:r>
              <w:rPr>
                <w:rFonts w:ascii="Times" w:eastAsia="Times" w:hAnsi="Times" w:cs="Times"/>
              </w:rPr>
              <w:t>116,765.80</w:t>
            </w:r>
          </w:p>
        </w:tc>
      </w:tr>
      <w:tr w:rsidR="00DC0CAE" w14:paraId="1782EF39" w14:textId="77777777">
        <w:tc>
          <w:tcPr>
            <w:tcW w:w="9360" w:type="dxa"/>
            <w:gridSpan w:val="5"/>
            <w:tcBorders>
              <w:bottom w:val="single" w:sz="6" w:space="0" w:color="000000"/>
            </w:tcBorders>
            <w:vAlign w:val="center"/>
          </w:tcPr>
          <w:p w14:paraId="041E3FD1" w14:textId="77777777" w:rsidR="00DC0CAE" w:rsidRDefault="00DC0CAE">
            <w:pPr>
              <w:spacing w:after="0" w:line="240" w:lineRule="auto"/>
              <w:jc w:val="center"/>
              <w:rPr>
                <w:rFonts w:ascii="Times" w:eastAsia="Times" w:hAnsi="Times" w:cs="Times"/>
              </w:rPr>
            </w:pPr>
          </w:p>
        </w:tc>
      </w:tr>
      <w:tr w:rsidR="00DC0CAE" w14:paraId="0C11B4CC" w14:textId="77777777">
        <w:tc>
          <w:tcPr>
            <w:tcW w:w="9360" w:type="dxa"/>
            <w:gridSpan w:val="5"/>
            <w:vAlign w:val="center"/>
          </w:tcPr>
          <w:p w14:paraId="15201D53" w14:textId="77777777" w:rsidR="00DC0CAE" w:rsidRDefault="00FF40F3">
            <w:pPr>
              <w:spacing w:after="0" w:line="240" w:lineRule="auto"/>
              <w:rPr>
                <w:rFonts w:ascii="Times" w:eastAsia="Times" w:hAnsi="Times" w:cs="Times"/>
              </w:rPr>
            </w:pPr>
            <w:r>
              <w:rPr>
                <w:rFonts w:ascii="Times" w:eastAsia="Times" w:hAnsi="Times" w:cs="Times"/>
                <w:vertAlign w:val="superscript"/>
              </w:rPr>
              <w:t>*</w:t>
            </w:r>
            <w:r>
              <w:rPr>
                <w:rFonts w:ascii="Times" w:eastAsia="Times" w:hAnsi="Times" w:cs="Times"/>
              </w:rPr>
              <w:t>p &lt; .05; </w:t>
            </w:r>
            <w:r>
              <w:rPr>
                <w:rFonts w:ascii="Times" w:eastAsia="Times" w:hAnsi="Times" w:cs="Times"/>
                <w:vertAlign w:val="superscript"/>
              </w:rPr>
              <w:t>**</w:t>
            </w:r>
            <w:r>
              <w:rPr>
                <w:rFonts w:ascii="Times" w:eastAsia="Times" w:hAnsi="Times" w:cs="Times"/>
              </w:rPr>
              <w:t>p &lt; .01; </w:t>
            </w:r>
            <w:r>
              <w:rPr>
                <w:rFonts w:ascii="Times" w:eastAsia="Times" w:hAnsi="Times" w:cs="Times"/>
                <w:vertAlign w:val="superscript"/>
              </w:rPr>
              <w:t>***</w:t>
            </w:r>
            <w:r>
              <w:rPr>
                <w:rFonts w:ascii="Times" w:eastAsia="Times" w:hAnsi="Times" w:cs="Times"/>
              </w:rPr>
              <w:t>p &lt; .001</w:t>
            </w:r>
          </w:p>
        </w:tc>
      </w:tr>
      <w:tr w:rsidR="00DC0CAE" w14:paraId="42804E50" w14:textId="77777777">
        <w:tc>
          <w:tcPr>
            <w:tcW w:w="9360" w:type="dxa"/>
            <w:gridSpan w:val="5"/>
            <w:vAlign w:val="center"/>
          </w:tcPr>
          <w:p w14:paraId="1E51C011" w14:textId="77777777" w:rsidR="00DC0CAE" w:rsidRDefault="00FF40F3">
            <w:pPr>
              <w:spacing w:after="0" w:line="240" w:lineRule="auto"/>
              <w:rPr>
                <w:rFonts w:ascii="Times" w:eastAsia="Times" w:hAnsi="Times" w:cs="Times"/>
              </w:rPr>
            </w:pPr>
            <w:r>
              <w:rPr>
                <w:rFonts w:ascii="Times" w:eastAsia="Times" w:hAnsi="Times" w:cs="Times"/>
              </w:rPr>
              <w:t>Data: Ioannidis et al. (2019)</w:t>
            </w:r>
          </w:p>
          <w:p w14:paraId="41420A5E" w14:textId="77777777" w:rsidR="00DC0CAE" w:rsidRDefault="00DC0CAE">
            <w:pPr>
              <w:spacing w:after="0" w:line="240" w:lineRule="auto"/>
              <w:rPr>
                <w:rFonts w:ascii="Times" w:eastAsia="Times" w:hAnsi="Times" w:cs="Times"/>
              </w:rPr>
            </w:pPr>
          </w:p>
          <w:p w14:paraId="1D9488D9" w14:textId="77777777" w:rsidR="00DC0CAE" w:rsidRDefault="00DC0CAE">
            <w:pPr>
              <w:spacing w:after="0" w:line="240" w:lineRule="auto"/>
              <w:rPr>
                <w:rFonts w:ascii="Times" w:eastAsia="Times" w:hAnsi="Times" w:cs="Times"/>
              </w:rPr>
            </w:pPr>
          </w:p>
          <w:p w14:paraId="6652B85C" w14:textId="77777777" w:rsidR="00DC0CAE" w:rsidRDefault="00DC0CAE">
            <w:pPr>
              <w:spacing w:after="0" w:line="240" w:lineRule="auto"/>
              <w:rPr>
                <w:rFonts w:ascii="Times" w:eastAsia="Times" w:hAnsi="Times" w:cs="Times"/>
              </w:rPr>
            </w:pPr>
          </w:p>
          <w:p w14:paraId="0E777EDC" w14:textId="77777777" w:rsidR="00DC0CAE" w:rsidRDefault="00DC0CAE">
            <w:pPr>
              <w:spacing w:after="0" w:line="240" w:lineRule="auto"/>
              <w:rPr>
                <w:rFonts w:ascii="Times" w:eastAsia="Times" w:hAnsi="Times" w:cs="Times"/>
              </w:rPr>
            </w:pPr>
          </w:p>
          <w:p w14:paraId="194A84CF" w14:textId="77777777" w:rsidR="00DC0CAE" w:rsidRDefault="00DC0CAE">
            <w:pPr>
              <w:spacing w:after="0" w:line="240" w:lineRule="auto"/>
              <w:rPr>
                <w:rFonts w:ascii="Times" w:eastAsia="Times" w:hAnsi="Times" w:cs="Times"/>
              </w:rPr>
            </w:pPr>
          </w:p>
          <w:p w14:paraId="5AD5A63B" w14:textId="77777777" w:rsidR="00DC0CAE" w:rsidRDefault="00DC0CAE">
            <w:pPr>
              <w:spacing w:after="0" w:line="240" w:lineRule="auto"/>
              <w:rPr>
                <w:rFonts w:ascii="Times" w:eastAsia="Times" w:hAnsi="Times" w:cs="Times"/>
              </w:rPr>
            </w:pPr>
          </w:p>
          <w:p w14:paraId="515705A4" w14:textId="77777777" w:rsidR="00DC0CAE" w:rsidRDefault="00DC0CAE">
            <w:pPr>
              <w:spacing w:after="0" w:line="240" w:lineRule="auto"/>
              <w:rPr>
                <w:rFonts w:ascii="Times" w:eastAsia="Times" w:hAnsi="Times" w:cs="Times"/>
              </w:rPr>
            </w:pPr>
          </w:p>
          <w:p w14:paraId="1280471D" w14:textId="77777777" w:rsidR="00DC0CAE" w:rsidRDefault="00DC0CAE">
            <w:pPr>
              <w:spacing w:after="0" w:line="240" w:lineRule="auto"/>
              <w:rPr>
                <w:rFonts w:ascii="Times" w:eastAsia="Times" w:hAnsi="Times" w:cs="Times"/>
              </w:rPr>
            </w:pPr>
          </w:p>
          <w:p w14:paraId="5E34D18A" w14:textId="77777777" w:rsidR="00DC0CAE" w:rsidRDefault="00DC0CAE">
            <w:pPr>
              <w:spacing w:after="0" w:line="240" w:lineRule="auto"/>
              <w:rPr>
                <w:rFonts w:ascii="Times" w:eastAsia="Times" w:hAnsi="Times" w:cs="Times"/>
              </w:rPr>
            </w:pPr>
          </w:p>
          <w:p w14:paraId="2B578934" w14:textId="77777777" w:rsidR="00DC0CAE" w:rsidRDefault="00DC0CAE">
            <w:pPr>
              <w:spacing w:after="0" w:line="240" w:lineRule="auto"/>
              <w:rPr>
                <w:rFonts w:ascii="Times" w:eastAsia="Times" w:hAnsi="Times" w:cs="Times"/>
              </w:rPr>
            </w:pPr>
          </w:p>
          <w:p w14:paraId="58376336" w14:textId="77777777" w:rsidR="00DC0CAE" w:rsidRDefault="00DC0CAE">
            <w:pPr>
              <w:spacing w:after="0" w:line="240" w:lineRule="auto"/>
              <w:rPr>
                <w:rFonts w:ascii="Times" w:eastAsia="Times" w:hAnsi="Times" w:cs="Times"/>
              </w:rPr>
            </w:pPr>
          </w:p>
          <w:p w14:paraId="5FE5E7DB" w14:textId="77777777" w:rsidR="00DC0CAE" w:rsidRDefault="00DC0CAE">
            <w:pPr>
              <w:spacing w:after="0" w:line="240" w:lineRule="auto"/>
              <w:rPr>
                <w:rFonts w:ascii="Times" w:eastAsia="Times" w:hAnsi="Times" w:cs="Times"/>
              </w:rPr>
            </w:pPr>
          </w:p>
          <w:p w14:paraId="11FCA337" w14:textId="77777777" w:rsidR="00DC0CAE" w:rsidRDefault="00DC0CAE">
            <w:pPr>
              <w:spacing w:after="0" w:line="240" w:lineRule="auto"/>
              <w:rPr>
                <w:rFonts w:ascii="Times" w:eastAsia="Times" w:hAnsi="Times" w:cs="Times"/>
                <w:b/>
              </w:rPr>
            </w:pPr>
          </w:p>
          <w:p w14:paraId="240E229D" w14:textId="77777777" w:rsidR="00DC0CAE" w:rsidRDefault="00DC0CAE">
            <w:pPr>
              <w:spacing w:after="0" w:line="240" w:lineRule="auto"/>
              <w:rPr>
                <w:rFonts w:ascii="Times" w:eastAsia="Times" w:hAnsi="Times" w:cs="Times"/>
                <w:b/>
              </w:rPr>
            </w:pPr>
          </w:p>
          <w:p w14:paraId="4D52AC43" w14:textId="77777777" w:rsidR="00DC0CAE" w:rsidRDefault="00DC0CAE">
            <w:pPr>
              <w:spacing w:after="0" w:line="240" w:lineRule="auto"/>
              <w:rPr>
                <w:rFonts w:ascii="Times" w:eastAsia="Times" w:hAnsi="Times" w:cs="Times"/>
                <w:b/>
              </w:rPr>
            </w:pPr>
          </w:p>
          <w:p w14:paraId="77A76E43" w14:textId="77777777" w:rsidR="00DC0CAE" w:rsidRDefault="00DC0CAE">
            <w:pPr>
              <w:spacing w:after="0" w:line="240" w:lineRule="auto"/>
              <w:rPr>
                <w:rFonts w:ascii="Times" w:eastAsia="Times" w:hAnsi="Times" w:cs="Times"/>
                <w:b/>
              </w:rPr>
            </w:pPr>
          </w:p>
          <w:p w14:paraId="6D3DFE11" w14:textId="77777777" w:rsidR="00DC0CAE" w:rsidRDefault="00DC0CAE">
            <w:pPr>
              <w:spacing w:after="0" w:line="240" w:lineRule="auto"/>
              <w:rPr>
                <w:rFonts w:ascii="Times" w:eastAsia="Times" w:hAnsi="Times" w:cs="Times"/>
                <w:b/>
              </w:rPr>
            </w:pPr>
          </w:p>
          <w:p w14:paraId="7E48CA95" w14:textId="77777777" w:rsidR="00DC0CAE" w:rsidRDefault="00DC0CAE">
            <w:pPr>
              <w:spacing w:after="0" w:line="240" w:lineRule="auto"/>
              <w:rPr>
                <w:rFonts w:ascii="Times" w:eastAsia="Times" w:hAnsi="Times" w:cs="Times"/>
                <w:b/>
              </w:rPr>
            </w:pPr>
          </w:p>
          <w:p w14:paraId="4990B26F" w14:textId="77777777" w:rsidR="00DC0CAE" w:rsidRDefault="00DC0CAE">
            <w:pPr>
              <w:spacing w:after="0" w:line="240" w:lineRule="auto"/>
              <w:rPr>
                <w:rFonts w:ascii="Times" w:eastAsia="Times" w:hAnsi="Times" w:cs="Times"/>
                <w:b/>
              </w:rPr>
            </w:pPr>
          </w:p>
          <w:p w14:paraId="4F1A335A" w14:textId="77777777" w:rsidR="00DC0CAE" w:rsidRDefault="00DC0CAE">
            <w:pPr>
              <w:spacing w:after="0" w:line="240" w:lineRule="auto"/>
              <w:rPr>
                <w:rFonts w:ascii="Times" w:eastAsia="Times" w:hAnsi="Times" w:cs="Times"/>
                <w:b/>
              </w:rPr>
            </w:pPr>
          </w:p>
          <w:p w14:paraId="3B30D42B" w14:textId="77777777" w:rsidR="00DC0CAE" w:rsidRDefault="00DC0CAE">
            <w:pPr>
              <w:spacing w:after="0" w:line="240" w:lineRule="auto"/>
              <w:rPr>
                <w:rFonts w:ascii="Times" w:eastAsia="Times" w:hAnsi="Times" w:cs="Times"/>
                <w:b/>
              </w:rPr>
            </w:pPr>
          </w:p>
          <w:p w14:paraId="5B48529B" w14:textId="77777777" w:rsidR="00DC0CAE" w:rsidRDefault="00DC0CAE">
            <w:pPr>
              <w:spacing w:after="0" w:line="240" w:lineRule="auto"/>
              <w:rPr>
                <w:rFonts w:ascii="Times" w:eastAsia="Times" w:hAnsi="Times" w:cs="Times"/>
                <w:b/>
              </w:rPr>
            </w:pPr>
          </w:p>
          <w:p w14:paraId="0095EE1D" w14:textId="77777777" w:rsidR="00DC0CAE" w:rsidRDefault="00DC0CAE">
            <w:pPr>
              <w:spacing w:after="0" w:line="240" w:lineRule="auto"/>
              <w:rPr>
                <w:rFonts w:ascii="Times" w:eastAsia="Times" w:hAnsi="Times" w:cs="Times"/>
                <w:b/>
              </w:rPr>
            </w:pPr>
          </w:p>
          <w:p w14:paraId="12DC6DEF" w14:textId="239F0AE9" w:rsidR="00DC0CAE" w:rsidRPr="00F01999" w:rsidRDefault="00FF40F3">
            <w:pPr>
              <w:spacing w:after="0" w:line="240" w:lineRule="auto"/>
              <w:rPr>
                <w:rFonts w:eastAsia="Times"/>
                <w:b/>
              </w:rPr>
            </w:pPr>
            <w:r w:rsidRPr="00F01999">
              <w:rPr>
                <w:rFonts w:eastAsia="Times"/>
                <w:b/>
              </w:rPr>
              <w:t xml:space="preserve">Figure 1: Distribution of Estimated Disciplinary </w:t>
            </w:r>
            <w:r w:rsidRPr="00F01999">
              <w:rPr>
                <w:rFonts w:eastAsia="Times"/>
                <w:b/>
                <w:i/>
              </w:rPr>
              <w:t>h</w:t>
            </w:r>
            <w:r w:rsidRPr="00F01999">
              <w:rPr>
                <w:rFonts w:eastAsia="Times"/>
                <w:b/>
              </w:rPr>
              <w:t>-index Means (All Disciplines)</w:t>
            </w:r>
          </w:p>
          <w:p w14:paraId="2D72216C" w14:textId="5E44DC83" w:rsidR="00DC0CAE" w:rsidRDefault="00DC0CAE">
            <w:pPr>
              <w:spacing w:after="0" w:line="240" w:lineRule="auto"/>
              <w:rPr>
                <w:sz w:val="24"/>
                <w:szCs w:val="24"/>
              </w:rPr>
            </w:pPr>
          </w:p>
          <w:p w14:paraId="12CC67E2" w14:textId="0F2B36FE" w:rsidR="001A194E" w:rsidRDefault="001A194E">
            <w:pPr>
              <w:spacing w:after="0" w:line="240" w:lineRule="auto"/>
              <w:rPr>
                <w:sz w:val="24"/>
                <w:szCs w:val="24"/>
              </w:rPr>
            </w:pPr>
            <w:r w:rsidRPr="001A194E">
              <w:rPr>
                <w:noProof/>
                <w:sz w:val="24"/>
                <w:szCs w:val="24"/>
              </w:rPr>
              <w:drawing>
                <wp:inline distT="0" distB="0" distL="0" distR="0" wp14:anchorId="07E97828" wp14:editId="22B34DC1">
                  <wp:extent cx="5924550" cy="37026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3702685"/>
                          </a:xfrm>
                          <a:prstGeom prst="rect">
                            <a:avLst/>
                          </a:prstGeom>
                        </pic:spPr>
                      </pic:pic>
                    </a:graphicData>
                  </a:graphic>
                </wp:inline>
              </w:drawing>
            </w:r>
          </w:p>
          <w:p w14:paraId="0E790909" w14:textId="17BC2A27" w:rsidR="00DC0CAE" w:rsidRDefault="00DC0CAE">
            <w:pPr>
              <w:spacing w:after="0" w:line="240" w:lineRule="auto"/>
              <w:rPr>
                <w:sz w:val="24"/>
                <w:szCs w:val="24"/>
              </w:rPr>
            </w:pPr>
          </w:p>
          <w:p w14:paraId="545C6377" w14:textId="77777777" w:rsidR="00DC0CAE" w:rsidRDefault="00DC0CAE">
            <w:pPr>
              <w:spacing w:after="0" w:line="240" w:lineRule="auto"/>
              <w:rPr>
                <w:rFonts w:ascii="Times" w:eastAsia="Times" w:hAnsi="Times" w:cs="Times"/>
                <w:b/>
              </w:rPr>
            </w:pPr>
          </w:p>
          <w:p w14:paraId="7760AF78" w14:textId="77777777" w:rsidR="00DC0CAE" w:rsidRDefault="00DC0CAE">
            <w:pPr>
              <w:spacing w:after="0" w:line="240" w:lineRule="auto"/>
              <w:rPr>
                <w:rFonts w:ascii="Times" w:eastAsia="Times" w:hAnsi="Times" w:cs="Times"/>
              </w:rPr>
            </w:pPr>
          </w:p>
          <w:p w14:paraId="53389204" w14:textId="77777777" w:rsidR="00DC0CAE" w:rsidRDefault="00DC0CAE">
            <w:pPr>
              <w:spacing w:after="0" w:line="240" w:lineRule="auto"/>
              <w:rPr>
                <w:rFonts w:ascii="Times" w:eastAsia="Times" w:hAnsi="Times" w:cs="Times"/>
              </w:rPr>
            </w:pPr>
          </w:p>
          <w:p w14:paraId="3C46945F" w14:textId="77777777" w:rsidR="00DC0CAE" w:rsidRDefault="00DC0CAE">
            <w:pPr>
              <w:spacing w:after="0" w:line="240" w:lineRule="auto"/>
              <w:rPr>
                <w:rFonts w:ascii="Times" w:eastAsia="Times" w:hAnsi="Times" w:cs="Times"/>
              </w:rPr>
            </w:pPr>
          </w:p>
          <w:p w14:paraId="7AB6D015" w14:textId="77777777" w:rsidR="00DC0CAE" w:rsidRDefault="00DC0CAE">
            <w:pPr>
              <w:spacing w:after="0" w:line="240" w:lineRule="auto"/>
              <w:rPr>
                <w:rFonts w:ascii="Times" w:eastAsia="Times" w:hAnsi="Times" w:cs="Times"/>
              </w:rPr>
            </w:pPr>
          </w:p>
          <w:p w14:paraId="5259B216" w14:textId="77777777" w:rsidR="00DC0CAE" w:rsidRDefault="00DC0CAE">
            <w:pPr>
              <w:spacing w:after="0" w:line="240" w:lineRule="auto"/>
              <w:rPr>
                <w:rFonts w:ascii="Times" w:eastAsia="Times" w:hAnsi="Times" w:cs="Times"/>
              </w:rPr>
            </w:pPr>
          </w:p>
          <w:p w14:paraId="5611C497" w14:textId="77777777" w:rsidR="00DC0CAE" w:rsidRDefault="00DC0CAE">
            <w:pPr>
              <w:spacing w:after="0" w:line="240" w:lineRule="auto"/>
              <w:rPr>
                <w:rFonts w:ascii="Times" w:eastAsia="Times" w:hAnsi="Times" w:cs="Times"/>
              </w:rPr>
            </w:pPr>
          </w:p>
          <w:p w14:paraId="02AFC374" w14:textId="77777777" w:rsidR="00DC0CAE" w:rsidRDefault="00DC0CAE">
            <w:pPr>
              <w:spacing w:after="0" w:line="240" w:lineRule="auto"/>
              <w:rPr>
                <w:rFonts w:ascii="Times" w:eastAsia="Times" w:hAnsi="Times" w:cs="Times"/>
              </w:rPr>
            </w:pPr>
          </w:p>
          <w:p w14:paraId="2BE9F084" w14:textId="77777777" w:rsidR="00DC0CAE" w:rsidRDefault="00DC0CAE">
            <w:pPr>
              <w:spacing w:after="0" w:line="240" w:lineRule="auto"/>
              <w:rPr>
                <w:rFonts w:ascii="Times" w:eastAsia="Times" w:hAnsi="Times" w:cs="Times"/>
              </w:rPr>
            </w:pPr>
          </w:p>
          <w:p w14:paraId="48BCB459" w14:textId="77777777" w:rsidR="00DC0CAE" w:rsidRDefault="00DC0CAE">
            <w:pPr>
              <w:spacing w:after="0" w:line="240" w:lineRule="auto"/>
              <w:rPr>
                <w:rFonts w:ascii="Times" w:eastAsia="Times" w:hAnsi="Times" w:cs="Times"/>
              </w:rPr>
            </w:pPr>
          </w:p>
          <w:p w14:paraId="0A5F9440" w14:textId="77777777" w:rsidR="00DC0CAE" w:rsidRDefault="00DC0CAE">
            <w:pPr>
              <w:spacing w:after="0" w:line="240" w:lineRule="auto"/>
              <w:rPr>
                <w:rFonts w:ascii="Times" w:eastAsia="Times" w:hAnsi="Times" w:cs="Times"/>
              </w:rPr>
            </w:pPr>
          </w:p>
          <w:p w14:paraId="0FC70D88" w14:textId="77777777" w:rsidR="00DC0CAE" w:rsidRDefault="00DC0CAE">
            <w:pPr>
              <w:spacing w:after="0" w:line="240" w:lineRule="auto"/>
              <w:rPr>
                <w:rFonts w:ascii="Times" w:eastAsia="Times" w:hAnsi="Times" w:cs="Times"/>
              </w:rPr>
            </w:pPr>
          </w:p>
          <w:p w14:paraId="625EC94F" w14:textId="77777777" w:rsidR="00DC0CAE" w:rsidRDefault="00DC0CAE">
            <w:pPr>
              <w:spacing w:after="0" w:line="240" w:lineRule="auto"/>
              <w:rPr>
                <w:rFonts w:ascii="Times" w:eastAsia="Times" w:hAnsi="Times" w:cs="Times"/>
              </w:rPr>
            </w:pPr>
          </w:p>
          <w:p w14:paraId="695DD0A9" w14:textId="77777777" w:rsidR="00DC0CAE" w:rsidRDefault="00DC0CAE">
            <w:pPr>
              <w:spacing w:after="0" w:line="240" w:lineRule="auto"/>
              <w:rPr>
                <w:rFonts w:ascii="Times" w:eastAsia="Times" w:hAnsi="Times" w:cs="Times"/>
              </w:rPr>
            </w:pPr>
          </w:p>
          <w:p w14:paraId="4F1AD1FD" w14:textId="77777777" w:rsidR="00DC0CAE" w:rsidRDefault="00DC0CAE">
            <w:pPr>
              <w:spacing w:after="0" w:line="240" w:lineRule="auto"/>
              <w:rPr>
                <w:rFonts w:ascii="Times" w:eastAsia="Times" w:hAnsi="Times" w:cs="Times"/>
              </w:rPr>
            </w:pPr>
          </w:p>
          <w:p w14:paraId="52F6B4A5" w14:textId="77777777" w:rsidR="00DC0CAE" w:rsidRDefault="00DC0CAE">
            <w:pPr>
              <w:spacing w:after="0" w:line="240" w:lineRule="auto"/>
              <w:rPr>
                <w:rFonts w:ascii="Times" w:eastAsia="Times" w:hAnsi="Times" w:cs="Times"/>
              </w:rPr>
            </w:pPr>
          </w:p>
          <w:p w14:paraId="5D7D00B2" w14:textId="77777777" w:rsidR="00DC0CAE" w:rsidRDefault="00DC0CAE">
            <w:pPr>
              <w:spacing w:after="0" w:line="240" w:lineRule="auto"/>
              <w:rPr>
                <w:rFonts w:ascii="Times" w:eastAsia="Times" w:hAnsi="Times" w:cs="Times"/>
              </w:rPr>
            </w:pPr>
          </w:p>
          <w:p w14:paraId="1F9095F1" w14:textId="77777777" w:rsidR="00DC0CAE" w:rsidRDefault="00DC0CAE">
            <w:pPr>
              <w:spacing w:after="0" w:line="240" w:lineRule="auto"/>
              <w:rPr>
                <w:rFonts w:ascii="Times" w:eastAsia="Times" w:hAnsi="Times" w:cs="Times"/>
              </w:rPr>
            </w:pPr>
          </w:p>
          <w:p w14:paraId="08D4F9E6" w14:textId="77777777" w:rsidR="00DC0CAE" w:rsidRDefault="00DC0CAE">
            <w:pPr>
              <w:spacing w:after="0" w:line="240" w:lineRule="auto"/>
              <w:rPr>
                <w:rFonts w:ascii="Times" w:eastAsia="Times" w:hAnsi="Times" w:cs="Times"/>
              </w:rPr>
            </w:pPr>
          </w:p>
          <w:p w14:paraId="6D839AA2" w14:textId="77777777" w:rsidR="00DC0CAE" w:rsidRDefault="00DC0CAE">
            <w:pPr>
              <w:spacing w:after="0" w:line="240" w:lineRule="auto"/>
              <w:rPr>
                <w:rFonts w:ascii="Times" w:eastAsia="Times" w:hAnsi="Times" w:cs="Times"/>
              </w:rPr>
            </w:pPr>
          </w:p>
          <w:p w14:paraId="6CD02DE3" w14:textId="77777777" w:rsidR="00DC0CAE" w:rsidRDefault="00DC0CAE">
            <w:pPr>
              <w:spacing w:after="0" w:line="240" w:lineRule="auto"/>
              <w:rPr>
                <w:rFonts w:ascii="Times" w:eastAsia="Times" w:hAnsi="Times" w:cs="Times"/>
              </w:rPr>
            </w:pPr>
          </w:p>
          <w:p w14:paraId="097D532E" w14:textId="77777777" w:rsidR="00DC0CAE" w:rsidRDefault="00DC0CAE">
            <w:pPr>
              <w:spacing w:after="0" w:line="240" w:lineRule="auto"/>
              <w:rPr>
                <w:rFonts w:ascii="Times" w:eastAsia="Times" w:hAnsi="Times" w:cs="Times"/>
              </w:rPr>
            </w:pPr>
          </w:p>
          <w:p w14:paraId="27ECCCFA" w14:textId="77777777" w:rsidR="00DC0CAE" w:rsidRDefault="00DC0CAE">
            <w:pPr>
              <w:spacing w:after="0" w:line="240" w:lineRule="auto"/>
              <w:rPr>
                <w:rFonts w:ascii="Times" w:eastAsia="Times" w:hAnsi="Times" w:cs="Times"/>
              </w:rPr>
            </w:pPr>
          </w:p>
        </w:tc>
      </w:tr>
    </w:tbl>
    <w:p w14:paraId="401B82E5" w14:textId="77777777" w:rsidR="00F01999" w:rsidRDefault="00F01999">
      <w:pPr>
        <w:rPr>
          <w:rFonts w:ascii="Times" w:eastAsia="Times" w:hAnsi="Times" w:cs="Times"/>
          <w:b/>
        </w:rPr>
      </w:pPr>
    </w:p>
    <w:p w14:paraId="3B2380C8" w14:textId="20A048F4" w:rsidR="00DC0CAE" w:rsidRPr="00F01999" w:rsidRDefault="00FF40F3">
      <w:pPr>
        <w:rPr>
          <w:rFonts w:eastAsia="Times"/>
          <w:b/>
        </w:rPr>
      </w:pPr>
      <w:r w:rsidRPr="00F01999">
        <w:rPr>
          <w:rFonts w:eastAsia="Times"/>
          <w:b/>
        </w:rPr>
        <w:t xml:space="preserve">Figure 2: Distribution of Estimated Disciplinary </w:t>
      </w:r>
      <w:r w:rsidRPr="00F01999">
        <w:rPr>
          <w:rFonts w:eastAsia="Times"/>
          <w:b/>
          <w:i/>
        </w:rPr>
        <w:t>h</w:t>
      </w:r>
      <w:r w:rsidRPr="00F01999">
        <w:rPr>
          <w:rFonts w:eastAsia="Times"/>
          <w:b/>
        </w:rPr>
        <w:t>-index Means (Clinical Medicine Subset)</w:t>
      </w:r>
    </w:p>
    <w:p w14:paraId="5C104B3A" w14:textId="77777777" w:rsidR="00DC0CAE" w:rsidRPr="00F01999" w:rsidRDefault="00DC0CAE">
      <w:pPr>
        <w:spacing w:after="0" w:line="240" w:lineRule="auto"/>
        <w:rPr>
          <w:sz w:val="24"/>
          <w:szCs w:val="24"/>
        </w:rPr>
      </w:pPr>
    </w:p>
    <w:p w14:paraId="7822D05A" w14:textId="4EA404F7" w:rsidR="00DC0CAE" w:rsidRDefault="001A194E">
      <w:pPr>
        <w:rPr>
          <w:sz w:val="24"/>
          <w:szCs w:val="24"/>
        </w:rPr>
      </w:pPr>
      <w:r w:rsidRPr="001A194E">
        <w:rPr>
          <w:noProof/>
          <w:sz w:val="24"/>
          <w:szCs w:val="24"/>
        </w:rPr>
        <w:drawing>
          <wp:inline distT="0" distB="0" distL="0" distR="0" wp14:anchorId="055F65CE" wp14:editId="05DACAAD">
            <wp:extent cx="5943600" cy="371475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714750"/>
                    </a:xfrm>
                    <a:prstGeom prst="rect">
                      <a:avLst/>
                    </a:prstGeom>
                  </pic:spPr>
                </pic:pic>
              </a:graphicData>
            </a:graphic>
          </wp:inline>
        </w:drawing>
      </w:r>
    </w:p>
    <w:p w14:paraId="6A9FF631" w14:textId="77777777" w:rsidR="00DC0CAE" w:rsidRDefault="00DC0CAE">
      <w:pPr>
        <w:spacing w:after="0" w:line="240" w:lineRule="auto"/>
        <w:rPr>
          <w:sz w:val="24"/>
          <w:szCs w:val="24"/>
        </w:rPr>
      </w:pPr>
    </w:p>
    <w:p w14:paraId="15B4AC6A" w14:textId="77777777" w:rsidR="00DC0CAE" w:rsidRDefault="00DC0CAE">
      <w:pPr>
        <w:spacing w:after="0" w:line="240" w:lineRule="auto"/>
        <w:rPr>
          <w:sz w:val="24"/>
          <w:szCs w:val="24"/>
        </w:rPr>
      </w:pPr>
    </w:p>
    <w:p w14:paraId="4F472697" w14:textId="77777777" w:rsidR="00DC0CAE" w:rsidRDefault="00DC0CAE">
      <w:pPr>
        <w:spacing w:after="0" w:line="240" w:lineRule="auto"/>
        <w:rPr>
          <w:sz w:val="24"/>
          <w:szCs w:val="24"/>
        </w:rPr>
      </w:pPr>
    </w:p>
    <w:p w14:paraId="77A03EA7" w14:textId="77777777" w:rsidR="00DC0CAE" w:rsidRDefault="00DC0CAE"/>
    <w:sectPr w:rsidR="00DC0CAE">
      <w:headerReference w:type="defaul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DE8C9" w14:textId="77777777" w:rsidR="00A27F96" w:rsidRDefault="00A27F96">
      <w:pPr>
        <w:spacing w:after="0" w:line="240" w:lineRule="auto"/>
      </w:pPr>
      <w:r>
        <w:separator/>
      </w:r>
    </w:p>
  </w:endnote>
  <w:endnote w:type="continuationSeparator" w:id="0">
    <w:p w14:paraId="3F152086" w14:textId="77777777" w:rsidR="00A27F96" w:rsidRDefault="00A2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5F35" w14:textId="77777777" w:rsidR="00A27F96" w:rsidRDefault="00A27F96">
      <w:pPr>
        <w:spacing w:after="0" w:line="240" w:lineRule="auto"/>
      </w:pPr>
      <w:r>
        <w:separator/>
      </w:r>
    </w:p>
  </w:footnote>
  <w:footnote w:type="continuationSeparator" w:id="0">
    <w:p w14:paraId="166F19AC" w14:textId="77777777" w:rsidR="00A27F96" w:rsidRDefault="00A27F96">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 w:id="3">
    <w:p w14:paraId="1286F3D1" w14:textId="77777777" w:rsidR="00DC0CAE" w:rsidRDefault="00FF40F3">
      <w:pPr>
        <w:spacing w:after="0" w:line="240" w:lineRule="auto"/>
        <w:rPr>
          <w:sz w:val="20"/>
          <w:szCs w:val="20"/>
        </w:rPr>
      </w:pPr>
      <w:r>
        <w:rPr>
          <w:vertAlign w:val="superscript"/>
        </w:rPr>
        <w:footnoteRef/>
      </w:r>
      <w:r>
        <w:rPr>
          <w:sz w:val="20"/>
          <w:szCs w:val="20"/>
        </w:rPr>
        <w:t xml:space="preserve"> Epidemiology is classified across multiple fields, including the social sciences and clinical medicine.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26095"/>
    <w:rsid w:val="00063999"/>
    <w:rsid w:val="001A194E"/>
    <w:rsid w:val="00272AF8"/>
    <w:rsid w:val="00381FE0"/>
    <w:rsid w:val="00460BBF"/>
    <w:rsid w:val="004B39E5"/>
    <w:rsid w:val="00501D6D"/>
    <w:rsid w:val="006222B1"/>
    <w:rsid w:val="006D7E74"/>
    <w:rsid w:val="0070044D"/>
    <w:rsid w:val="007B2433"/>
    <w:rsid w:val="00A27F96"/>
    <w:rsid w:val="00B963FC"/>
    <w:rsid w:val="00C64BC7"/>
    <w:rsid w:val="00C70585"/>
    <w:rsid w:val="00DC0CAE"/>
    <w:rsid w:val="00E820CB"/>
    <w:rsid w:val="00F01999"/>
    <w:rsid w:val="00F65FF2"/>
    <w:rsid w:val="00FE6714"/>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6455</Words>
  <Characters>36796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2</cp:revision>
  <cp:lastPrinted>2022-08-10T21:40:00Z</cp:lastPrinted>
  <dcterms:created xsi:type="dcterms:W3CDTF">2022-11-29T00:28:00Z</dcterms:created>
  <dcterms:modified xsi:type="dcterms:W3CDTF">2022-11-29T00:28:00Z</dcterms:modified>
</cp:coreProperties>
</file>