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Supermarket Shopping Behaviors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Douglas Frankish, Aranza Orozco, Ligia Fascilla, Ivan Anguiano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Description: Analyze what relationships we can find between different variables and behaviors in supermarket shoppers.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 questions to answer: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1. What is the difference in spending patterns between male and female customers? Do they tend to buy different types of products? What is the relationship between gender and payment type?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What is the average unit price and quantity of products purchased? Is there a relationship between the unit price and the quantity purchased?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3. What is the percentage of sales from members compared to non-members? Is there a difference in spending patterns between members and non-members?  What is the relationship between customer type and payment type?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4. Which branch has the highest sales volume and revenue?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5. What is the correlation between customer rating and total purchase amount? Is there a relationship between purchase time of day and customer rating?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6. Which payment method is the most popular among customers? Is there a difference in spending patterns based on the payment method used?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Dataset: Supermarket Sales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https://www.kaggle.com/aungpyaeap/supermarket-sales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Breakdown of tasks: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1. Clean up the data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2. Get statistical analysis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3. Create data frames and charts that display the data to answer our questions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4. Draw conclusions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ungpyaeap/supermarket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