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line="276" w:lineRule="auto"/>
        <w:jc w:val="center"/>
      </w:pPr>
      <w:r>
        <w:rPr>
          <w:rFonts w:ascii="Arial" w:cs="Arial" w:eastAsia="Arial" w:hAnsi="Arial"/>
          <w:b/>
          <w:bCs/>
          <w:sz w:val="28"/>
          <w:szCs w:val="28"/>
        </w:rPr>
        <w:t xml:space="preserve">IES CIBERTEC</w:t>
      </w:r>
    </w:p>
    <w:p>
      <w:pPr>
        <w:spacing w:after="1500" w:before="0" w:line="276" w:lineRule="auto"/>
        <w:jc w:val="center"/>
      </w:pPr>
      <w:r>
        <w:rPr>
          <w:rFonts w:ascii="Arial" w:cs="Arial" w:eastAsia="Arial" w:hAnsi="Arial"/>
          <w:sz w:val="22"/>
          <w:szCs w:val="22"/>
        </w:rPr>
        <w:t xml:space="preserve">Escuela de Tecnología · Computación e Informática</w:t>
      </w:r>
    </w:p>
    <w:p>
      <w:pPr>
        <w:spacing w:after="400" w:before="0" w:line="276" w:lineRule="auto"/>
        <w:jc w:val="center"/>
      </w:pPr>
      <w:r>
        <w:rPr>
          <w:rFonts w:ascii="Arial" w:cs="Arial" w:eastAsia="Arial" w:hAnsi="Arial"/>
          <w:b/>
          <w:bCs/>
          <w:sz w:val="32"/>
          <w:szCs w:val="32"/>
        </w:rPr>
        <w:t xml:space="preserve">TecniYa: plataforma web de contratación y trazabilidad de servicios técnicos de equipos</w:t>
      </w:r>
    </w:p>
    <w:p>
      <w:pPr>
        <w:spacing w:after="1200" w:before="0" w:line="276" w:lineRule="auto"/>
        <w:jc w:val="center"/>
      </w:pPr>
      <w:r>
        <w:rPr>
          <w:rFonts w:ascii="Arial" w:cs="Arial" w:eastAsia="Arial" w:hAnsi="Arial"/>
          <w:sz w:val="22"/>
          <w:szCs w:val="22"/>
        </w:rPr>
        <w:t xml:space="preserve">Plan de Proyecto de Investigación Aplicada</w:t>
      </w:r>
    </w:p>
    <w:p>
      <w:pPr>
        <w:spacing w:after="120" w:before="0" w:line="276" w:lineRule="auto"/>
        <w:jc w:val="center"/>
      </w:pPr>
      <w:r>
        <w:rPr>
          <w:rFonts w:ascii="Arial" w:cs="Arial" w:eastAsia="Arial" w:hAnsi="Arial"/>
          <w:sz w:val="22"/>
          <w:szCs w:val="22"/>
        </w:rPr>
        <w:t xml:space="preserve">Curso: Desarrollo de Aplicaciones Web II (4697)</w:t>
      </w:r>
    </w:p>
    <w:p>
      <w:pPr>
        <w:spacing w:after="120" w:before="0" w:line="276" w:lineRule="auto"/>
        <w:jc w:val="center"/>
      </w:pPr>
      <w:r>
        <w:rPr>
          <w:rFonts w:ascii="Arial" w:cs="Arial" w:eastAsia="Arial" w:hAnsi="Arial"/>
          <w:sz w:val="22"/>
          <w:szCs w:val="22"/>
        </w:rPr>
        <w:t xml:space="preserve">Profesor: [Nombre del profesor]</w:t>
      </w:r>
    </w:p>
    <w:p>
      <w:pPr>
        <w:spacing w:after="1600" w:before="0" w:line="276" w:lineRule="auto"/>
        <w:jc w:val="center"/>
      </w:pPr>
      <w:r>
        <w:rPr>
          <w:rFonts w:ascii="Arial" w:cs="Arial" w:eastAsia="Arial" w:hAnsi="Arial"/>
          <w:sz w:val="22"/>
          <w:szCs w:val="22"/>
        </w:rPr>
        <w:t xml:space="preserve">Ciclo: Sexto  ·  Aula: [Aula]  ·  Semestre: [Semestre]</w:t>
      </w:r>
    </w:p>
    <w:p>
      <w:pPr>
        <w:spacing w:after="200" w:line="240" w:lineRule="auto"/>
        <w:jc w:val="left"/>
      </w:pPr>
      <w:r>
        <w:rPr>
          <w:rFonts w:ascii="Arial" w:cs="Arial" w:eastAsia="Arial" w:hAnsi="Arial"/>
          <w:b/>
          <w:bCs/>
          <w:sz w:val="22"/>
          <w:szCs w:val="22"/>
        </w:rPr>
        <w:t xml:space="preserve">Coordinador del grupo: </w:t>
      </w:r>
      <w:r>
        <w:rPr>
          <w:rFonts w:ascii="Arial" w:cs="Arial" w:eastAsia="Arial" w:hAnsi="Arial"/>
          <w:sz w:val="22"/>
          <w:szCs w:val="22"/>
        </w:rPr>
        <w:t xml:space="preserve">[Nombre del coordinador]</w:t>
      </w:r>
    </w:p>
    <w:p>
      <w:pPr>
        <w:spacing w:after="80" w:line="240" w:lineRule="auto"/>
        <w:jc w:val="left"/>
      </w:pPr>
      <w:r>
        <w:rPr>
          <w:rFonts w:ascii="Arial" w:cs="Arial" w:eastAsia="Arial" w:hAnsi="Arial"/>
          <w:b/>
          <w:bCs/>
          <w:sz w:val="22"/>
          <w:szCs w:val="22"/>
        </w:rPr>
        <w:t xml:space="preserve">Integrantes del grupo:</w:t>
      </w:r>
    </w:p>
    <w:p>
      <w:pPr>
        <w:spacing w:after="80" w:line="240" w:lineRule="auto"/>
        <w:jc w:val="left"/>
      </w:pPr>
      <w:r>
        <w:rPr>
          <w:rFonts w:ascii="Arial" w:cs="Arial" w:eastAsia="Arial" w:hAnsi="Arial"/>
          <w:sz w:val="22"/>
          <w:szCs w:val="22"/>
        </w:rPr>
        <w:t xml:space="preserve">[Integrante 1]</w:t>
      </w:r>
    </w:p>
    <w:p>
      <w:pPr>
        <w:spacing w:after="80" w:line="240" w:lineRule="auto"/>
        <w:jc w:val="left"/>
      </w:pPr>
      <w:r>
        <w:rPr>
          <w:rFonts w:ascii="Arial" w:cs="Arial" w:eastAsia="Arial" w:hAnsi="Arial"/>
          <w:sz w:val="22"/>
          <w:szCs w:val="22"/>
        </w:rPr>
        <w:t xml:space="preserve">[Integrante 2]</w:t>
      </w:r>
    </w:p>
    <w:p>
      <w:pPr>
        <w:spacing w:after="80" w:line="240" w:lineRule="auto"/>
        <w:jc w:val="left"/>
      </w:pPr>
      <w:r>
        <w:rPr>
          <w:rFonts w:ascii="Arial" w:cs="Arial" w:eastAsia="Arial" w:hAnsi="Arial"/>
          <w:sz w:val="22"/>
          <w:szCs w:val="22"/>
        </w:rPr>
        <w:t xml:space="preserve">[Integrante 3]</w:t>
      </w:r>
    </w:p>
    <w:p>
      <w:pPr>
        <w:spacing w:after="80" w:line="240" w:lineRule="auto"/>
        <w:jc w:val="left"/>
      </w:pPr>
      <w:r>
        <w:rPr>
          <w:rFonts w:ascii="Arial" w:cs="Arial" w:eastAsia="Arial" w:hAnsi="Arial"/>
          <w:sz w:val="22"/>
          <w:szCs w:val="22"/>
        </w:rPr>
        <w:t xml:space="preserve">[Integrante 4]</w:t>
      </w:r>
    </w:p>
    <w:p>
      <w:pPr>
        <w:spacing w:after="80" w:line="240" w:lineRule="auto"/>
        <w:jc w:val="left"/>
      </w:pPr>
      <w:r>
        <w:rPr>
          <w:rFonts w:ascii="Arial" w:cs="Arial" w:eastAsia="Arial" w:hAnsi="Arial"/>
          <w:sz w:val="22"/>
          <w:szCs w:val="22"/>
        </w:rPr>
        <w:t xml:space="preserve">[Integrante 5]</w:t>
      </w:r>
    </w:p>
    <w:p>
      <w:pPr>
        <w:sectPr>
          <w:pgSz w:w="11906" w:h="16838" w:orient="portrait"/>
          <w:pgMar w:top="1701" w:right="1417" w:bottom="1701" w:left="1417" w:header="708" w:footer="708" w:gutter="0"/>
          <w:pgNumType/>
          <w:docGrid w:linePitch="360"/>
        </w:sectPr>
      </w:pPr>
    </w:p>
    <w:p>
      <w:pPr>
        <w:pStyle w:val="Heading1"/>
      </w:pPr>
      <w:r>
        <w:t xml:space="preserve">5.1. Resumen</w:t>
      </w:r>
    </w:p>
    <w:p>
      <w:pPr>
        <w:spacing w:after="120" w:before="0" w:line="240" w:lineRule="auto"/>
        <w:jc w:val="both"/>
      </w:pPr>
      <w:r>
        <w:rPr>
          <w:rFonts w:ascii="Arial" w:cs="Arial" w:eastAsia="Arial" w:hAnsi="Arial"/>
          <w:sz w:val="22"/>
          <w:szCs w:val="22"/>
        </w:rPr>
        <w:t xml:space="preserve">TecniYa es una plataforma web que conecta a clientes con técnicos independientes de reparación de equipos (computadoras, celulares, televisores y otros). Cualquier visitante puede explorar el catálogo de técnicos; el cliente registrado publica una solicitud con el presupuesto que está dispuesto a pagar, recibe ofertas de precio y tiempo (al estilo inDrive) o contrata directamente desde el perfil de un técnico.</w:t>
      </w:r>
    </w:p>
    <w:p>
      <w:pPr>
        <w:spacing w:after="120" w:before="0" w:line="240" w:lineRule="auto"/>
        <w:jc w:val="both"/>
      </w:pPr>
      <w:r>
        <w:rPr>
          <w:rFonts w:ascii="Arial" w:cs="Arial" w:eastAsia="Arial" w:hAnsi="Arial"/>
          <w:sz w:val="22"/>
          <w:szCs w:val="22"/>
        </w:rPr>
        <w:t xml:space="preserve">Cada servicio contratado genera una orden con trazabilidad: el técnico sube fotos del equipo en cada etapa (recibido, en diagnóstico, en reparación y listo) y el cliente sigue el avance desde la web. La solución se compone de una aplicación Angular y de microservicios Spring (login con Spring MVC, Spring Data JPA y Spring Security; resto de servicios con WebFlux y R2DBC), integrados mediante Spring Cloud Gateway, Eureka y RabbitMQ.</w:t>
      </w:r>
    </w:p>
    <w:p>
      <w:pPr>
        <w:pStyle w:val="Heading1"/>
      </w:pPr>
      <w:r>
        <w:t xml:space="preserve">5.2. Introducción</w:t>
      </w:r>
    </w:p>
    <w:p>
      <w:pPr>
        <w:spacing w:after="120" w:before="0" w:line="240" w:lineRule="auto"/>
        <w:jc w:val="both"/>
      </w:pPr>
      <w:r>
        <w:rPr>
          <w:rFonts w:ascii="Arial" w:cs="Arial" w:eastAsia="Arial" w:hAnsi="Arial"/>
          <w:sz w:val="22"/>
          <w:szCs w:val="22"/>
        </w:rPr>
        <w:t xml:space="preserve">El presente documento recoge el diagnóstico del contexto, los objetivos y el diseño del proyecto TecniYa. La oportunidad de mejora identificada es la falta de confianza y de visibilidad en la contratación de servicios técnicos de equipos: el cliente rara vez puede comparar técnicos ni comprobar en qué estado se encuentra su equipo, y el técnico independiente tiene pocas herramientas para demostrar su trabajo.</w:t>
      </w:r>
    </w:p>
    <w:p>
      <w:pPr>
        <w:spacing w:after="120" w:before="0" w:line="240" w:lineRule="auto"/>
        <w:jc w:val="both"/>
      </w:pPr>
      <w:r>
        <w:rPr>
          <w:rFonts w:ascii="Arial" w:cs="Arial" w:eastAsia="Arial" w:hAnsi="Arial"/>
          <w:sz w:val="22"/>
          <w:szCs w:val="22"/>
        </w:rPr>
        <w:t xml:space="preserve">Se plantean objetivos específicos y medibles para la implementación de la plataforma y de su trazabilidad. Con ello se espera ofrecer a clientes y técnicos un canal transparente, con evidencia fotográfica y registro de cada cambio de estado.</w:t>
      </w:r>
    </w:p>
    <w:p>
      <w:pPr>
        <w:pStyle w:val="Heading1"/>
      </w:pPr>
      <w:r>
        <w:t xml:space="preserve">5.3. Diagnóstico</w:t>
      </w:r>
    </w:p>
    <w:p>
      <w:pPr>
        <w:spacing w:after="120" w:before="0" w:line="240" w:lineRule="auto"/>
        <w:jc w:val="both"/>
      </w:pPr>
      <w:r>
        <w:rPr>
          <w:rFonts w:ascii="Arial" w:cs="Arial" w:eastAsia="Arial" w:hAnsi="Arial"/>
          <w:sz w:val="22"/>
          <w:szCs w:val="22"/>
        </w:rPr>
        <w:t xml:space="preserve">Se realizó el análisis SEPTE con las cinco variables (Social, Económica, Política, Tecnológica y Ecológica). Las fuentes se citan en notas al pie y se listan en la bibliografía. Parte de los datos corresponde a medios de prensa que reproducen cifras de entidades oficiales; cuando existe, se indica la entidad de origen.</w:t>
      </w:r>
    </w:p>
    <w:p>
      <w:pPr>
        <w:pStyle w:val="Heading2"/>
      </w:pPr>
      <w:r>
        <w:t xml:space="preserve">5.3.1. Variable social</w:t>
      </w:r>
    </w:p>
    <w:p>
      <w:pPr>
        <w:spacing w:after="120" w:before="0" w:line="240" w:lineRule="auto"/>
        <w:jc w:val="both"/>
      </w:pPr>
      <w:r>
        <w:rPr>
          <w:rFonts w:ascii="Arial" w:cs="Arial" w:eastAsia="Arial" w:hAnsi="Arial"/>
          <w:sz w:val="22"/>
          <w:szCs w:val="22"/>
        </w:rPr>
        <w:t xml:space="preserve">El mercado laboral peruano es mayoritariamente informal: el 69,8 % de la población ocupada tuvo empleo informal entre abril de 2025 y marzo de 2026, y en negocios de 1 a 10 trabajadores la cifra subió a 88,3 %.</w:t>
      </w:r>
      <w:r>
        <w:rPr>
          <w:rStyle w:val="FootnoteReference"/>
        </w:rPr>
        <w:footnoteReference w:id="1"/>
      </w:r>
      <w:r>
        <w:rPr>
          <w:rFonts w:ascii="Arial" w:cs="Arial" w:eastAsia="Arial" w:hAnsi="Arial"/>
          <w:sz w:val="22"/>
          <w:szCs w:val="22"/>
        </w:rPr>
        <w:t xml:space="preserve"> Un técnico independiente o un pequeño taller encaja en ese perfil. Las fuentes consultadas miden la informalidad en general y no el sector de reparación técnica en particular, por lo que su relación con el proyecto es una inferencia.</w:t>
      </w:r>
    </w:p>
    <w:p>
      <w:pPr>
        <w:pStyle w:val="ListParagraph"/>
        <w:numPr>
          <w:ilvl w:val="0"/>
          <w:numId w:val="2"/>
        </w:numPr>
        <w:spacing w:after="60" w:line="240" w:lineRule="auto"/>
        <w:jc w:val="both"/>
      </w:pPr>
      <w:r>
        <w:rPr>
          <w:rFonts w:ascii="Arial" w:cs="Arial" w:eastAsia="Arial" w:hAnsi="Arial"/>
          <w:b/>
          <w:bCs/>
          <w:sz w:val="22"/>
          <w:szCs w:val="22"/>
        </w:rPr>
        <w:t xml:space="preserve">Oportunidad: </w:t>
      </w:r>
      <w:r>
        <w:rPr>
          <w:rFonts w:ascii="Arial" w:cs="Arial" w:eastAsia="Arial" w:hAnsi="Arial"/>
          <w:sz w:val="22"/>
          <w:szCs w:val="22"/>
        </w:rPr>
        <w:t xml:space="preserve">ofrecer a técnicos independientes un perfil público, reputación y evidencia de su trabajo, sin necesidad de local ni sitio web propio.</w:t>
      </w:r>
    </w:p>
    <w:p>
      <w:pPr>
        <w:pStyle w:val="ListParagraph"/>
        <w:numPr>
          <w:ilvl w:val="0"/>
          <w:numId w:val="2"/>
        </w:numPr>
        <w:spacing w:after="60" w:line="240" w:lineRule="auto"/>
        <w:jc w:val="both"/>
      </w:pPr>
      <w:r>
        <w:rPr>
          <w:rFonts w:ascii="Arial" w:cs="Arial" w:eastAsia="Arial" w:hAnsi="Arial"/>
          <w:b/>
          <w:bCs/>
          <w:sz w:val="22"/>
          <w:szCs w:val="22"/>
        </w:rPr>
        <w:t xml:space="preserve">Amenaza: </w:t>
      </w:r>
      <w:r>
        <w:rPr>
          <w:rFonts w:ascii="Arial" w:cs="Arial" w:eastAsia="Arial" w:hAnsi="Arial"/>
          <w:sz w:val="22"/>
          <w:szCs w:val="22"/>
        </w:rPr>
        <w:t xml:space="preserve">el cliente no tiene cómo comprobar quién es confiable ni en qué estado está su equipo mientras está en manos del técnico.</w:t>
      </w:r>
    </w:p>
    <w:p>
      <w:pPr>
        <w:pStyle w:val="Heading2"/>
      </w:pPr>
      <w:r>
        <w:t xml:space="preserve">5.3.2. Variable económica</w:t>
      </w:r>
    </w:p>
    <w:p>
      <w:pPr>
        <w:spacing w:after="120" w:before="0" w:line="240" w:lineRule="auto"/>
        <w:jc w:val="both"/>
      </w:pPr>
      <w:r>
        <w:rPr>
          <w:rFonts w:ascii="Arial" w:cs="Arial" w:eastAsia="Arial" w:hAnsi="Arial"/>
          <w:sz w:val="22"/>
          <w:szCs w:val="22"/>
        </w:rPr>
        <w:t xml:space="preserve">El comercio digital crece con fuerza. Según la Cámara Peruana de Comercio Electrónico (Capece), en el primer semestre de 2026 las ventas en línea sumaron 19 300 millones de dólares, un 50,4 % más que en el mismo periodo del año anterior, y el 55 % de los compradores en línea procede de provincias.</w:t>
      </w:r>
      <w:r>
        <w:rPr>
          <w:rStyle w:val="FootnoteReference"/>
        </w:rPr>
        <w:footnoteReference w:id="2"/>
      </w:r>
    </w:p>
    <w:p>
      <w:pPr>
        <w:pStyle w:val="ListParagraph"/>
        <w:numPr>
          <w:ilvl w:val="0"/>
          <w:numId w:val="2"/>
        </w:numPr>
        <w:spacing w:after="60" w:line="240" w:lineRule="auto"/>
        <w:jc w:val="both"/>
      </w:pPr>
      <w:r>
        <w:rPr>
          <w:rFonts w:ascii="Arial" w:cs="Arial" w:eastAsia="Arial" w:hAnsi="Arial"/>
          <w:b/>
          <w:bCs/>
          <w:sz w:val="22"/>
          <w:szCs w:val="22"/>
        </w:rPr>
        <w:t xml:space="preserve">Oportunidad: </w:t>
      </w:r>
      <w:r>
        <w:rPr>
          <w:rFonts w:ascii="Arial" w:cs="Arial" w:eastAsia="Arial" w:hAnsi="Arial"/>
          <w:sz w:val="22"/>
          <w:szCs w:val="22"/>
        </w:rPr>
        <w:t xml:space="preserve">existe hábito de compra y de pago digital, y la demanda no se concentra solo en Lima.</w:t>
      </w:r>
    </w:p>
    <w:p>
      <w:pPr>
        <w:pStyle w:val="ListParagraph"/>
        <w:numPr>
          <w:ilvl w:val="0"/>
          <w:numId w:val="2"/>
        </w:numPr>
        <w:spacing w:after="60" w:line="240" w:lineRule="auto"/>
        <w:jc w:val="both"/>
      </w:pPr>
      <w:r>
        <w:rPr>
          <w:rFonts w:ascii="Arial" w:cs="Arial" w:eastAsia="Arial" w:hAnsi="Arial"/>
          <w:b/>
          <w:bCs/>
          <w:sz w:val="22"/>
          <w:szCs w:val="22"/>
        </w:rPr>
        <w:t xml:space="preserve">Amenaza: </w:t>
      </w:r>
      <w:r>
        <w:rPr>
          <w:rFonts w:ascii="Arial" w:cs="Arial" w:eastAsia="Arial" w:hAnsi="Arial"/>
          <w:sz w:val="22"/>
          <w:szCs w:val="22"/>
        </w:rPr>
        <w:t xml:space="preserve">esas cifras corresponden a la compra de productos; contratar servicios técnicos en línea exige más confianza, que es lo que busca resolver la trazabilidad.</w:t>
      </w:r>
    </w:p>
    <w:p>
      <w:pPr>
        <w:pStyle w:val="Heading2"/>
      </w:pPr>
      <w:r>
        <w:t xml:space="preserve">5.3.3. Variable política y legal</w:t>
      </w:r>
    </w:p>
    <w:p>
      <w:pPr>
        <w:spacing w:after="120" w:before="0" w:line="240" w:lineRule="auto"/>
        <w:jc w:val="both"/>
      </w:pPr>
      <w:r>
        <w:rPr>
          <w:rFonts w:ascii="Arial" w:cs="Arial" w:eastAsia="Arial" w:hAnsi="Arial"/>
          <w:sz w:val="22"/>
          <w:szCs w:val="22"/>
        </w:rPr>
        <w:t xml:space="preserve">Tres marcos normativos alcanzan directamente al proyecto:</w:t>
      </w:r>
    </w:p>
    <w:p>
      <w:pPr>
        <w:pStyle w:val="ListParagraph"/>
        <w:numPr>
          <w:ilvl w:val="0"/>
          <w:numId w:val="2"/>
        </w:numPr>
        <w:spacing w:after="60" w:line="240" w:lineRule="auto"/>
        <w:jc w:val="both"/>
      </w:pPr>
      <w:r>
        <w:rPr>
          <w:rFonts w:ascii="Arial" w:cs="Arial" w:eastAsia="Arial" w:hAnsi="Arial"/>
          <w:b/>
          <w:bCs/>
          <w:sz w:val="22"/>
          <w:szCs w:val="22"/>
        </w:rPr>
        <w:t xml:space="preserve">Protección de datos personales. </w:t>
      </w:r>
      <w:r>
        <w:rPr>
          <w:rFonts w:ascii="Arial" w:cs="Arial" w:eastAsia="Arial" w:hAnsi="Arial"/>
          <w:sz w:val="22"/>
          <w:szCs w:val="22"/>
        </w:rPr>
        <w:t xml:space="preserve">El Decreto Supremo 016-2024-JUS reemplazó el reglamento de 2013 de la Ley 29733 y entró en vigencia en marzo de 2025.</w:t>
      </w:r>
      <w:r>
        <w:rPr>
          <w:rStyle w:val="FootnoteReference"/>
        </w:rPr>
        <w:footnoteReference w:id="3"/>
      </w:r>
      <w:r>
        <w:rPr>
          <w:rFonts w:ascii="Arial" w:cs="Arial" w:eastAsia="Arial" w:hAnsi="Arial"/>
          <w:sz w:val="22"/>
          <w:szCs w:val="22"/>
        </w:rPr>
        <w:t xml:space="preserve"> Entre sus exigencias, los incidentes de seguridad con datos personales deben reportarse en un plazo inicial de 48 horas.</w:t>
      </w:r>
      <w:r>
        <w:rPr>
          <w:rStyle w:val="FootnoteReference"/>
        </w:rPr>
        <w:footnoteReference w:id="4"/>
      </w:r>
      <w:r>
        <w:rPr>
          <w:rFonts w:ascii="Arial" w:cs="Arial" w:eastAsia="Arial" w:hAnsi="Arial"/>
          <w:sz w:val="22"/>
          <w:szCs w:val="22"/>
        </w:rPr>
        <w:t xml:space="preserve"> La autoridad realizó 760 fiscalizaciones en 2025.</w:t>
      </w:r>
      <w:r>
        <w:rPr>
          <w:rStyle w:val="FootnoteReference"/>
        </w:rPr>
        <w:footnoteReference w:id="5"/>
      </w:r>
      <w:r>
        <w:rPr>
          <w:rFonts w:ascii="Arial" w:cs="Arial" w:eastAsia="Arial" w:hAnsi="Arial"/>
          <w:sz w:val="22"/>
          <w:szCs w:val="22"/>
        </w:rPr>
        <w:t xml:space="preserve"> La plataforma almacena nombres, correos, teléfonos y fotos de equipos, por lo que debe tratarlos con cuidado.</w:t>
      </w:r>
    </w:p>
    <w:p>
      <w:pPr>
        <w:pStyle w:val="ListParagraph"/>
        <w:numPr>
          <w:ilvl w:val="0"/>
          <w:numId w:val="2"/>
        </w:numPr>
        <w:spacing w:after="60" w:line="240" w:lineRule="auto"/>
        <w:jc w:val="both"/>
      </w:pPr>
      <w:r>
        <w:rPr>
          <w:rFonts w:ascii="Arial" w:cs="Arial" w:eastAsia="Arial" w:hAnsi="Arial"/>
          <w:b/>
          <w:bCs/>
          <w:sz w:val="22"/>
          <w:szCs w:val="22"/>
        </w:rPr>
        <w:t xml:space="preserve">Protección al consumidor. </w:t>
      </w:r>
      <w:r>
        <w:rPr>
          <w:rFonts w:ascii="Arial" w:cs="Arial" w:eastAsia="Arial" w:hAnsi="Arial"/>
          <w:sz w:val="22"/>
          <w:szCs w:val="22"/>
        </w:rPr>
        <w:t xml:space="preserve">El Código de Protección y Defensa del Consumidor (Ley 29571) reconoce el derecho a exigir reparación, reposición o devolución cuando un servicio es deficiente,</w:t>
      </w:r>
      <w:r>
        <w:rPr>
          <w:rStyle w:val="FootnoteReference"/>
        </w:rPr>
        <w:footnoteReference w:id="6"/>
      </w:r>
      <w:r>
        <w:rPr>
          <w:rFonts w:ascii="Arial" w:cs="Arial" w:eastAsia="Arial" w:hAnsi="Arial"/>
          <w:sz w:val="22"/>
          <w:szCs w:val="22"/>
        </w:rPr>
        <w:t xml:space="preserve"> y los proveedores deben atender reclamos y quejas en 15 días hábiles.</w:t>
      </w:r>
      <w:r>
        <w:rPr>
          <w:rStyle w:val="FootnoteReference"/>
        </w:rPr>
        <w:footnoteReference w:id="7"/>
      </w:r>
    </w:p>
    <w:p>
      <w:pPr>
        <w:pStyle w:val="ListParagraph"/>
        <w:numPr>
          <w:ilvl w:val="0"/>
          <w:numId w:val="2"/>
        </w:numPr>
        <w:spacing w:after="60" w:line="240" w:lineRule="auto"/>
        <w:jc w:val="both"/>
      </w:pPr>
      <w:r>
        <w:rPr>
          <w:rFonts w:ascii="Arial" w:cs="Arial" w:eastAsia="Arial" w:hAnsi="Arial"/>
          <w:b/>
          <w:bCs/>
          <w:sz w:val="22"/>
          <w:szCs w:val="22"/>
        </w:rPr>
        <w:t xml:space="preserve">Formalización. </w:t>
      </w:r>
      <w:r>
        <w:rPr>
          <w:rFonts w:ascii="Arial" w:cs="Arial" w:eastAsia="Arial" w:hAnsi="Arial"/>
          <w:sz w:val="22"/>
          <w:szCs w:val="22"/>
        </w:rPr>
        <w:t xml:space="preserve">Desde abril de 2026 existe la Estrategia Nacional de Formalización Laboral 2026-2040, elaborada con asistencia técnica de la OIT.</w:t>
      </w:r>
      <w:r>
        <w:rPr>
          <w:rStyle w:val="FootnoteReference"/>
        </w:rPr>
        <w:footnoteReference w:id="8"/>
      </w:r>
    </w:p>
    <w:p>
      <w:pPr>
        <w:pStyle w:val="ListParagraph"/>
        <w:numPr>
          <w:ilvl w:val="0"/>
          <w:numId w:val="2"/>
        </w:numPr>
        <w:spacing w:after="60" w:line="240" w:lineRule="auto"/>
        <w:jc w:val="both"/>
      </w:pPr>
      <w:r>
        <w:rPr>
          <w:rFonts w:ascii="Arial" w:cs="Arial" w:eastAsia="Arial" w:hAnsi="Arial"/>
          <w:b/>
          <w:bCs/>
          <w:sz w:val="22"/>
          <w:szCs w:val="22"/>
        </w:rPr>
        <w:t xml:space="preserve">Oportunidad: </w:t>
      </w:r>
      <w:r>
        <w:rPr>
          <w:rFonts w:ascii="Arial" w:cs="Arial" w:eastAsia="Arial" w:hAnsi="Arial"/>
          <w:sz w:val="22"/>
          <w:szCs w:val="22"/>
        </w:rPr>
        <w:t xml:space="preserve">una plataforma que deja registro de cada orden ayuda a técnicos pequeños a documentar su trabajo y a responder reclamos.</w:t>
      </w:r>
    </w:p>
    <w:p>
      <w:pPr>
        <w:pStyle w:val="ListParagraph"/>
        <w:numPr>
          <w:ilvl w:val="0"/>
          <w:numId w:val="2"/>
        </w:numPr>
        <w:spacing w:after="60" w:line="240" w:lineRule="auto"/>
        <w:jc w:val="both"/>
      </w:pPr>
      <w:r>
        <w:rPr>
          <w:rFonts w:ascii="Arial" w:cs="Arial" w:eastAsia="Arial" w:hAnsi="Arial"/>
          <w:b/>
          <w:bCs/>
          <w:sz w:val="22"/>
          <w:szCs w:val="22"/>
        </w:rPr>
        <w:t xml:space="preserve">Amenaza: </w:t>
      </w:r>
      <w:r>
        <w:rPr>
          <w:rFonts w:ascii="Arial" w:cs="Arial" w:eastAsia="Arial" w:hAnsi="Arial"/>
          <w:sz w:val="22"/>
          <w:szCs w:val="22"/>
        </w:rPr>
        <w:t xml:space="preserve">incumplir la normativa de datos personales expone a sanciones.</w:t>
      </w:r>
    </w:p>
    <w:p>
      <w:pPr>
        <w:pStyle w:val="Heading2"/>
      </w:pPr>
      <w:r>
        <w:t xml:space="preserve">5.3.4. Variable tecnológica</w:t>
      </w:r>
    </w:p>
    <w:p>
      <w:pPr>
        <w:spacing w:after="120" w:before="0" w:line="240" w:lineRule="auto"/>
        <w:jc w:val="both"/>
      </w:pPr>
      <w:r>
        <w:rPr>
          <w:rFonts w:ascii="Arial" w:cs="Arial" w:eastAsia="Arial" w:hAnsi="Arial"/>
          <w:sz w:val="22"/>
          <w:szCs w:val="22"/>
        </w:rPr>
        <w:t xml:space="preserve">Según el INEI, en el primer trimestre de 2026 el 62,7 % de los hogares tuvo internet, el 96,0 % accedió a telefonía móvil y el 90,7 % de los usuarios de internet se conectó a través del celular.</w:t>
      </w:r>
      <w:r>
        <w:rPr>
          <w:rStyle w:val="FootnoteReference"/>
        </w:rPr>
        <w:footnoteReference w:id="9"/>
      </w:r>
      <w:r>
        <w:rPr>
          <w:rFonts w:ascii="Arial" w:cs="Arial" w:eastAsia="Arial" w:hAnsi="Arial"/>
          <w:sz w:val="22"/>
          <w:szCs w:val="22"/>
        </w:rPr>
        <w:t xml:space="preserve"> La encuesta Erestel, que mide el acceso de otra manera, reporta que el 96 % de los hogares tiene internet fijo o móvil y el 97,2 % cuenta con al menos un dispositivo móvil.</w:t>
      </w:r>
      <w:r>
        <w:rPr>
          <w:rStyle w:val="FootnoteReference"/>
        </w:rPr>
        <w:footnoteReference w:id="10"/>
      </w:r>
      <w:r>
        <w:rPr>
          <w:rFonts w:ascii="Arial" w:cs="Arial" w:eastAsia="Arial" w:hAnsi="Arial"/>
          <w:sz w:val="22"/>
          <w:szCs w:val="22"/>
        </w:rPr>
        <w:t xml:space="preserve"> La diferencia entre ambas cifras se explica por la distinta metodología de cada medición.</w:t>
      </w:r>
    </w:p>
    <w:p>
      <w:pPr>
        <w:pStyle w:val="ListParagraph"/>
        <w:numPr>
          <w:ilvl w:val="0"/>
          <w:numId w:val="2"/>
        </w:numPr>
        <w:spacing w:after="60" w:line="240" w:lineRule="auto"/>
        <w:jc w:val="both"/>
      </w:pPr>
      <w:r>
        <w:rPr>
          <w:rFonts w:ascii="Arial" w:cs="Arial" w:eastAsia="Arial" w:hAnsi="Arial"/>
          <w:b/>
          <w:bCs/>
          <w:sz w:val="22"/>
          <w:szCs w:val="22"/>
        </w:rPr>
        <w:t xml:space="preserve">Oportunidad: </w:t>
      </w:r>
      <w:r>
        <w:rPr>
          <w:rFonts w:ascii="Arial" w:cs="Arial" w:eastAsia="Arial" w:hAnsi="Arial"/>
          <w:sz w:val="22"/>
          <w:szCs w:val="22"/>
        </w:rPr>
        <w:t xml:space="preserve">el celular es el medio dominante y tomar una foto del equipo y subirla es una acción natural para el técnico y para el cliente.</w:t>
      </w:r>
    </w:p>
    <w:p>
      <w:pPr>
        <w:pStyle w:val="ListParagraph"/>
        <w:numPr>
          <w:ilvl w:val="0"/>
          <w:numId w:val="2"/>
        </w:numPr>
        <w:spacing w:after="60" w:line="240" w:lineRule="auto"/>
        <w:jc w:val="both"/>
      </w:pPr>
      <w:r>
        <w:rPr>
          <w:rFonts w:ascii="Arial" w:cs="Arial" w:eastAsia="Arial" w:hAnsi="Arial"/>
          <w:b/>
          <w:bCs/>
          <w:sz w:val="22"/>
          <w:szCs w:val="22"/>
        </w:rPr>
        <w:t xml:space="preserve">Amenaza: </w:t>
      </w:r>
      <w:r>
        <w:rPr>
          <w:rFonts w:ascii="Arial" w:cs="Arial" w:eastAsia="Arial" w:hAnsi="Arial"/>
          <w:sz w:val="22"/>
          <w:szCs w:val="22"/>
        </w:rPr>
        <w:t xml:space="preserve">el acceso sigue siendo desigual entre zonas, por lo que el diseño debe ser pensado primero para celular (mobile-first) y ligero.</w:t>
      </w:r>
    </w:p>
    <w:p>
      <w:pPr>
        <w:pStyle w:val="Heading2"/>
      </w:pPr>
      <w:r>
        <w:t xml:space="preserve">5.3.5. Variable ecológica</w:t>
      </w:r>
    </w:p>
    <w:p>
      <w:pPr>
        <w:spacing w:after="120" w:before="0" w:line="240" w:lineRule="auto"/>
        <w:jc w:val="both"/>
      </w:pPr>
      <w:r>
        <w:rPr>
          <w:rFonts w:ascii="Arial" w:cs="Arial" w:eastAsia="Arial" w:hAnsi="Arial"/>
          <w:sz w:val="22"/>
          <w:szCs w:val="22"/>
        </w:rPr>
        <w:t xml:space="preserve">Los equipos que reparan estos técnicos (computadoras, celulares, televisores) son los que terminan como residuos electrónicos. En 2017 ingresaron al mercado 226 653 toneladas de aparatos eléctricos y electrónicos y se generaron cerca de 171 mil toneladas de residuos; en 2019 el MINAM aprobó el Régimen Especial de gestión de estos residuos mediante el D.S. 009-2019-MINAM.</w:t>
      </w:r>
      <w:r>
        <w:rPr>
          <w:rStyle w:val="FootnoteReference"/>
        </w:rPr>
        <w:footnoteReference w:id="11"/>
      </w:r>
      <w:r>
        <w:rPr>
          <w:rFonts w:ascii="Arial" w:cs="Arial" w:eastAsia="Arial" w:hAnsi="Arial"/>
          <w:sz w:val="22"/>
          <w:szCs w:val="22"/>
        </w:rPr>
        <w:t xml:space="preserve"> Del lado del reciclaje, en 2021 se valorizaron 11 175,8 toneladas, frente a 5 724,4 en 2020.</w:t>
      </w:r>
      <w:r>
        <w:rPr>
          <w:rStyle w:val="FootnoteReference"/>
        </w:rPr>
        <w:footnoteReference w:id="12"/>
      </w:r>
      <w:r>
        <w:rPr>
          <w:rFonts w:ascii="Arial" w:cs="Arial" w:eastAsia="Arial" w:hAnsi="Arial"/>
          <w:sz w:val="22"/>
          <w:szCs w:val="22"/>
        </w:rPr>
        <w:t xml:space="preserve"> Las cifras disponibles corresponden a los años 2017 a 2021.</w:t>
      </w:r>
    </w:p>
    <w:p>
      <w:pPr>
        <w:pStyle w:val="ListParagraph"/>
        <w:numPr>
          <w:ilvl w:val="0"/>
          <w:numId w:val="2"/>
        </w:numPr>
        <w:spacing w:after="60" w:line="240" w:lineRule="auto"/>
        <w:jc w:val="both"/>
      </w:pPr>
      <w:r>
        <w:rPr>
          <w:rFonts w:ascii="Arial" w:cs="Arial" w:eastAsia="Arial" w:hAnsi="Arial"/>
          <w:b/>
          <w:bCs/>
          <w:sz w:val="22"/>
          <w:szCs w:val="22"/>
        </w:rPr>
        <w:t xml:space="preserve">Oportunidad: </w:t>
      </w:r>
      <w:r>
        <w:rPr>
          <w:rFonts w:ascii="Arial" w:cs="Arial" w:eastAsia="Arial" w:hAnsi="Arial"/>
          <w:sz w:val="22"/>
          <w:szCs w:val="22"/>
        </w:rPr>
        <w:t xml:space="preserve">reparar alarga la vida útil de los equipos y reduce residuos.</w:t>
      </w:r>
    </w:p>
    <w:p>
      <w:pPr>
        <w:pStyle w:val="ListParagraph"/>
        <w:numPr>
          <w:ilvl w:val="0"/>
          <w:numId w:val="2"/>
        </w:numPr>
        <w:spacing w:after="60" w:line="240" w:lineRule="auto"/>
        <w:jc w:val="both"/>
      </w:pPr>
      <w:r>
        <w:rPr>
          <w:rFonts w:ascii="Arial" w:cs="Arial" w:eastAsia="Arial" w:hAnsi="Arial"/>
          <w:b/>
          <w:bCs/>
          <w:sz w:val="22"/>
          <w:szCs w:val="22"/>
        </w:rPr>
        <w:t xml:space="preserve">Amenaza: </w:t>
      </w:r>
      <w:r>
        <w:rPr>
          <w:rFonts w:ascii="Arial" w:cs="Arial" w:eastAsia="Arial" w:hAnsi="Arial"/>
          <w:sz w:val="22"/>
          <w:szCs w:val="22"/>
        </w:rPr>
        <w:t xml:space="preserve">los residuos electrónicos siguen en aumento y la reparación informal puede terminar en una mala disposición de piezas.</w:t>
      </w:r>
    </w:p>
    <w:p>
      <w:pPr>
        <w:pStyle w:val="Heading2"/>
      </w:pPr>
      <w:r>
        <w:t xml:space="preserve">5.3.6. Resumen del diagnóstico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72"/>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Variable</w:t>
            </w:r>
          </w:p>
        </w:tc>
        <w:tc>
          <w:tcPr>
            <w:tcW w:type="dxa" w:w="34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Dato clave</w:t>
            </w:r>
          </w:p>
        </w:tc>
        <w:tc>
          <w:tcPr>
            <w:tcW w:type="dxa" w:w="38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Implicancia para TecniYa</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Social</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69,8 % de empleo informal</w:t>
            </w:r>
          </w:p>
        </w:tc>
        <w:tc>
          <w:tcPr>
            <w:tcW w:type="dxa" w:w="38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Perfil público y reputación para técnicos independientes</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Económica</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Ventas en línea +50,4 % (1.er semestre de 2026)</w:t>
            </w:r>
          </w:p>
        </w:tc>
        <w:tc>
          <w:tcPr>
            <w:tcW w:type="dxa" w:w="38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Hay hábito de compra digital</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Política y legal</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Reglamento de datos personales y Ley 29571</w:t>
            </w:r>
          </w:p>
        </w:tc>
        <w:tc>
          <w:tcPr>
            <w:tcW w:type="dxa" w:w="38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Consentimiento, protección de fotos y datos, canal de reclamos</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Tecnológica</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90,7 % de usuarios accede a internet por celular</w:t>
            </w:r>
          </w:p>
        </w:tc>
        <w:tc>
          <w:tcPr>
            <w:tcW w:type="dxa" w:w="38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Diseño mobile-first y fotos desde el celular</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Ecológica</w:t>
            </w:r>
          </w:p>
        </w:tc>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Residuos electrónicos en aumento desde 2017</w:t>
            </w:r>
          </w:p>
        </w:tc>
        <w:tc>
          <w:tcPr>
            <w:tcW w:type="dxa" w:w="38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La reparación reduce residuos</w:t>
            </w:r>
          </w:p>
        </w:tc>
      </w:tr>
    </w:tbl>
    <w:p>
      <w:pPr>
        <w:spacing w:after="120"/>
      </w:pPr>
    </w:p>
    <w:p>
      <w:pPr>
        <w:pStyle w:val="Heading1"/>
      </w:pPr>
      <w:r>
        <w:t xml:space="preserve">5.4. Objetivos</w:t>
      </w:r>
    </w:p>
    <w:p>
      <w:pPr>
        <w:spacing w:after="120" w:before="0" w:line="240" w:lineRule="auto"/>
        <w:jc w:val="both"/>
      </w:pPr>
      <w:r>
        <w:rPr>
          <w:rFonts w:ascii="Arial" w:cs="Arial" w:eastAsia="Arial" w:hAnsi="Arial"/>
          <w:b/>
          <w:bCs/>
          <w:sz w:val="22"/>
          <w:szCs w:val="22"/>
        </w:rPr>
        <w:t xml:space="preserve">OBJ 1.- </w:t>
      </w:r>
      <w:r>
        <w:rPr>
          <w:rFonts w:ascii="Arial" w:cs="Arial" w:eastAsia="Arial" w:hAnsi="Arial"/>
          <w:sz w:val="22"/>
          <w:szCs w:val="22"/>
        </w:rPr>
        <w:t xml:space="preserve">Desarrollar y desplegar en un entorno de pruebas, hasta la semana 14 del ciclo, una plataforma web con login de contraseñas cifradas con BCrypt y servicios REST (GET, POST, PUT y DELETE) consumidos por una aplicación Angular, verificados con pruebas automatizadas que pasen en GitHub Actions en el 100 % de los push a la rama principal.</w:t>
      </w:r>
    </w:p>
    <w:p>
      <w:pPr>
        <w:spacing w:after="120" w:before="0" w:line="240" w:lineRule="auto"/>
        <w:jc w:val="both"/>
      </w:pPr>
      <w:r>
        <w:rPr>
          <w:rFonts w:ascii="Arial" w:cs="Arial" w:eastAsia="Arial" w:hAnsi="Arial"/>
          <w:b/>
          <w:bCs/>
          <w:sz w:val="22"/>
          <w:szCs w:val="22"/>
        </w:rPr>
        <w:t xml:space="preserve">OBJ 2.- </w:t>
      </w:r>
      <w:r>
        <w:rPr>
          <w:rFonts w:ascii="Arial" w:cs="Arial" w:eastAsia="Arial" w:hAnsi="Arial"/>
          <w:sz w:val="22"/>
          <w:szCs w:val="22"/>
        </w:rPr>
        <w:t xml:space="preserve">Implementar la trazabilidad por fotos de modo que, hasta la semana 14, un mínimo de 10 órdenes de prueba con datos ficticios recorran todos los estados desde CONTRATADO hasta ENTREGADO, con al menos una foto en cada una de las 4 etapas que la exigen.</w:t>
      </w:r>
    </w:p>
    <w:p>
      <w:pPr>
        <w:spacing w:after="120" w:before="0" w:line="240" w:lineRule="auto"/>
        <w:jc w:val="both"/>
      </w:pPr>
      <w:r>
        <w:rPr>
          <w:rFonts w:ascii="Arial" w:cs="Arial" w:eastAsia="Arial" w:hAnsi="Arial"/>
          <w:b/>
          <w:bCs/>
          <w:sz w:val="22"/>
          <w:szCs w:val="22"/>
        </w:rPr>
        <w:t xml:space="preserve">OBJ 3.- </w:t>
      </w:r>
      <w:r>
        <w:rPr>
          <w:rFonts w:ascii="Arial" w:cs="Arial" w:eastAsia="Arial" w:hAnsi="Arial"/>
          <w:sz w:val="22"/>
          <w:szCs w:val="22"/>
        </w:rPr>
        <w:t xml:space="preserve">Validar la usabilidad con al menos 5 técnicos y 10 clientes hasta la semana 13, mediante una prueba guiada y una encuesta, buscando que el 80 % o más complete el flujo de contratar y seguir una orden sin ayuda.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2472"/>
      </w:tblGrid>
      <w:tr>
        <w:trPr>
          <w:cantSplit/>
          <w:tblHeader/>
        </w:trPr>
        <w:tc>
          <w:tcPr>
            <w:tcW w:type="dxa" w:w="15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Criterio</w:t>
            </w:r>
          </w:p>
        </w:tc>
        <w:tc>
          <w:tcPr>
            <w:tcW w:type="dxa" w:w="25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OBJ 1</w:t>
            </w:r>
          </w:p>
        </w:tc>
        <w:tc>
          <w:tcPr>
            <w:tcW w:type="dxa" w:w="26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OBJ 2</w:t>
            </w:r>
          </w:p>
        </w:tc>
        <w:tc>
          <w:tcPr>
            <w:tcW w:type="dxa" w:w="24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OBJ 3</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Específico</w:t>
            </w:r>
          </w:p>
        </w:tc>
        <w:tc>
          <w:tcPr>
            <w:tcW w:type="dxa" w:w="2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Login BCrypt + REST + Angular</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Trazabilidad con fotos por etapa</w:t>
            </w:r>
          </w:p>
        </w:tc>
        <w:tc>
          <w:tcPr>
            <w:tcW w:type="dxa" w:w="2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Prueba de usabilidad del flujo principal</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Medible</w:t>
            </w:r>
          </w:p>
        </w:tc>
        <w:tc>
          <w:tcPr>
            <w:tcW w:type="dxa" w:w="2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100 % de push con CI en verde</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10 órdenes con 4 etapas fotografiadas</w:t>
            </w:r>
          </w:p>
        </w:tc>
        <w:tc>
          <w:tcPr>
            <w:tcW w:type="dxa" w:w="2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80 % completa el flujo</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Alcanzable</w:t>
            </w:r>
          </w:p>
        </w:tc>
        <w:tc>
          <w:tcPr>
            <w:tcW w:type="dxa" w:w="2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Stack conocido y acotado</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Datos de prueba propios</w:t>
            </w:r>
          </w:p>
        </w:tc>
        <w:tc>
          <w:tcPr>
            <w:tcW w:type="dxa" w:w="2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Muestra pequeña (15 personas)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Relevante</w:t>
            </w:r>
          </w:p>
        </w:tc>
        <w:tc>
          <w:tcPr>
            <w:tcW w:type="dxa" w:w="2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Requisito central del proyecto</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Diferencial de la plataforma</w:t>
            </w:r>
          </w:p>
        </w:tc>
        <w:tc>
          <w:tcPr>
            <w:tcW w:type="dxa" w:w="2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Valida la utilidad real</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 tiempo</w:t>
            </w:r>
          </w:p>
        </w:tc>
        <w:tc>
          <w:tcPr>
            <w:tcW w:type="dxa" w:w="2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Semana 14</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Semana 14</w:t>
            </w:r>
          </w:p>
        </w:tc>
        <w:tc>
          <w:tcPr>
            <w:tcW w:type="dxa" w:w="2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Semana 13</w:t>
            </w:r>
          </w:p>
        </w:tc>
      </w:tr>
    </w:tbl>
    <w:p>
      <w:pPr>
        <w:spacing w:after="120"/>
      </w:pPr>
    </w:p>
    <w:p>
      <w:pPr>
        <w:pStyle w:val="Heading1"/>
      </w:pPr>
      <w:r>
        <w:t xml:space="preserve">5.5. Justificación del proyecto</w:t>
      </w:r>
    </w:p>
    <w:p>
      <w:pPr>
        <w:spacing w:after="120" w:before="0" w:line="240" w:lineRule="auto"/>
        <w:jc w:val="both"/>
      </w:pPr>
      <w:r>
        <w:rPr>
          <w:rFonts w:ascii="Arial" w:cs="Arial" w:eastAsia="Arial" w:hAnsi="Arial"/>
          <w:sz w:val="22"/>
          <w:szCs w:val="22"/>
        </w:rPr>
        <w:t xml:space="preserve">Hoy el cliente contrata a un técnico por recomendación o por avisos sueltos, sin comparar precios y sin saber qué ocurre con su equipo una vez entregado. El técnico independiente, por su parte, depende del boca a boca y no cuenta con un registro verificable de su trabajo. TecniYa aporta comparación de ofertas, historial de órdenes con evidencia fotográfica y calificaciones, lo que reduce la incertidumbre del cliente y permite al técnico construir reputación.</w:t>
      </w:r>
    </w:p>
    <w:p>
      <w:pPr>
        <w:spacing w:after="120" w:before="0" w:line="240" w:lineRule="auto"/>
        <w:jc w:val="both"/>
      </w:pPr>
      <w:r>
        <w:rPr>
          <w:rFonts w:ascii="Arial" w:cs="Arial" w:eastAsia="Arial" w:hAnsi="Arial"/>
          <w:b/>
          <w:bCs/>
          <w:sz w:val="22"/>
          <w:szCs w:val="22"/>
        </w:rPr>
        <w:t xml:space="preserve">Beneficiarios directos. </w:t>
      </w:r>
      <w:r>
        <w:rPr>
          <w:rFonts w:ascii="Arial" w:cs="Arial" w:eastAsia="Arial" w:hAnsi="Arial"/>
          <w:sz w:val="22"/>
          <w:szCs w:val="22"/>
        </w:rPr>
        <w:t xml:space="preserve">Clientes que contratan servicios técnicos, técnicos independientes que se registran en la plataforma, administradores que validan técnicos y supervisan órdenes, y el equipo desarrollador.</w:t>
      </w:r>
    </w:p>
    <w:p>
      <w:pPr>
        <w:spacing w:after="120" w:before="0" w:line="240" w:lineRule="auto"/>
        <w:jc w:val="both"/>
      </w:pPr>
      <w:r>
        <w:rPr>
          <w:rFonts w:ascii="Arial" w:cs="Arial" w:eastAsia="Arial" w:hAnsi="Arial"/>
          <w:b/>
          <w:bCs/>
          <w:sz w:val="22"/>
          <w:szCs w:val="22"/>
        </w:rPr>
        <w:t xml:space="preserve">Beneficiarios indirectos. </w:t>
      </w:r>
      <w:r>
        <w:rPr>
          <w:rFonts w:ascii="Arial" w:cs="Arial" w:eastAsia="Arial" w:hAnsi="Arial"/>
          <w:sz w:val="22"/>
          <w:szCs w:val="22"/>
        </w:rPr>
        <w:t xml:space="preserve">Familias y pequeños negocios que dependen de sus equipos para estudiar o trabajar, comercios de repuestos de la zona y el entorno, que se beneficia cuando más equipos se reparan en lugar de desecharse.</w:t>
      </w:r>
    </w:p>
    <w:p>
      <w:pPr>
        <w:pStyle w:val="Heading1"/>
      </w:pPr>
      <w:r>
        <w:t xml:space="preserve">5.6. Definición y alcance</w:t>
      </w:r>
    </w:p>
    <w:p>
      <w:pPr>
        <w:spacing w:after="120" w:before="0" w:line="240" w:lineRule="auto"/>
        <w:jc w:val="both"/>
      </w:pPr>
      <w:r>
        <w:rPr>
          <w:rFonts w:ascii="Arial" w:cs="Arial" w:eastAsia="Arial" w:hAnsi="Arial"/>
          <w:sz w:val="22"/>
          <w:szCs w:val="22"/>
        </w:rPr>
        <w:t xml:space="preserve">Esta sección explica el funcionamiento y el diseño de la solución: actores, alcance, reglas de negocio, arquitectura y modelo de datos.</w:t>
      </w:r>
    </w:p>
    <w:p>
      <w:pPr>
        <w:pStyle w:val="Heading2"/>
      </w:pPr>
      <w:r>
        <w:t xml:space="preserve">5.6.1. Actores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Actor</w:t>
            </w:r>
          </w:p>
        </w:tc>
        <w:tc>
          <w:tcPr>
            <w:tcW w:type="dxa" w:w="72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Qué hace</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Visitante</w:t>
            </w:r>
          </w:p>
        </w:tc>
        <w:tc>
          <w:tcPr>
            <w:tcW w:type="dxa" w:w="7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Navega el catálogo de técnicos y ve perfiles, calificaciones y fotos de trabajos. No necesita cuenta.</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Cliente</w:t>
            </w:r>
          </w:p>
        </w:tc>
        <w:tc>
          <w:tcPr>
            <w:tcW w:type="dxa" w:w="7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Se registra, publica solicitudes, compara ofertas, contrata (por oferta o de forma directa), paga, sigue su equipo y califica.</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Técnico</w:t>
            </w:r>
          </w:p>
        </w:tc>
        <w:tc>
          <w:tcPr>
            <w:tcW w:type="dxa" w:w="7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Se registra, completa su perfil (especialidades, zona, tarifa base), ofrece precio y tiempo, y sube fotos en cada etapa de la orden.</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Administrador</w:t>
            </w:r>
          </w:p>
        </w:tc>
        <w:tc>
          <w:tcPr>
            <w:tcW w:type="dxa" w:w="7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Valida técnicos nuevos, suspende cuentas y supervisa órdenes y auditoría.</w:t>
            </w:r>
          </w:p>
        </w:tc>
      </w:tr>
    </w:tbl>
    <w:p>
      <w:pPr>
        <w:spacing w:after="120"/>
      </w:pPr>
    </w:p>
    <w:p>
      <w:pPr>
        <w:spacing w:after="120" w:before="0" w:line="240" w:lineRule="auto"/>
        <w:jc w:val="both"/>
      </w:pPr>
      <w:r>
        <w:rPr>
          <w:rFonts w:ascii="Arial" w:cs="Arial" w:eastAsia="Arial" w:hAnsi="Arial"/>
          <w:sz w:val="22"/>
          <w:szCs w:val="22"/>
        </w:rPr>
        <w:t xml:space="preserve">El visitante puede ver todo el catálogo, pero para contratar debe crear una cuenta de cliente. Así cada orden queda ligada a una persona y la trazabilidad tiene dueño.</w:t>
      </w:r>
    </w:p>
    <w:p>
      <w:pPr>
        <w:pStyle w:val="Heading2"/>
      </w:pPr>
      <w:r>
        <w:t xml:space="preserve">5.6.2. Alcance</w:t>
      </w:r>
    </w:p>
    <w:p>
      <w:pPr>
        <w:keepNext/>
        <w:spacing w:after="60" w:before="0" w:line="240" w:lineRule="auto"/>
        <w:jc w:val="both"/>
      </w:pPr>
      <w:r>
        <w:rPr>
          <w:rFonts w:ascii="Arial" w:cs="Arial" w:eastAsia="Arial" w:hAnsi="Arial"/>
          <w:b/>
          <w:bCs/>
          <w:sz w:val="22"/>
          <w:szCs w:val="22"/>
        </w:rPr>
        <w:t xml:space="preserve">Incluye:</w:t>
      </w:r>
    </w:p>
    <w:p>
      <w:pPr>
        <w:pStyle w:val="ListParagraph"/>
        <w:numPr>
          <w:ilvl w:val="0"/>
          <w:numId w:val="2"/>
        </w:numPr>
        <w:spacing w:after="60" w:line="240" w:lineRule="auto"/>
        <w:jc w:val="both"/>
      </w:pPr>
      <w:r>
        <w:rPr>
          <w:rFonts w:ascii="Arial" w:cs="Arial" w:eastAsia="Arial" w:hAnsi="Arial"/>
          <w:sz w:val="22"/>
          <w:szCs w:val="22"/>
        </w:rPr>
        <w:t xml:space="preserve">Registro y login de clientes y técnicos.</w:t>
      </w:r>
    </w:p>
    <w:p>
      <w:pPr>
        <w:pStyle w:val="ListParagraph"/>
        <w:numPr>
          <w:ilvl w:val="0"/>
          <w:numId w:val="2"/>
        </w:numPr>
        <w:spacing w:after="60" w:line="240" w:lineRule="auto"/>
        <w:jc w:val="both"/>
      </w:pPr>
      <w:r>
        <w:rPr>
          <w:rFonts w:ascii="Arial" w:cs="Arial" w:eastAsia="Arial" w:hAnsi="Arial"/>
          <w:sz w:val="22"/>
          <w:szCs w:val="22"/>
        </w:rPr>
        <w:t xml:space="preserve">Catálogo público de técnicos con filtros por tipo de equipo (PC, celular, TV, otros), zona y calificación.</w:t>
      </w:r>
    </w:p>
    <w:p>
      <w:pPr>
        <w:pStyle w:val="ListParagraph"/>
        <w:numPr>
          <w:ilvl w:val="0"/>
          <w:numId w:val="2"/>
        </w:numPr>
        <w:spacing w:after="60" w:line="240" w:lineRule="auto"/>
        <w:jc w:val="both"/>
      </w:pPr>
      <w:r>
        <w:rPr>
          <w:rFonts w:ascii="Arial" w:cs="Arial" w:eastAsia="Arial" w:hAnsi="Arial"/>
          <w:sz w:val="22"/>
          <w:szCs w:val="22"/>
        </w:rPr>
        <w:t xml:space="preserve">Solicitudes con oferta tipo inDrive: el cliente publica y propone un presupuesto, los técnicos responden con precio y tiempo, y el cliente elige.</w:t>
      </w:r>
    </w:p>
    <w:p>
      <w:pPr>
        <w:pStyle w:val="ListParagraph"/>
        <w:numPr>
          <w:ilvl w:val="0"/>
          <w:numId w:val="2"/>
        </w:numPr>
        <w:spacing w:after="60" w:line="240" w:lineRule="auto"/>
        <w:jc w:val="both"/>
      </w:pPr>
      <w:r>
        <w:rPr>
          <w:rFonts w:ascii="Arial" w:cs="Arial" w:eastAsia="Arial" w:hAnsi="Arial"/>
          <w:sz w:val="22"/>
          <w:szCs w:val="22"/>
        </w:rPr>
        <w:t xml:space="preserve">Contratación directa desde el perfil del técnico, con su tarifa base.</w:t>
      </w:r>
    </w:p>
    <w:p>
      <w:pPr>
        <w:pStyle w:val="ListParagraph"/>
        <w:numPr>
          <w:ilvl w:val="0"/>
          <w:numId w:val="2"/>
        </w:numPr>
        <w:spacing w:after="60" w:line="240" w:lineRule="auto"/>
        <w:jc w:val="both"/>
      </w:pPr>
      <w:r>
        <w:rPr>
          <w:rFonts w:ascii="Arial" w:cs="Arial" w:eastAsia="Arial" w:hAnsi="Arial"/>
          <w:sz w:val="22"/>
          <w:szCs w:val="22"/>
        </w:rPr>
        <w:t xml:space="preserve">Órdenes de servicio con estados validados y línea de tiempo con fotos.</w:t>
      </w:r>
    </w:p>
    <w:p>
      <w:pPr>
        <w:pStyle w:val="ListParagraph"/>
        <w:numPr>
          <w:ilvl w:val="0"/>
          <w:numId w:val="2"/>
        </w:numPr>
        <w:spacing w:after="60" w:line="240" w:lineRule="auto"/>
        <w:jc w:val="both"/>
      </w:pPr>
      <w:r>
        <w:rPr>
          <w:rFonts w:ascii="Arial" w:cs="Arial" w:eastAsia="Arial" w:hAnsi="Arial"/>
          <w:sz w:val="22"/>
          <w:szCs w:val="22"/>
        </w:rPr>
        <w:t xml:space="preserve">Pago simulado registrado sobre la orden.</w:t>
      </w:r>
    </w:p>
    <w:p>
      <w:pPr>
        <w:pStyle w:val="ListParagraph"/>
        <w:numPr>
          <w:ilvl w:val="0"/>
          <w:numId w:val="2"/>
        </w:numPr>
        <w:spacing w:after="60" w:line="240" w:lineRule="auto"/>
        <w:jc w:val="both"/>
      </w:pPr>
      <w:r>
        <w:rPr>
          <w:rFonts w:ascii="Arial" w:cs="Arial" w:eastAsia="Arial" w:hAnsi="Arial"/>
          <w:sz w:val="22"/>
          <w:szCs w:val="22"/>
        </w:rPr>
        <w:t xml:space="preserve">Calificación del técnico al finalizar.</w:t>
      </w:r>
    </w:p>
    <w:p>
      <w:pPr>
        <w:pStyle w:val="ListParagraph"/>
        <w:numPr>
          <w:ilvl w:val="0"/>
          <w:numId w:val="2"/>
        </w:numPr>
        <w:spacing w:after="60" w:line="240" w:lineRule="auto"/>
        <w:jc w:val="both"/>
      </w:pPr>
      <w:r>
        <w:rPr>
          <w:rFonts w:ascii="Arial" w:cs="Arial" w:eastAsia="Arial" w:hAnsi="Arial"/>
          <w:sz w:val="22"/>
          <w:szCs w:val="22"/>
        </w:rPr>
        <w:t xml:space="preserve">Notificaciones simuladas (registros en base de datos) y auditoría de cambios de estado.</w:t>
      </w:r>
    </w:p>
    <w:p>
      <w:pPr>
        <w:keepNext/>
        <w:spacing w:after="60" w:before="80" w:line="240" w:lineRule="auto"/>
        <w:jc w:val="both"/>
      </w:pPr>
      <w:r>
        <w:rPr>
          <w:rFonts w:ascii="Arial" w:cs="Arial" w:eastAsia="Arial" w:hAnsi="Arial"/>
          <w:b/>
          <w:bCs/>
          <w:sz w:val="22"/>
          <w:szCs w:val="22"/>
        </w:rPr>
        <w:t xml:space="preserve">No incluye:</w:t>
      </w:r>
    </w:p>
    <w:p>
      <w:pPr>
        <w:pStyle w:val="ListParagraph"/>
        <w:numPr>
          <w:ilvl w:val="0"/>
          <w:numId w:val="2"/>
        </w:numPr>
        <w:spacing w:after="60" w:line="240" w:lineRule="auto"/>
        <w:jc w:val="both"/>
      </w:pPr>
      <w:r>
        <w:rPr>
          <w:rFonts w:ascii="Arial" w:cs="Arial" w:eastAsia="Arial" w:hAnsi="Arial"/>
          <w:sz w:val="22"/>
          <w:szCs w:val="22"/>
        </w:rPr>
        <w:t xml:space="preserve">Pagos reales ni pasarelas de pago.</w:t>
      </w:r>
    </w:p>
    <w:p>
      <w:pPr>
        <w:pStyle w:val="ListParagraph"/>
        <w:numPr>
          <w:ilvl w:val="0"/>
          <w:numId w:val="2"/>
        </w:numPr>
        <w:spacing w:after="60" w:line="240" w:lineRule="auto"/>
        <w:jc w:val="both"/>
      </w:pPr>
      <w:r>
        <w:rPr>
          <w:rFonts w:ascii="Arial" w:cs="Arial" w:eastAsia="Arial" w:hAnsi="Arial"/>
          <w:sz w:val="22"/>
          <w:szCs w:val="22"/>
        </w:rPr>
        <w:t xml:space="preserve">Chat en tiempo real, geolocalización en vivo y facturación electrónica.</w:t>
      </w:r>
    </w:p>
    <w:p>
      <w:pPr>
        <w:pStyle w:val="ListParagraph"/>
        <w:numPr>
          <w:ilvl w:val="0"/>
          <w:numId w:val="2"/>
        </w:numPr>
        <w:spacing w:after="60" w:line="240" w:lineRule="auto"/>
        <w:jc w:val="both"/>
      </w:pPr>
      <w:r>
        <w:rPr>
          <w:rFonts w:ascii="Arial" w:cs="Arial" w:eastAsia="Arial" w:hAnsi="Arial"/>
          <w:sz w:val="22"/>
          <w:szCs w:val="22"/>
        </w:rPr>
        <w:t xml:space="preserve">Diagnósticos automáticos.</w:t>
      </w:r>
    </w:p>
    <w:p>
      <w:pPr>
        <w:pStyle w:val="Heading2"/>
      </w:pPr>
      <w:r>
        <w:t xml:space="preserve">5.6.3. Estados y transiciones</w:t>
      </w:r>
    </w:p>
    <w:p>
      <w:pPr>
        <w:spacing w:after="120" w:before="0" w:line="240" w:lineRule="auto"/>
        <w:jc w:val="left"/>
      </w:pPr>
      <w:r>
        <w:rPr>
          <w:rFonts w:ascii="Arial" w:cs="Arial" w:eastAsia="Arial" w:hAnsi="Arial"/>
          <w:b/>
          <w:bCs/>
          <w:sz w:val="22"/>
          <w:szCs w:val="22"/>
        </w:rPr>
        <w:t xml:space="preserve">Solicitud: </w:t>
      </w:r>
      <w:r>
        <w:rPr>
          <w:rFonts w:ascii="Arial" w:cs="Arial" w:eastAsia="Arial" w:hAnsi="Arial"/>
          <w:sz w:val="22"/>
          <w:szCs w:val="22"/>
        </w:rPr>
        <w:t xml:space="preserve">ABIERTA → CON_OFERTAS → ADJUDICADA; desde ABIERTA o CON_OFERTAS también puede pasar a CANCELADA.</w:t>
      </w:r>
    </w:p>
    <w:p>
      <w:pPr>
        <w:spacing w:after="120" w:before="0" w:line="240" w:lineRule="auto"/>
        <w:jc w:val="left"/>
      </w:pPr>
      <w:r>
        <w:rPr>
          <w:rFonts w:ascii="Arial" w:cs="Arial" w:eastAsia="Arial" w:hAnsi="Arial"/>
          <w:b/>
          <w:bCs/>
          <w:sz w:val="22"/>
          <w:szCs w:val="22"/>
        </w:rPr>
        <w:t xml:space="preserve">Técnico: </w:t>
      </w:r>
      <w:r>
        <w:rPr>
          <w:rFonts w:ascii="Arial" w:cs="Arial" w:eastAsia="Arial" w:hAnsi="Arial"/>
          <w:sz w:val="22"/>
          <w:szCs w:val="22"/>
        </w:rPr>
        <w:t xml:space="preserve">PENDIENTE_VALIDACION → ACTIVO → SUSPENDIDO.</w:t>
      </w:r>
    </w:p>
    <w:p>
      <w:pPr>
        <w:spacing w:after="120" w:before="0" w:line="240" w:lineRule="auto"/>
        <w:jc w:val="left"/>
      </w:pPr>
      <w:r>
        <w:rPr>
          <w:rFonts w:ascii="Arial" w:cs="Arial" w:eastAsia="Arial" w:hAnsi="Arial"/>
          <w:b/>
          <w:bCs/>
          <w:sz w:val="22"/>
          <w:szCs w:val="22"/>
        </w:rPr>
        <w:t xml:space="preserve">Pago: </w:t>
      </w:r>
      <w:r>
        <w:rPr>
          <w:rFonts w:ascii="Arial" w:cs="Arial" w:eastAsia="Arial" w:hAnsi="Arial"/>
          <w:sz w:val="22"/>
          <w:szCs w:val="22"/>
        </w:rPr>
        <w:t xml:space="preserve">PENDIENTE → PAGADO, o PENDIENTE → RECHAZADO.</w:t>
      </w:r>
    </w:p>
    <w:p>
      <w:pPr>
        <w:keepNext/>
        <w:spacing w:after="60" w:before="0" w:line="240" w:lineRule="auto"/>
        <w:jc w:val="both"/>
      </w:pPr>
      <w:r>
        <w:rPr>
          <w:rFonts w:ascii="Arial" w:cs="Arial" w:eastAsia="Arial" w:hAnsi="Arial"/>
          <w:b/>
          <w:bCs/>
          <w:sz w:val="22"/>
          <w:szCs w:val="22"/>
        </w:rPr>
        <w:t xml:space="preserve">Orden de servicio: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72"/>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Estado actual</w:t>
            </w:r>
          </w:p>
        </w:tc>
        <w:tc>
          <w:tcPr>
            <w:tcW w:type="dxa" w:w="3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Estados permitidos</w:t>
            </w:r>
          </w:p>
        </w:tc>
        <w:tc>
          <w:tcPr>
            <w:tcW w:type="dxa" w:w="37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Condición</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CONTRATADO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RECIBIDO, CANCELADO</w:t>
            </w:r>
          </w:p>
        </w:tc>
        <w:tc>
          <w:tcPr>
            <w:tcW w:type="dxa" w:w="37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RECIBIDO exige al menos una foto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RECIBIDO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EN_DIAGNOSTICO, CANCELADO</w:t>
            </w:r>
          </w:p>
        </w:tc>
        <w:tc>
          <w:tcPr>
            <w:tcW w:type="dxa" w:w="37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EN_DIAGNOSTICO exige al menos una foto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EN_DIAGNOSTICO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EN_REPARACION, CANCELADO</w:t>
            </w:r>
          </w:p>
        </w:tc>
        <w:tc>
          <w:tcPr>
            <w:tcW w:type="dxa" w:w="37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EN_REPARACION exige al menos una foto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EN_REPARACION</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LISTO, CANCELADO</w:t>
            </w:r>
          </w:p>
        </w:tc>
        <w:tc>
          <w:tcPr>
            <w:tcW w:type="dxa" w:w="37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LISTO exige al menos una foto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LISTO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ENTREGADO</w:t>
            </w:r>
          </w:p>
        </w:tc>
        <w:tc>
          <w:tcPr>
            <w:tcW w:type="dxa" w:w="37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Debe existir un pago en estado PAGADO</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ENTREGADO, CANCELADO</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(estados finales)</w:t>
            </w:r>
          </w:p>
        </w:tc>
        <w:tc>
          <w:tcPr>
            <w:tcW w:type="dxa" w:w="37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 admiten cambios</w:t>
            </w:r>
          </w:p>
        </w:tc>
      </w:tr>
    </w:tbl>
    <w:p>
      <w:pPr>
        <w:spacing w:after="120"/>
      </w:pPr>
    </w:p>
    <w:p>
      <w:pPr>
        <w:pStyle w:val="Heading2"/>
      </w:pPr>
      <w:r>
        <w:t xml:space="preserve">5.6.4. Reglas de negocio</w:t>
      </w:r>
    </w:p>
    <w:p>
      <w:pPr>
        <w:pStyle w:val="Heading3"/>
      </w:pPr>
      <w:r>
        <w:t xml:space="preserve">Usuarios y técnicos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7972"/>
      </w:tblGrid>
      <w:tr>
        <w:trPr>
          <w:cantSplit/>
          <w:tblHeader/>
        </w:trPr>
        <w:tc>
          <w:tcPr>
            <w:tcW w:type="dxa" w:w="11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Código</w:t>
            </w:r>
          </w:p>
        </w:tc>
        <w:tc>
          <w:tcPr>
            <w:tcW w:type="dxa" w:w="79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Regla</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RN-01</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El correo y el número de documento no pueden repetirse (en las pruebas se usan documentos ficticios).</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RN-02</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Las contraseñas se guardan cifradas con BCrypt, nunca en texto plano.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RN-03</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Un técnico nuevo queda en PENDIENTE_VALIDACION y no aparece en el catálogo hasta que el administrador lo active.</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RN-04</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Un técnico declara al menos una especialidad, una zona de atención y una tarifa base mayor a cero.</w:t>
            </w:r>
          </w:p>
        </w:tc>
      </w:tr>
    </w:tbl>
    <w:p>
      <w:pPr>
        <w:spacing w:after="120"/>
      </w:pPr>
    </w:p>
    <w:p>
      <w:pPr>
        <w:pStyle w:val="Heading3"/>
      </w:pPr>
      <w:r>
        <w:t xml:space="preserve">Solicitudes, ofertas y contratación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7972"/>
      </w:tblGrid>
      <w:tr>
        <w:trPr>
          <w:cantSplit/>
          <w:tblHeader/>
        </w:trPr>
        <w:tc>
          <w:tcPr>
            <w:tcW w:type="dxa" w:w="11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Código</w:t>
            </w:r>
          </w:p>
        </w:tc>
        <w:tc>
          <w:tcPr>
            <w:tcW w:type="dxa" w:w="79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Regla</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RN-05</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Una solicitud debe tener tipo de equipo, marca o modelo, descripción de la falla y presupuesto referencial mayor a cero.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RN-06</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Solo técnicos ACTIVO y con la especialidad correspondiente pueden ofertar.</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RN-07</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Un técnico hace una sola oferta por solicitud y puede modificarla mientras la solicitud esté abierta. El precio debe ser mayor a cero.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RN-08</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El cliente acepta una sola oferta; al hacerlo, la solicitud pasa a ADJUDICADA y se crea la orden.</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RN-09</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 la contratación directa la orden nace sin solicitud previa y con la tarifa base del perfil del técnico.</w:t>
            </w:r>
          </w:p>
        </w:tc>
      </w:tr>
    </w:tbl>
    <w:p>
      <w:pPr>
        <w:spacing w:after="120"/>
      </w:pPr>
    </w:p>
    <w:p>
      <w:pPr>
        <w:spacing w:after="120" w:before="0" w:line="240" w:lineRule="auto"/>
        <w:jc w:val="both"/>
      </w:pPr>
      <w:r>
        <w:rPr>
          <w:rFonts w:ascii="Arial" w:cs="Arial" w:eastAsia="Arial" w:hAnsi="Arial"/>
          <w:sz w:val="22"/>
          <w:szCs w:val="22"/>
        </w:rPr>
        <w:t xml:space="preserve">Ambas vías producen la misma orden en estado CONTRATADO. La orden guarda un campo origen (OFERTA o DIRECTA) para distinguirlas; el resto del flujo (fotos, estados, pago y calificación) es único.</w:t>
      </w:r>
    </w:p>
    <w:p>
      <w:pPr>
        <w:pStyle w:val="Heading3"/>
      </w:pPr>
      <w:r>
        <w:t xml:space="preserve">Órdenes, trazabilidad, pago y calificación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7972"/>
      </w:tblGrid>
      <w:tr>
        <w:trPr>
          <w:cantSplit/>
          <w:tblHeader/>
        </w:trPr>
        <w:tc>
          <w:tcPr>
            <w:tcW w:type="dxa" w:w="11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Código</w:t>
            </w:r>
          </w:p>
        </w:tc>
        <w:tc>
          <w:tcPr>
            <w:tcW w:type="dxa" w:w="79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Regla</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RN-10</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Solo se permiten las transiciones de la tabla de estados.</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RN-11</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Solo el técnico asignado cambia los estados de su orden. El cliente solo puede cancelar mientras esté en CONTRATADO.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RN-12</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Pasar a RECIBIDO, EN_DIAGNOSTICO, EN_REPARACION y LISTO exige al menos una foto adjunta como evidencia.</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RN-13</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Las fotos son solo JPG o PNG, con un tamaño máximo (por ejemplo 5 MB), y se guardan con fecha, autor y estado asociado. Una vez subidas no se editan.</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RN-14</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Cada cambio de estado registra fecha, identificador de la orden, estado anterior, estado nuevo y quién lo hizo.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RN-15</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Solo el cliente de una orden ENTREGADO puede calificar (1 a 5, con comentario opcional) y una sola vez.</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RN-16</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Cada cambio de estado publica el evento asíncrono OrdenCambioEstado, que consumen notificaciones y auditoría.</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RN-17</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El pago se registra solo sobre una orden en estado LISTO, antes de pasar a ENTREGADO.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RN-18</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El monto del pago debe ser mayor a cero y no puede superar el precio acordado de la orden.</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RN-19</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Cada pago guarda fecha, monto, medio (EFECTIVO, YAPE, PLIN o TARJETA, todos simulados) y un número de operación de prueba único.</w:t>
            </w:r>
          </w:p>
        </w:tc>
      </w:tr>
      <w:tr>
        <w:trPr>
          <w:cantSplit/>
        </w:trPr>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RN-20</w:t>
            </w:r>
          </w:p>
        </w:tc>
        <w:tc>
          <w:tcPr>
            <w:tcW w:type="dxa" w:w="79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Al calificar se publica OrdenCalificada y tecnicos-service actualiza el promedio y la cantidad de calificaciones del técnico.</w:t>
            </w:r>
          </w:p>
        </w:tc>
      </w:tr>
    </w:tbl>
    <w:p>
      <w:pPr>
        <w:spacing w:after="120"/>
      </w:pPr>
    </w:p>
    <w:p>
      <w:pPr>
        <w:pStyle w:val="Heading2"/>
      </w:pPr>
      <w:r>
        <w:t xml:space="preserve">5.6.5. Supuestos</w:t>
      </w:r>
    </w:p>
    <w:p>
      <w:pPr>
        <w:pStyle w:val="ListParagraph"/>
        <w:numPr>
          <w:ilvl w:val="0"/>
          <w:numId w:val="2"/>
        </w:numPr>
        <w:spacing w:after="60" w:line="240" w:lineRule="auto"/>
        <w:jc w:val="both"/>
      </w:pPr>
      <w:r>
        <w:rPr>
          <w:rFonts w:ascii="Arial" w:cs="Arial" w:eastAsia="Arial" w:hAnsi="Arial"/>
          <w:sz w:val="22"/>
          <w:szCs w:val="22"/>
        </w:rPr>
        <w:t xml:space="preserve">Todos los datos de prueba son ficticios.</w:t>
      </w:r>
    </w:p>
    <w:p>
      <w:pPr>
        <w:pStyle w:val="ListParagraph"/>
        <w:numPr>
          <w:ilvl w:val="0"/>
          <w:numId w:val="2"/>
        </w:numPr>
        <w:spacing w:after="60" w:line="240" w:lineRule="auto"/>
        <w:jc w:val="both"/>
      </w:pPr>
      <w:r>
        <w:rPr>
          <w:rFonts w:ascii="Arial" w:cs="Arial" w:eastAsia="Arial" w:hAnsi="Arial"/>
          <w:sz w:val="22"/>
          <w:szCs w:val="22"/>
        </w:rPr>
        <w:t xml:space="preserve">El pago es simulado: no se conecta con ninguna entidad financiera.</w:t>
      </w:r>
    </w:p>
    <w:p>
      <w:pPr>
        <w:pStyle w:val="ListParagraph"/>
        <w:numPr>
          <w:ilvl w:val="0"/>
          <w:numId w:val="2"/>
        </w:numPr>
        <w:spacing w:after="60" w:line="240" w:lineRule="auto"/>
        <w:jc w:val="both"/>
      </w:pPr>
      <w:r>
        <w:rPr>
          <w:rFonts w:ascii="Arial" w:cs="Arial" w:eastAsia="Arial" w:hAnsi="Arial"/>
          <w:sz w:val="22"/>
          <w:szCs w:val="22"/>
        </w:rPr>
        <w:t xml:space="preserve">Las fotos se guardan en almacenamiento local y la base de datos solo conserva la URL.</w:t>
      </w:r>
    </w:p>
    <w:p>
      <w:pPr>
        <w:pStyle w:val="ListParagraph"/>
        <w:numPr>
          <w:ilvl w:val="0"/>
          <w:numId w:val="2"/>
        </w:numPr>
        <w:spacing w:after="60" w:line="240" w:lineRule="auto"/>
        <w:jc w:val="both"/>
      </w:pPr>
      <w:r>
        <w:rPr>
          <w:rFonts w:ascii="Arial" w:cs="Arial" w:eastAsia="Arial" w:hAnsi="Arial"/>
          <w:sz w:val="22"/>
          <w:szCs w:val="22"/>
        </w:rPr>
        <w:t xml:space="preserve">La validación del técnico está a cargo del administrador.</w:t>
      </w:r>
    </w:p>
    <w:p>
      <w:pPr>
        <w:pStyle w:val="Heading2"/>
      </w:pPr>
      <w:r>
        <w:t xml:space="preserve">5.6.6. Arquitectura de la solución</w:t>
      </w:r>
    </w:p>
    <w:p>
      <w:pPr>
        <w:spacing w:after="120" w:before="0" w:line="240" w:lineRule="auto"/>
        <w:jc w:val="both"/>
      </w:pPr>
      <w:r>
        <w:rPr>
          <w:rFonts w:ascii="Arial" w:cs="Arial" w:eastAsia="Arial" w:hAnsi="Arial"/>
          <w:sz w:val="22"/>
          <w:szCs w:val="22"/>
        </w:rPr>
        <w:t xml:space="preserve">La solución se organiza en microservicios con responsabilidades separadas. Cada servicio tiene su propia base de datos, de modo que ningún servicio lee las tablas de otro. Una misma instancia de PostgreSQL puede alojar las cuatro bases durante el desarrollo.</w:t>
      </w:r>
    </w:p>
    <w:p>
      <w:pPr>
        <w:keepNext/>
        <w:spacing w:after="0" w:before="120"/>
        <w:jc w:val="center"/>
      </w:pPr>
      <w:r>
        <w:drawing>
          <wp:inline distT="0" distB="0" distL="0" distR="0">
            <wp:extent cx="5715000" cy="4381500"/>
            <wp:effectExtent t="0" r="0" b="0" l="0"/>
            <wp:docPr id="1" name="arquitectura" descr="Diagrama de arquitectura de microservicios de TecniYa" title="Arquitectura de Tecn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 Arquitectura de microservicios de TecniYa</w:t>
      </w:r>
    </w:p>
    <w:p>
      <w:pPr>
        <w:pStyle w:val="Heading3"/>
      </w:pPr>
      <w:r>
        <w:t xml:space="preserve">Componentes y tecnologías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72"/>
      </w:tblGrid>
      <w:tr>
        <w:trPr>
          <w:cantSplit/>
          <w:tblHeader/>
        </w:trPr>
        <w:tc>
          <w:tcPr>
            <w:tcW w:type="dxa" w:w="2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Componente</w:t>
            </w:r>
          </w:p>
        </w:tc>
        <w:tc>
          <w:tcPr>
            <w:tcW w:type="dxa" w:w="27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Tecnología</w:t>
            </w:r>
          </w:p>
        </w:tc>
        <w:tc>
          <w:tcPr>
            <w:tcW w:type="dxa" w:w="43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Responsabilidad</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Frontend</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Angular</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Interfaz para visitantes, clientes, técnicos y administrador; consume los servicios REST (GET, POST, PUT, DELETE).</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api-gateway</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Spring Cloud Gateway</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Punto de entrada único; enruta /api/**, valida el token JWT y reenvía la identidad del usuario.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eureka-server</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Spring Cloud Netflix Eureka</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Registro y descubrimiento de servicios.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auth-service</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Spring MVC, Spring Data JPA, Spring Security, BCrypt</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Registro, login, roles y emisión del token.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tecnicos-service</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WebFlux, R2DBC</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Perfiles, especialidades, zona, tarifa base, validación y calificación promedio.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solicitudes-service</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WebFlux, R2DBC</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 y ofertas; aceptación de oferta.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ordenes-service</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WebFlux, R2DBC</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Órdenes, historial de estados, fotos, pago simulado y calificación.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notificaciones-service</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WebFlux, R2DBC</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Consume eventos y registra notificaciones simuladas.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auditoria-service</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WebFlux, R2DBC</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Consume eventos y registra la trazabilidad de cambios.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Mensajería</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RabbitMQ</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Exchange de eventos entre servicios.</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Base de datos</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PostgreSQL</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Una base por servicio de negocio.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Integración continua</w:t>
            </w:r>
          </w:p>
        </w:tc>
        <w:tc>
          <w:tcPr>
            <w:tcW w:type="dxa" w:w="2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GitHub Actions</w:t>
            </w:r>
          </w:p>
        </w:tc>
        <w:tc>
          <w:tcPr>
            <w:tcW w:type="dxa" w:w="43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Ejecuta ./mvnw verify en cada push.</w:t>
            </w:r>
          </w:p>
        </w:tc>
      </w:tr>
    </w:tbl>
    <w:p>
      <w:pPr>
        <w:spacing w:after="120"/>
      </w:pPr>
    </w:p>
    <w:p>
      <w:pPr>
        <w:spacing w:after="120" w:before="0" w:line="240" w:lineRule="auto"/>
        <w:jc w:val="both"/>
      </w:pPr>
      <w:r>
        <w:rPr>
          <w:rFonts w:ascii="Arial" w:cs="Arial" w:eastAsia="Arial" w:hAnsi="Arial"/>
          <w:sz w:val="22"/>
          <w:szCs w:val="22"/>
        </w:rPr>
        <w:t xml:space="preserve">El servicio de login usa JPA porque el proyecto de aula exige Spring MVC, Spring Data y Spring Security. Los demás servicios usan WebFlux con R2DBC. Los dos modelos de acceso a datos no se mezclan dentro de un mismo servicio.</w:t>
      </w:r>
    </w:p>
    <w:p>
      <w:pPr>
        <w:pStyle w:val="Heading3"/>
      </w:pPr>
      <w:r>
        <w:t xml:space="preserve">Comunicación entre servicios</w:t>
      </w:r>
    </w:p>
    <w:p>
      <w:pPr>
        <w:spacing w:after="120" w:before="0" w:line="240" w:lineRule="auto"/>
        <w:jc w:val="both"/>
      </w:pPr>
      <w:r>
        <w:rPr>
          <w:rFonts w:ascii="Arial" w:cs="Arial" w:eastAsia="Arial" w:hAnsi="Arial"/>
          <w:b/>
          <w:bCs/>
          <w:sz w:val="22"/>
          <w:szCs w:val="22"/>
        </w:rPr>
        <w:t xml:space="preserve">Síncrona (WebClient): </w:t>
      </w:r>
      <w:r>
        <w:rPr>
          <w:rFonts w:ascii="Arial" w:cs="Arial" w:eastAsia="Arial" w:hAnsi="Arial"/>
          <w:sz w:val="22"/>
          <w:szCs w:val="22"/>
        </w:rPr>
        <w:t xml:space="preserve">solicitudes-service consulta a tecnicos-service para validar que el técnico esté ACTIVO y tenga la especialidad al ofertar (RN-06); ordenes-service consulta a tecnicos-service la tarifa base y el estado en la contratación directa (RN-09); solicitudes-service solicita a ordenes-service la creación de la orden cuando el cliente acepta una oferta (RN-08).</w:t>
      </w:r>
    </w:p>
    <w:p>
      <w:pPr>
        <w:spacing w:after="120" w:before="0" w:line="240" w:lineRule="auto"/>
        <w:jc w:val="both"/>
      </w:pPr>
      <w:r>
        <w:rPr>
          <w:rFonts w:ascii="Arial" w:cs="Arial" w:eastAsia="Arial" w:hAnsi="Arial"/>
          <w:b/>
          <w:bCs/>
          <w:sz w:val="22"/>
          <w:szCs w:val="22"/>
        </w:rPr>
        <w:t xml:space="preserve">Asíncrona (RabbitMQ): </w:t>
      </w:r>
      <w:r>
        <w:rPr>
          <w:rFonts w:ascii="Arial" w:cs="Arial" w:eastAsia="Arial" w:hAnsi="Arial"/>
          <w:sz w:val="22"/>
          <w:szCs w:val="22"/>
        </w:rPr>
        <w:t xml:space="preserve">los servicios publican eventos en el exchange tecniya.eventos, de tipo topic, y cada consumidor tiene su cola.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300"/>
        <w:gridCol w:w="2672"/>
      </w:tblGrid>
      <w:tr>
        <w:trPr>
          <w:cantSplit/>
          <w:tblHeader/>
        </w:trPr>
        <w:tc>
          <w:tcPr>
            <w:tcW w:type="dxa" w:w="21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Evento</w:t>
            </w:r>
          </w:p>
        </w:tc>
        <w:tc>
          <w:tcPr>
            <w:tcW w:type="dxa" w:w="2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Productor</w:t>
            </w:r>
          </w:p>
        </w:tc>
        <w:tc>
          <w:tcPr>
            <w:tcW w:type="dxa" w:w="2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Routing key</w:t>
            </w:r>
          </w:p>
        </w:tc>
        <w:tc>
          <w:tcPr>
            <w:tcW w:type="dxa" w:w="26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Consumidores</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TecnicoRegistrado</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tecnico.registrado</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auditoría</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TecnicoActivado</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tecnico.activado</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auditoría</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OfertaAceptada</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oferta.aceptada</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auditoría</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OrdenCreada</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orden.creada</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auditoría</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OrdenCambioEstado</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orden.estado.cambiado</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auditoría</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PagoRegistrado</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pago.registrado</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auditoría</w:t>
            </w:r>
          </w:p>
        </w:tc>
      </w:tr>
      <w:tr>
        <w:trPr>
          <w:cantSplit/>
        </w:trPr>
        <w:tc>
          <w:tcPr>
            <w:tcW w:type="dxa" w:w="2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OrdenCalificada</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ordenes-service</w:t>
            </w:r>
          </w:p>
        </w:tc>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orden.calificada</w:t>
            </w:r>
          </w:p>
        </w:tc>
        <w:tc>
          <w:tcPr>
            <w:tcW w:type="dxa" w:w="26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tecnicos-service (actualiza el promedio), auditoría</w:t>
            </w:r>
          </w:p>
        </w:tc>
      </w:tr>
    </w:tbl>
    <w:p>
      <w:pPr>
        <w:spacing w:after="120"/>
      </w:pPr>
    </w:p>
    <w:p>
      <w:pPr>
        <w:spacing w:after="120" w:before="0" w:line="240" w:lineRule="auto"/>
        <w:jc w:val="both"/>
      </w:pPr>
      <w:r>
        <w:rPr>
          <w:rFonts w:ascii="Arial" w:cs="Arial" w:eastAsia="Arial" w:hAnsi="Arial"/>
          <w:sz w:val="22"/>
          <w:szCs w:val="22"/>
        </w:rPr>
        <w:t xml:space="preserve">Colas propuestas: notificaciones.q (enlazada a tecnico.*, oferta.*, orden.* y pago.*), auditoria.q (enlazada a #) y tecnicos.calificaciones.q (enlazada a orden.calificada).</w:t>
      </w:r>
    </w:p>
    <w:p>
      <w:pPr>
        <w:pStyle w:val="Heading3"/>
      </w:pPr>
      <w:r>
        <w:t xml:space="preserve">Seguridad</w:t>
      </w:r>
    </w:p>
    <w:p>
      <w:pPr>
        <w:pStyle w:val="ListParagraph"/>
        <w:numPr>
          <w:ilvl w:val="0"/>
          <w:numId w:val="2"/>
        </w:numPr>
        <w:spacing w:after="60" w:line="240" w:lineRule="auto"/>
        <w:jc w:val="both"/>
      </w:pPr>
      <w:r>
        <w:rPr>
          <w:rFonts w:ascii="Arial" w:cs="Arial" w:eastAsia="Arial" w:hAnsi="Arial"/>
          <w:sz w:val="22"/>
          <w:szCs w:val="22"/>
        </w:rPr>
        <w:t xml:space="preserve">auth-service guarda el correo y la contraseña cifrada con BCryptPasswordEncoder, y devuelve un token JWT al iniciar sesión (propuesta de diseño).</w:t>
      </w:r>
    </w:p>
    <w:p>
      <w:pPr>
        <w:pStyle w:val="ListParagraph"/>
        <w:numPr>
          <w:ilvl w:val="0"/>
          <w:numId w:val="2"/>
        </w:numPr>
        <w:spacing w:after="60" w:line="240" w:lineRule="auto"/>
        <w:jc w:val="both"/>
      </w:pPr>
      <w:r>
        <w:rPr>
          <w:rFonts w:ascii="Arial" w:cs="Arial" w:eastAsia="Arial" w:hAnsi="Arial"/>
          <w:sz w:val="22"/>
          <w:szCs w:val="22"/>
        </w:rPr>
        <w:t xml:space="preserve">El Gateway valida el token y reenvía el identificador y el rol del usuario a los servicios internos; los endpoints públicos (catálogo y perfiles) no exigen token.</w:t>
      </w:r>
    </w:p>
    <w:p>
      <w:pPr>
        <w:pStyle w:val="ListParagraph"/>
        <w:numPr>
          <w:ilvl w:val="0"/>
          <w:numId w:val="2"/>
        </w:numPr>
        <w:spacing w:after="60" w:line="240" w:lineRule="auto"/>
        <w:jc w:val="both"/>
      </w:pPr>
      <w:r>
        <w:rPr>
          <w:rFonts w:ascii="Arial" w:cs="Arial" w:eastAsia="Arial" w:hAnsi="Arial"/>
          <w:sz w:val="22"/>
          <w:szCs w:val="22"/>
        </w:rPr>
        <w:t xml:space="preserve">Los permisos por rol siguen las reglas RN-03, RN-06, RN-11 y RN-15.</w:t>
      </w:r>
    </w:p>
    <w:p>
      <w:pPr>
        <w:pStyle w:val="ListParagraph"/>
        <w:numPr>
          <w:ilvl w:val="0"/>
          <w:numId w:val="2"/>
        </w:numPr>
        <w:spacing w:after="60" w:line="240" w:lineRule="auto"/>
        <w:jc w:val="both"/>
      </w:pPr>
      <w:r>
        <w:rPr>
          <w:rFonts w:ascii="Arial" w:cs="Arial" w:eastAsia="Arial" w:hAnsi="Arial"/>
          <w:sz w:val="22"/>
          <w:szCs w:val="22"/>
        </w:rPr>
        <w:t xml:space="preserve">Las fotos se validan por tipo y tamaño (RN-13) y solo las ve el cliente y el técnico de la orden, además del administrador. Se recogerá el consentimiento para el tratamiento de datos personales al registrarse, en línea con el diagnóstico legal.</w:t>
      </w:r>
    </w:p>
    <w:p>
      <w:pPr>
        <w:pStyle w:val="Heading3"/>
      </w:pPr>
      <w:r>
        <w:t xml:space="preserve">Almacenamiento de fotos</w:t>
      </w:r>
    </w:p>
    <w:p>
      <w:pPr>
        <w:spacing w:after="120" w:before="0" w:line="240" w:lineRule="auto"/>
        <w:jc w:val="both"/>
      </w:pPr>
      <w:r>
        <w:rPr>
          <w:rFonts w:ascii="Arial" w:cs="Arial" w:eastAsia="Arial" w:hAnsi="Arial"/>
          <w:sz w:val="22"/>
          <w:szCs w:val="22"/>
        </w:rPr>
        <w:t xml:space="preserve">Los archivos se guardan en disco bajo la ruta /uploads/ordenes/{idOrden}/{estado}/{uuid}.jpg y la base de datos solo almacena la URL, el estado asociado, el autor, el tamaño y la fecha. ordenes-service entrega las fotos a través de un endpoint protegido.</w:t>
      </w:r>
    </w:p>
    <w:p>
      <w:pPr>
        <w:pStyle w:val="Heading2"/>
      </w:pPr>
      <w:r>
        <w:t xml:space="preserve">5.6.7. Modelo de datos</w:t>
      </w:r>
    </w:p>
    <w:p>
      <w:pPr>
        <w:spacing w:after="120" w:before="0" w:line="240" w:lineRule="auto"/>
        <w:jc w:val="both"/>
      </w:pPr>
      <w:r>
        <w:rPr>
          <w:rFonts w:ascii="Arial" w:cs="Arial" w:eastAsia="Arial" w:hAnsi="Arial"/>
          <w:sz w:val="22"/>
          <w:szCs w:val="22"/>
        </w:rPr>
        <w:t xml:space="preserve">Cada servicio es dueño de sus datos. Las referencias entre servicios (por ejemplo, cliente_id o tecnico_id) son identificadores sin llave foránea, porque viven en bases distintas. Las llaves primarias son autoincrementales salvo indicación.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cantSplit/>
          <w:tblHeader/>
        </w:trPr>
        <w:tc>
          <w:tcPr>
            <w:tcW w:type="dxa" w:w="26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Servicio</w:t>
            </w:r>
          </w:p>
        </w:tc>
        <w:tc>
          <w:tcPr>
            <w:tcW w:type="dxa" w:w="64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Es dueño de</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auth-service</w:t>
            </w:r>
          </w:p>
        </w:tc>
        <w:tc>
          <w:tcPr>
            <w:tcW w:type="dxa" w:w="6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Usuarios, credenciales y roles</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tecnicos-service</w:t>
            </w:r>
          </w:p>
        </w:tc>
        <w:tc>
          <w:tcPr>
            <w:tcW w:type="dxa" w:w="6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Perfiles, especialidades, zona, tarifa base y calificación promedio</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solicitudes-service</w:t>
            </w:r>
          </w:p>
        </w:tc>
        <w:tc>
          <w:tcPr>
            <w:tcW w:type="dxa" w:w="6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 y ofertas</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ordenes-service</w:t>
            </w:r>
          </w:p>
        </w:tc>
        <w:tc>
          <w:tcPr>
            <w:tcW w:type="dxa" w:w="6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Órdenes, historial de estados, fotos (URLs), pagos y calificaciones</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notificaciones-service</w:t>
            </w:r>
          </w:p>
        </w:tc>
        <w:tc>
          <w:tcPr>
            <w:tcW w:type="dxa" w:w="6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simuladas</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auditoria-service</w:t>
            </w:r>
          </w:p>
        </w:tc>
        <w:tc>
          <w:tcPr>
            <w:tcW w:type="dxa" w:w="64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Eventos de auditoría</w:t>
            </w:r>
          </w:p>
        </w:tc>
      </w:tr>
    </w:tbl>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4272"/>
        <w:gridCol w:w="2800"/>
      </w:tblGrid>
      <w:tr>
        <w:trPr>
          <w:cantSplit/>
          <w:tblHeader/>
        </w:trPr>
        <w:tc>
          <w:tcPr>
            <w:tcW w:type="dxa" w:w="2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Tabla</w:t>
            </w:r>
          </w:p>
        </w:tc>
        <w:tc>
          <w:tcPr>
            <w:tcW w:type="dxa" w:w="42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Columnas principales</w:t>
            </w:r>
          </w:p>
        </w:tc>
        <w:tc>
          <w:tcPr>
            <w:tcW w:type="dxa" w:w="28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Restricciones</w:t>
            </w:r>
          </w:p>
        </w:tc>
      </w:tr>
      <w:tr>
        <w:trPr>
          <w:cantSplit/>
        </w:trPr>
        <w:tc>
          <w:tcPr>
            <w:tcW w:type="dxa" w:w="20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auth_db</w:t>
            </w:r>
          </w:p>
        </w:tc>
        <w:tc>
          <w:tcPr>
            <w:tcW w:type="dxa" w:w="4272"/>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c>
          <w:tcPr>
            <w:tcW w:type="dxa" w:w="28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usuario</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email, password_hash, rol, activo, creado_en</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email único; rol: CLIENTE, TECNICO o ADMIN; password_hash con BCrypt</w:t>
            </w:r>
          </w:p>
        </w:tc>
      </w:tr>
      <w:tr>
        <w:trPr>
          <w:cantSplit/>
        </w:trPr>
        <w:tc>
          <w:tcPr>
            <w:tcW w:type="dxa" w:w="20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tecnicos_db</w:t>
            </w:r>
          </w:p>
        </w:tc>
        <w:tc>
          <w:tcPr>
            <w:tcW w:type="dxa" w:w="4272"/>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c>
          <w:tcPr>
            <w:tcW w:type="dxa" w:w="28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usuario_id, nombres, apellidos, documento, telefono, zona, tarifa_base, estado, calif_promedio, calif_cantidad, creado_en</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documento único; tarifa_base &gt; 0; estado: PENDIENTE_VALIDACION, ACTIVO o SUSPENDIDO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tecnico_especialidad</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tecnico_id, tipo_equipo</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llave compuesta; tipo_equipo: PC, CELULAR, TV u OTRO</w:t>
            </w:r>
          </w:p>
        </w:tc>
      </w:tr>
      <w:tr>
        <w:trPr>
          <w:cantSplit/>
        </w:trPr>
        <w:tc>
          <w:tcPr>
            <w:tcW w:type="dxa" w:w="20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solicitudes_db</w:t>
            </w:r>
          </w:p>
        </w:tc>
        <w:tc>
          <w:tcPr>
            <w:tcW w:type="dxa" w:w="4272"/>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c>
          <w:tcPr>
            <w:tcW w:type="dxa" w:w="28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cliente_id, tipo_equipo, marca_modelo, descripcion_falla, presupuesto_ref, estado, creado_en</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presupuesto_ref &gt; 0; estado según 5.6.3</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oferta</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solicitud_id, tecnico_id, precio, plazo_dias, mensaje, estado, creado_en</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única por (solicitud_id, tecnico_id); precio &gt; 0; llave foránea a solicitud</w:t>
            </w:r>
          </w:p>
        </w:tc>
      </w:tr>
      <w:tr>
        <w:trPr>
          <w:cantSplit/>
        </w:trPr>
        <w:tc>
          <w:tcPr>
            <w:tcW w:type="dxa" w:w="20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ordenes_db</w:t>
            </w:r>
          </w:p>
        </w:tc>
        <w:tc>
          <w:tcPr>
            <w:tcW w:type="dxa" w:w="4272"/>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c>
          <w:tcPr>
            <w:tcW w:type="dxa" w:w="28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codigo, cliente_id, tecnico_id, solicitud_id, oferta_id, origen, tipo_equipo, descripcion, precio_acordado, estado, creado_en, actualizado_en</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origen: OFERTA o DIRECTA; solicitud_id y oferta_id solo para origen OFERTA; oferta_id única</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orden_historial</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orden_id, estado_anterior, estado_nuevo, usuario_id, fecha</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llave foránea a orden; solo inserción</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orden_foto</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orden_id, estado, url, nombre_archivo, tamano_bytes, subido_por, fecha</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llave foránea a orden; solo inserción; JPG o PNG</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pago</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orden_id, monto, medio, nro_operacion, estado, fecha</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nro_operacion único; monto &gt; 0 y ≤ precio_acordado</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calificacion</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orden_id, puntaje, comentario, fecha</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orden_id único; puntaje de 1 a 5</w:t>
            </w:r>
          </w:p>
        </w:tc>
      </w:tr>
      <w:tr>
        <w:trPr>
          <w:cantSplit/>
        </w:trPr>
        <w:tc>
          <w:tcPr>
            <w:tcW w:type="dxa" w:w="20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notificaciones_db</w:t>
            </w:r>
          </w:p>
        </w:tc>
        <w:tc>
          <w:tcPr>
            <w:tcW w:type="dxa" w:w="4272"/>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c>
          <w:tcPr>
            <w:tcW w:type="dxa" w:w="28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destinatario_id, tipo, mensaje, leida, fecha</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w:t>
            </w:r>
          </w:p>
        </w:tc>
      </w:tr>
      <w:tr>
        <w:trPr>
          <w:cantSplit/>
        </w:trPr>
        <w:tc>
          <w:tcPr>
            <w:tcW w:type="dxa" w:w="20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auditoria_db</w:t>
            </w:r>
          </w:p>
        </w:tc>
        <w:tc>
          <w:tcPr>
            <w:tcW w:type="dxa" w:w="4272"/>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c>
          <w:tcPr>
            <w:tcW w:type="dxa" w:w="2800"/>
            <w:tcBorders>
              <w:top w:val="single" w:color="9AA5B1" w:sz="4"/>
              <w:left w:val="single" w:color="9AA5B1" w:sz="4"/>
              <w:bottom w:val="single" w:color="9AA5B1" w:sz="4"/>
              <w:right w:val="single" w:color="9AA5B1" w:sz="4"/>
            </w:tcBorders>
            <w:shd w:fill="F2F2F2" w:color="auto" w:val="clear"/>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auditoria_evento</w:t>
            </w:r>
          </w:p>
        </w:tc>
        <w:tc>
          <w:tcPr>
            <w:tcW w:type="dxa" w:w="42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id, evento, orden_id, payload (JSON), fecha</w:t>
            </w:r>
          </w:p>
        </w:tc>
        <w:tc>
          <w:tcPr>
            <w:tcW w:type="dxa" w:w="2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solo inserción</w:t>
            </w:r>
          </w:p>
        </w:tc>
      </w:tr>
    </w:tbl>
    <w:p>
      <w:pPr>
        <w:spacing w:after="120"/>
      </w:pPr>
    </w:p>
    <w:p>
      <w:pPr>
        <w:pStyle w:val="Heading2"/>
      </w:pPr>
      <w:r>
        <w:t xml:space="preserve">5.6.8. Servicios REST principales</w:t>
      </w:r>
    </w:p>
    <w:p>
      <w:pPr>
        <w:keepNext/>
        <w:spacing w:after="120" w:before="0" w:line="240" w:lineRule="auto"/>
        <w:jc w:val="both"/>
      </w:pPr>
      <w:r>
        <w:rPr>
          <w:rFonts w:ascii="Arial" w:cs="Arial" w:eastAsia="Arial" w:hAnsi="Arial"/>
          <w:sz w:val="22"/>
          <w:szCs w:val="22"/>
        </w:rPr>
        <w:t xml:space="preserve">Todas las rutas pasan por el Gateway. La columna Rol indica quién puede invocarlas.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50"/>
        <w:gridCol w:w="2450"/>
        <w:gridCol w:w="1400"/>
        <w:gridCol w:w="1450"/>
        <w:gridCol w:w="2722"/>
      </w:tblGrid>
      <w:tr>
        <w:trPr>
          <w:cantSplit/>
          <w:tblHeader/>
        </w:trPr>
        <w:tc>
          <w:tcPr>
            <w:tcW w:type="dxa" w:w="105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Método</w:t>
            </w:r>
          </w:p>
        </w:tc>
        <w:tc>
          <w:tcPr>
            <w:tcW w:type="dxa" w:w="245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Ruta</w:t>
            </w:r>
          </w:p>
        </w:tc>
        <w:tc>
          <w:tcPr>
            <w:tcW w:type="dxa" w:w="14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Servicio</w:t>
            </w:r>
          </w:p>
        </w:tc>
        <w:tc>
          <w:tcPr>
            <w:tcW w:type="dxa" w:w="145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Rol</w:t>
            </w:r>
          </w:p>
        </w:tc>
        <w:tc>
          <w:tcPr>
            <w:tcW w:type="dxa" w:w="272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Descripción</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/api/auth/registro</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Público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Registra un usuario cliente o técnico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/api/auth/login</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Público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Valida credenciales y devuelve el token</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/api/auth/usuarios/{id}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Consulta un usuario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/api/auth/usuarios/{id}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Propio, 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Actualiza datos o contraseña</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DELETE</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/api/auth/usuarios/{id}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Desactiva un usuario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/api/tecnicos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Público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Catálogo con filtros de tipo, zona y calificación</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/api/tecnicos/{id}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Público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Perfil del técnico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/api/tecnicos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Crea el perfil (queda PENDIENTE_VALIDACION)</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/api/tecnicos/{id}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 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Actualiza el perfil</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/api/tecnicos/{id}/estado</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Activa o suspende al técnico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DELETE</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/api/tecnicos/{id}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Da de baja al técnico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/api/solicitudes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Publica una solicitud</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/api/solicitudes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 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 las suyas; técnico: abiertas de su especialidad</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/api/solicitudes/{id}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Edita mientras esté ABIERTA</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DELETE</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/api/solicitudes/{id}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Cancela la solicitud</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/api/solicitudes/{id}/ofertas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Envía una oferta</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/api/solicitudes/{id}/ofertas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Lista las ofertas recibidas</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/api/ofertas/{id}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Modifica su oferta</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DELETE</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/api/ofertas/{id}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Retira su oferta</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/api/ofertas/{id}/aceptar</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solicitudes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Acepta la oferta y crea la orden</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/api/ordenes/directa</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Contrata directamente a un técnico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 /api/ordenes/{id}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Participantes, 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Lista y detalle con línea de tiempo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/api/ordenes/{id}/fotos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Sube una foto (multipart) para un estado destino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/api/ordenes/{id}/estado</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Cambia el estado si hay foto y la transición es válida</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PUT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/api/ordenes/{id}/cancelar</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 TECNICO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Cancela según RN-11</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/api/ordenes/{id}/pago</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Registra el pago simulado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POST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/api/ordenes/{id}/calificacion</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ordenes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CLIENTE</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Califica al técnico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/api/notificaciones</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Autenticado</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Notificaciones del usuario</w:t>
            </w:r>
          </w:p>
        </w:tc>
      </w:tr>
      <w:tr>
        <w:trPr>
          <w:cantSplit/>
        </w:trPr>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GET</w:t>
            </w:r>
          </w:p>
        </w:tc>
        <w:tc>
          <w:tcPr>
            <w:tcW w:type="dxa" w:w="2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/api/auditoria/ordenes/{id}</w:t>
            </w:r>
          </w:p>
        </w:tc>
        <w:tc>
          <w:tcPr>
            <w:tcW w:type="dxa" w:w="1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auditoria</w:t>
            </w:r>
          </w:p>
        </w:tc>
        <w:tc>
          <w:tcPr>
            <w:tcW w:type="dxa" w:w="14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ADMIN</w:t>
            </w:r>
          </w:p>
        </w:tc>
        <w:tc>
          <w:tcPr>
            <w:tcW w:type="dxa" w:w="272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Eventos de una orden</w:t>
            </w:r>
          </w:p>
        </w:tc>
      </w:tr>
    </w:tbl>
    <w:p>
      <w:pPr>
        <w:spacing w:after="120"/>
      </w:pPr>
    </w:p>
    <w:p>
      <w:pPr>
        <w:pStyle w:val="Heading2"/>
      </w:pPr>
      <w:r>
        <w:t xml:space="preserve">5.6.9. Alineación con los requisitos del curso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00"/>
        <w:gridCol w:w="4572"/>
      </w:tblGrid>
      <w:tr>
        <w:trPr>
          <w:cantSplit/>
          <w:tblHeader/>
        </w:trPr>
        <w:tc>
          <w:tcPr>
            <w:tcW w:type="dxa" w:w="45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Requisito</w:t>
            </w:r>
          </w:p>
        </w:tc>
        <w:tc>
          <w:tcPr>
            <w:tcW w:type="dxa" w:w="4572"/>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vAlign w:val="center"/>
          </w:tcPr>
          <w:p>
            <w:pPr>
              <w:spacing w:after="0" w:line="240" w:lineRule="auto"/>
              <w:jc w:val="left"/>
            </w:pPr>
            <w:r>
              <w:rPr>
                <w:rFonts w:ascii="Arial" w:cs="Arial" w:eastAsia="Arial" w:hAnsi="Arial"/>
                <w:b/>
                <w:bCs/>
                <w:sz w:val="19"/>
                <w:szCs w:val="19"/>
              </w:rPr>
              <w:t xml:space="preserve">Dónde se cumple</w:t>
            </w:r>
          </w:p>
        </w:tc>
      </w:tr>
      <w:tr>
        <w:trPr>
          <w:cantSplit/>
        </w:trPr>
        <w:tc>
          <w:tcPr>
            <w:tcW w:type="dxa" w:w="4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Servicio web REST de login con usuario y contraseña en base de datos y contraseña cifrada con BCryptPasswordEncoder</w:t>
            </w:r>
          </w:p>
        </w:tc>
        <w:tc>
          <w:tcPr>
            <w:tcW w:type="dxa" w:w="45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auth-service (Spring MVC, JPA, Spring Security), tabla usuario</w:t>
            </w:r>
          </w:p>
        </w:tc>
      </w:tr>
      <w:tr>
        <w:trPr>
          <w:cantSplit/>
        </w:trPr>
        <w:tc>
          <w:tcPr>
            <w:tcW w:type="dxa" w:w="4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Aplicación web que consume servicios REST con GET, POST, PUT y DELETE desde Angular, persistiendo en base de datos</w:t>
            </w:r>
          </w:p>
        </w:tc>
        <w:tc>
          <w:tcPr>
            <w:tcW w:type="dxa" w:w="45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Frontend Angular sobre el Gateway; los cuatro métodos existen en tecnicos y solicitudes</w:t>
            </w:r>
          </w:p>
        </w:tc>
      </w:tr>
      <w:tr>
        <w:trPr>
          <w:cantSplit/>
        </w:trPr>
        <w:tc>
          <w:tcPr>
            <w:tcW w:type="dxa" w:w="4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Pruebas de la capa de acceso a datos: insertar, actualizar, eliminar y listar</w:t>
            </w:r>
          </w:p>
        </w:tc>
        <w:tc>
          <w:tcPr>
            <w:tcW w:type="dxa" w:w="45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Pruebas sobre los repositorios de usuario (auth-service) y del resto de servicios</w:t>
            </w:r>
          </w:p>
        </w:tc>
      </w:tr>
      <w:tr>
        <w:trPr>
          <w:cantSplit/>
        </w:trPr>
        <w:tc>
          <w:tcPr>
            <w:tcW w:type="dxa" w:w="4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Buenas prácticas y patrones de diseño</w:t>
            </w:r>
          </w:p>
        </w:tc>
        <w:tc>
          <w:tcPr>
            <w:tcW w:type="dxa" w:w="45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Arquitectura en capas, DTOs, validaciones, manejo central de excepciones y eventos de dominio</w:t>
            </w:r>
          </w:p>
        </w:tc>
      </w:tr>
      <w:tr>
        <w:trPr>
          <w:cantSplit/>
        </w:trPr>
        <w:tc>
          <w:tcPr>
            <w:tcW w:type="dxa" w:w="4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Integración continua</w:t>
            </w:r>
          </w:p>
        </w:tc>
        <w:tc>
          <w:tcPr>
            <w:tcW w:type="dxa" w:w="4572"/>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0" w:line="240" w:lineRule="auto"/>
              <w:jc w:val="left"/>
            </w:pPr>
            <w:r>
              <w:rPr>
                <w:rFonts w:ascii="Arial" w:cs="Arial" w:eastAsia="Arial" w:hAnsi="Arial"/>
                <w:b w:val="false"/>
                <w:bCs w:val="false"/>
                <w:sz w:val="19"/>
                <w:szCs w:val="19"/>
              </w:rPr>
              <w:t xml:space="preserve">GitHub Actions con ./mvnw verify</w:t>
            </w:r>
          </w:p>
        </w:tc>
      </w:tr>
    </w:tbl>
    <w:p>
      <w:pPr>
        <w:spacing w:after="120"/>
      </w:pPr>
    </w:p>
    <w:p>
      <w:pPr>
        <w:pStyle w:val="Heading1"/>
      </w:pPr>
      <w:r>
        <w:t xml:space="preserve">5.11. Bibliografía</w:t>
      </w:r>
    </w:p>
    <w:p>
      <w:pPr>
        <w:pStyle w:val="ListParagraph"/>
        <w:numPr>
          <w:ilvl w:val="0"/>
          <w:numId w:val="3"/>
        </w:numPr>
        <w:spacing w:after="80" w:line="240" w:lineRule="auto"/>
        <w:jc w:val="left"/>
      </w:pPr>
      <w:r>
        <w:rPr>
          <w:rFonts w:ascii="Arial" w:cs="Arial" w:eastAsia="Arial" w:hAnsi="Arial"/>
          <w:sz w:val="22"/>
          <w:szCs w:val="22"/>
        </w:rPr>
        <w:t xml:space="preserve">El Peruano (28/09/2026). El comercio electrónico consolida su dinamismo. https://elperuano.pe/notas-suplemento/articulo/134-el-comercio-electronico-consolida-su-dinamismo</w:t>
      </w:r>
    </w:p>
    <w:p>
      <w:pPr>
        <w:pStyle w:val="ListParagraph"/>
        <w:numPr>
          <w:ilvl w:val="0"/>
          <w:numId w:val="3"/>
        </w:numPr>
        <w:spacing w:after="80" w:line="240" w:lineRule="auto"/>
        <w:jc w:val="left"/>
      </w:pPr>
      <w:r>
        <w:rPr>
          <w:rFonts w:ascii="Arial" w:cs="Arial" w:eastAsia="Arial" w:hAnsi="Arial"/>
          <w:sz w:val="22"/>
          <w:szCs w:val="22"/>
        </w:rPr>
        <w:t xml:space="preserve">El Peruano. Minam impulsa el reciclaje de los RAEE. https://www.elperuano.pe/noticia/225353-minam-impulsa-el-reciclaje-de-los-raee</w:t>
      </w:r>
    </w:p>
    <w:p>
      <w:pPr>
        <w:pStyle w:val="ListParagraph"/>
        <w:numPr>
          <w:ilvl w:val="0"/>
          <w:numId w:val="3"/>
        </w:numPr>
        <w:spacing w:after="80" w:line="240" w:lineRule="auto"/>
        <w:jc w:val="left"/>
      </w:pPr>
      <w:r>
        <w:rPr>
          <w:rFonts w:ascii="Arial" w:cs="Arial" w:eastAsia="Arial" w:hAnsi="Arial"/>
          <w:sz w:val="22"/>
          <w:szCs w:val="22"/>
        </w:rPr>
        <w:t xml:space="preserve">El Peruano. Protección de datos personales: Ejecutivo aprueba nuevo reglamento de la Ley N° 29733. https://elperuano.pe/noticia/258993-proteccion-de-datos-personales-ejecutivo-aprueba-nuevo-reglamento-de-la-ley-n-29733</w:t>
      </w:r>
    </w:p>
    <w:p>
      <w:pPr>
        <w:pStyle w:val="ListParagraph"/>
        <w:numPr>
          <w:ilvl w:val="0"/>
          <w:numId w:val="3"/>
        </w:numPr>
        <w:spacing w:after="80" w:line="240" w:lineRule="auto"/>
        <w:jc w:val="left"/>
      </w:pPr>
      <w:r>
        <w:rPr>
          <w:rFonts w:ascii="Arial" w:cs="Arial" w:eastAsia="Arial" w:hAnsi="Arial"/>
          <w:sz w:val="22"/>
          <w:szCs w:val="22"/>
        </w:rPr>
        <w:t xml:space="preserve">CMS. Nuevo Reglamento de Protección de Datos Personales. https://cms.law/en/per/publication/nuevo-reglamento-de-proteccion-de-datos-personales</w:t>
      </w:r>
    </w:p>
    <w:p>
      <w:pPr>
        <w:pStyle w:val="ListParagraph"/>
        <w:numPr>
          <w:ilvl w:val="0"/>
          <w:numId w:val="3"/>
        </w:numPr>
        <w:spacing w:after="80" w:line="240" w:lineRule="auto"/>
        <w:jc w:val="left"/>
      </w:pPr>
      <w:r>
        <w:rPr>
          <w:rFonts w:ascii="Arial" w:cs="Arial" w:eastAsia="Arial" w:hAnsi="Arial"/>
          <w:sz w:val="22"/>
          <w:szCs w:val="22"/>
        </w:rPr>
        <w:t xml:space="preserve">Expreso. Empleo informal ya alcanza 69.8% de los trabajadores: mercado laboral mantiene alta tasa. https://www.expreso.com.pe/economia/empleo-informal-ya-alcanza-69-8-de-los-trabajadores-mercado-laboral-mantiene-alta-tasa-noticia/1288287/</w:t>
      </w:r>
    </w:p>
    <w:p>
      <w:pPr>
        <w:pStyle w:val="ListParagraph"/>
        <w:numPr>
          <w:ilvl w:val="0"/>
          <w:numId w:val="3"/>
        </w:numPr>
        <w:spacing w:after="80" w:line="240" w:lineRule="auto"/>
        <w:jc w:val="left"/>
      </w:pPr>
      <w:r>
        <w:rPr>
          <w:rFonts w:ascii="Arial" w:cs="Arial" w:eastAsia="Arial" w:hAnsi="Arial"/>
          <w:sz w:val="22"/>
          <w:szCs w:val="22"/>
        </w:rPr>
        <w:t xml:space="preserve">INEI (26/06/2026). El 62,7% de los hogares del país tuvo conexión a Internet entre los meses de enero y marzo de 2026. https://www.gob.pe/institucion/inei/noticias/1412359-el-62-7-de-los-hogares-del-pais-tuvo-conexion-a-internet-entre-los-meses-de-enero-y-marzo-de-2026</w:t>
      </w:r>
    </w:p>
    <w:p>
      <w:pPr>
        <w:pStyle w:val="ListParagraph"/>
        <w:numPr>
          <w:ilvl w:val="0"/>
          <w:numId w:val="3"/>
        </w:numPr>
        <w:spacing w:after="80" w:line="240" w:lineRule="auto"/>
        <w:jc w:val="left"/>
      </w:pPr>
      <w:r>
        <w:rPr>
          <w:rFonts w:ascii="Arial" w:cs="Arial" w:eastAsia="Arial" w:hAnsi="Arial"/>
          <w:sz w:val="22"/>
          <w:szCs w:val="22"/>
        </w:rPr>
        <w:t xml:space="preserve">La Cámara. Indecopi: Conoce las modificaciones al Reglamento del Libro de Reclamaciones. https://lacamara.pe/?p=70719</w:t>
      </w:r>
    </w:p>
    <w:p>
      <w:pPr>
        <w:pStyle w:val="ListParagraph"/>
        <w:numPr>
          <w:ilvl w:val="0"/>
          <w:numId w:val="3"/>
        </w:numPr>
        <w:spacing w:after="80" w:line="240" w:lineRule="auto"/>
        <w:jc w:val="left"/>
      </w:pPr>
      <w:r>
        <w:rPr>
          <w:rFonts w:ascii="Arial" w:cs="Arial" w:eastAsia="Arial" w:hAnsi="Arial"/>
          <w:sz w:val="22"/>
          <w:szCs w:val="22"/>
        </w:rPr>
        <w:t xml:space="preserve">La Ley. Derechos del consumidor en Perú 2026. https://laley.pe/derechos-del-consumidor-en-peru-2026/</w:t>
      </w:r>
    </w:p>
    <w:p>
      <w:pPr>
        <w:pStyle w:val="ListParagraph"/>
        <w:numPr>
          <w:ilvl w:val="0"/>
          <w:numId w:val="3"/>
        </w:numPr>
        <w:spacing w:after="80" w:line="240" w:lineRule="auto"/>
        <w:jc w:val="left"/>
      </w:pPr>
      <w:r>
        <w:rPr>
          <w:rFonts w:ascii="Arial" w:cs="Arial" w:eastAsia="Arial" w:hAnsi="Arial"/>
          <w:sz w:val="22"/>
          <w:szCs w:val="22"/>
        </w:rPr>
        <w:t xml:space="preserve">LexLatin. Perú reforma su régimen de protección de datos personales: qué cambia para las empresas en 2026. https://lexlatin.com/reportajes/proteccion-datos-personales-peru-empresas-oficial-cumplimiento-reforma</w:t>
      </w:r>
    </w:p>
    <w:p>
      <w:pPr>
        <w:pStyle w:val="ListParagraph"/>
        <w:numPr>
          <w:ilvl w:val="0"/>
          <w:numId w:val="3"/>
        </w:numPr>
        <w:spacing w:after="80" w:line="240" w:lineRule="auto"/>
        <w:jc w:val="left"/>
      </w:pPr>
      <w:r>
        <w:rPr>
          <w:rFonts w:ascii="Arial" w:cs="Arial" w:eastAsia="Arial" w:hAnsi="Arial"/>
          <w:sz w:val="22"/>
          <w:szCs w:val="22"/>
        </w:rPr>
        <w:t xml:space="preserve">Mercado Negro (11/08/2026). Perú mantiene una de las tasas de informalidad laboral más altas de América Latina, según la OIT. https://www.mercadonegro.pe/actualidad/peru-informalidad-laboral-oit/</w:t>
      </w:r>
    </w:p>
    <w:p>
      <w:pPr>
        <w:pStyle w:val="ListParagraph"/>
        <w:numPr>
          <w:ilvl w:val="0"/>
          <w:numId w:val="3"/>
        </w:numPr>
        <w:spacing w:after="80" w:line="240" w:lineRule="auto"/>
        <w:jc w:val="left"/>
      </w:pPr>
      <w:r>
        <w:rPr>
          <w:rFonts w:ascii="Arial" w:cs="Arial" w:eastAsia="Arial" w:hAnsi="Arial"/>
          <w:sz w:val="22"/>
          <w:szCs w:val="22"/>
        </w:rPr>
        <w:t xml:space="preserve">ProActivo. MINAM aprobó el Régimen Especial de Gestión y Manejo de Residuos de Aparatos Eléctricos y Electrónicos. https://proactivo.com.pe/?p=122556</w:t>
      </w:r>
    </w:p>
    <w:p>
      <w:pPr>
        <w:pStyle w:val="ListParagraph"/>
        <w:numPr>
          <w:ilvl w:val="0"/>
          <w:numId w:val="3"/>
        </w:numPr>
        <w:spacing w:after="80" w:line="240" w:lineRule="auto"/>
        <w:jc w:val="left"/>
      </w:pPr>
      <w:r>
        <w:rPr>
          <w:rFonts w:ascii="Arial" w:cs="Arial" w:eastAsia="Arial" w:hAnsi="Arial"/>
          <w:sz w:val="22"/>
          <w:szCs w:val="22"/>
        </w:rPr>
        <w:t xml:space="preserve">Telesemana (19/05/2026). El 96% de los hogares de Perú tiene acceso a Internet y mejora la percepción general hacia los servicios de telecomunicaciones. https://www.telesemana.com/blog/2026/05/19/el-96-de-los-hogares-de-peru-tiene-acceso-a-internet-y-mejora-la-percepcion-general-hacia-los-servicios-de-telecomunicaciones/</w:t>
      </w:r>
    </w:p>
    <w:sectPr>
      <w:footerReference w:type="default" r:id="rId7"/>
      <w:pgSz w:w="11906" w:h="16838" w:orient="portrait"/>
      <w:pgMar w:top="1701" w:right="1417" w:bottom="1701"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Arial" w:cs="Arial" w:eastAsia="Arial" w:hAnsi="Arial"/>
          <w:sz w:val="17"/>
          <w:szCs w:val="17"/>
        </w:rPr>
        <w:t xml:space="preserve">Expreso, «Empleo informal ya alcanza 69.8% de los trabajadores», con datos del INEI (EPEN, abril 2025 a marzo 2026). Disponible en: https://www.expreso.com.pe/economia/empleo-informal-ya-alcanza-69-8-de-los-trabajadores-mercado-laboral-mantiene-alta-tasa-noticia/1288287/ (consultado el 16/10/2026).</w:t>
      </w:r>
    </w:p>
  </w:footnote>
  <w:footnote w:id="2">
    <w:p>
      <w:pPr>
        <w:spacing w:after="0"/>
      </w:pPr>
      <w:r>
        <w:rPr>
          <w:rStyle w:val="FootnoteReference"/>
        </w:rPr>
        <w:footnoteRef/>
      </w:r>
      <w:r>
        <w:rPr>
          <w:rFonts w:ascii="Arial" w:cs="Arial" w:eastAsia="Arial" w:hAnsi="Arial"/>
          <w:sz w:val="17"/>
          <w:szCs w:val="17"/>
        </w:rPr>
        <w:t xml:space="preserve">El Peruano, «El comercio electrónico consolida su dinamismo» (datos de Capece, primer semestre de 2026), 28/09/2026. Disponible en: https://elperuano.pe/notas-suplemento/articulo/134-el-comercio-electronico-consolida-su-dinamismo (consultado el 16/10/2026).</w:t>
      </w:r>
    </w:p>
  </w:footnote>
  <w:footnote w:id="3">
    <w:p>
      <w:pPr>
        <w:spacing w:after="0"/>
      </w:pPr>
      <w:r>
        <w:rPr>
          <w:rStyle w:val="FootnoteReference"/>
        </w:rPr>
        <w:footnoteRef/>
      </w:r>
      <w:r>
        <w:rPr>
          <w:rFonts w:ascii="Arial" w:cs="Arial" w:eastAsia="Arial" w:hAnsi="Arial"/>
          <w:sz w:val="17"/>
          <w:szCs w:val="17"/>
        </w:rPr>
        <w:t xml:space="preserve">CMS, «Nuevo Reglamento de Protección de Datos Personales» (D.S. 016-2024-JUS). Disponible en: https://cms.law/en/per/publication/nuevo-reglamento-de-proteccion-de-datos-personales (consultado el 16/10/2026).</w:t>
      </w:r>
    </w:p>
  </w:footnote>
  <w:footnote w:id="4">
    <w:p>
      <w:pPr>
        <w:spacing w:after="0"/>
      </w:pPr>
      <w:r>
        <w:rPr>
          <w:rStyle w:val="FootnoteReference"/>
        </w:rPr>
        <w:footnoteRef/>
      </w:r>
      <w:r>
        <w:rPr>
          <w:rFonts w:ascii="Arial" w:cs="Arial" w:eastAsia="Arial" w:hAnsi="Arial"/>
          <w:sz w:val="17"/>
          <w:szCs w:val="17"/>
        </w:rPr>
        <w:t xml:space="preserve">El Peruano, «Protección de datos personales: Ejecutivo aprueba nuevo reglamento de la Ley N° 29733». Disponible en: https://elperuano.pe/noticia/258993-proteccion-de-datos-personales-ejecutivo-aprueba-nuevo-reglamento-de-la-ley-n-29733 (consultado el 16/10/2026).</w:t>
      </w:r>
    </w:p>
  </w:footnote>
  <w:footnote w:id="5">
    <w:p>
      <w:pPr>
        <w:spacing w:after="0"/>
      </w:pPr>
      <w:r>
        <w:rPr>
          <w:rStyle w:val="FootnoteReference"/>
        </w:rPr>
        <w:footnoteRef/>
      </w:r>
      <w:r>
        <w:rPr>
          <w:rFonts w:ascii="Arial" w:cs="Arial" w:eastAsia="Arial" w:hAnsi="Arial"/>
          <w:sz w:val="17"/>
          <w:szCs w:val="17"/>
        </w:rPr>
        <w:t xml:space="preserve">LexLatin, «Perú reforma su régimen de protección de datos personales: qué cambia para las empresas en 2026». Disponible en: https://lexlatin.com/reportajes/proteccion-datos-personales-peru-empresas-oficial-cumplimiento-reforma (consultado el 16/10/2026).</w:t>
      </w:r>
    </w:p>
  </w:footnote>
  <w:footnote w:id="6">
    <w:p>
      <w:pPr>
        <w:spacing w:after="0"/>
      </w:pPr>
      <w:r>
        <w:rPr>
          <w:rStyle w:val="FootnoteReference"/>
        </w:rPr>
        <w:footnoteRef/>
      </w:r>
      <w:r>
        <w:rPr>
          <w:rFonts w:ascii="Arial" w:cs="Arial" w:eastAsia="Arial" w:hAnsi="Arial"/>
          <w:sz w:val="17"/>
          <w:szCs w:val="17"/>
        </w:rPr>
        <w:t xml:space="preserve">La Ley, «Derechos del consumidor en Perú 2026» (Ley 29571, Código de Protección y Defensa del Consumidor). Disponible en: https://laley.pe/derechos-del-consumidor-en-peru-2026/ (consultado el 16/10/2026).</w:t>
      </w:r>
    </w:p>
  </w:footnote>
  <w:footnote w:id="7">
    <w:p>
      <w:pPr>
        <w:spacing w:after="0"/>
      </w:pPr>
      <w:r>
        <w:rPr>
          <w:rStyle w:val="FootnoteReference"/>
        </w:rPr>
        <w:footnoteRef/>
      </w:r>
      <w:r>
        <w:rPr>
          <w:rFonts w:ascii="Arial" w:cs="Arial" w:eastAsia="Arial" w:hAnsi="Arial"/>
          <w:sz w:val="17"/>
          <w:szCs w:val="17"/>
        </w:rPr>
        <w:t xml:space="preserve">La Cámara, «Indecopi: Conoce las modificaciones al Reglamento del Libro de Reclamaciones» (D.S. 101-2022-PCM). Disponible en: https://lacamara.pe/?p=70719 (consultado el 16/10/2026).</w:t>
      </w:r>
    </w:p>
  </w:footnote>
  <w:footnote w:id="8">
    <w:p>
      <w:pPr>
        <w:spacing w:after="0"/>
      </w:pPr>
      <w:r>
        <w:rPr>
          <w:rStyle w:val="FootnoteReference"/>
        </w:rPr>
        <w:footnoteRef/>
      </w:r>
      <w:r>
        <w:rPr>
          <w:rFonts w:ascii="Arial" w:cs="Arial" w:eastAsia="Arial" w:hAnsi="Arial"/>
          <w:sz w:val="17"/>
          <w:szCs w:val="17"/>
        </w:rPr>
        <w:t xml:space="preserve">Mercado Negro, «Perú mantiene una de las tasas de informalidad laboral más altas de América Latina, según la OIT», 11/08/2026. Disponible en: https://www.mercadonegro.pe/actualidad/peru-informalidad-laboral-oit/ (consultado el 16/10/2026).</w:t>
      </w:r>
    </w:p>
  </w:footnote>
  <w:footnote w:id="9">
    <w:p>
      <w:pPr>
        <w:spacing w:after="0"/>
      </w:pPr>
      <w:r>
        <w:rPr>
          <w:rStyle w:val="FootnoteReference"/>
        </w:rPr>
        <w:footnoteRef/>
      </w:r>
      <w:r>
        <w:rPr>
          <w:rFonts w:ascii="Arial" w:cs="Arial" w:eastAsia="Arial" w:hAnsi="Arial"/>
          <w:sz w:val="17"/>
          <w:szCs w:val="17"/>
        </w:rPr>
        <w:t xml:space="preserve">INEI, nota de prensa «El 62,7% de los hogares del país tuvo conexión a Internet entre los meses de enero y marzo de 2026», 26/06/2026. Disponible en: https://www.gob.pe/institucion/inei/noticias/1412359-el-62-7-de-los-hogares-del-pais-tuvo-conexion-a-internet-entre-los-meses-de-enero-y-marzo-de-2026 (consultado el 16/10/2026).</w:t>
      </w:r>
    </w:p>
  </w:footnote>
  <w:footnote w:id="10">
    <w:p>
      <w:pPr>
        <w:spacing w:after="0"/>
      </w:pPr>
      <w:r>
        <w:rPr>
          <w:rStyle w:val="FootnoteReference"/>
        </w:rPr>
        <w:footnoteRef/>
      </w:r>
      <w:r>
        <w:rPr>
          <w:rFonts w:ascii="Arial" w:cs="Arial" w:eastAsia="Arial" w:hAnsi="Arial"/>
          <w:sz w:val="17"/>
          <w:szCs w:val="17"/>
        </w:rPr>
        <w:t xml:space="preserve">Telesemana, «El 96% de los hogares de Perú tiene acceso a Internet…» (resultados preliminares de la encuesta Erestel), 19/05/2026. Disponible en: https://www.telesemana.com/blog/2026/05/19/el-96-de-los-hogares-de-peru-tiene-acceso-a-internet-y-mejora-la-percepcion-general-hacia-los-servicios-de-telecomunicaciones/ (consultado el 16/10/2026).</w:t>
      </w:r>
    </w:p>
  </w:footnote>
  <w:footnote w:id="11">
    <w:p>
      <w:pPr>
        <w:spacing w:after="0"/>
      </w:pPr>
      <w:r>
        <w:rPr>
          <w:rStyle w:val="FootnoteReference"/>
        </w:rPr>
        <w:footnoteRef/>
      </w:r>
      <w:r>
        <w:rPr>
          <w:rFonts w:ascii="Arial" w:cs="Arial" w:eastAsia="Arial" w:hAnsi="Arial"/>
          <w:sz w:val="17"/>
          <w:szCs w:val="17"/>
        </w:rPr>
        <w:t xml:space="preserve">ProActivo, «MINAM aprobó el Régimen Especial de Gestión y Manejo de Residuos de Aparatos Eléctricos y Electrónicos» (D.S. 009-2019-MINAM). Disponible en: https://proactivo.com.pe/?p=122556 (consultado el 16/10/2026).</w:t>
      </w:r>
    </w:p>
  </w:footnote>
  <w:footnote w:id="12">
    <w:p>
      <w:pPr>
        <w:spacing w:after="0"/>
      </w:pPr>
      <w:r>
        <w:rPr>
          <w:rStyle w:val="FootnoteReference"/>
        </w:rPr>
        <w:footnoteRef/>
      </w:r>
      <w:r>
        <w:rPr>
          <w:rFonts w:ascii="Arial" w:cs="Arial" w:eastAsia="Arial" w:hAnsi="Arial"/>
          <w:sz w:val="17"/>
          <w:szCs w:val="17"/>
        </w:rPr>
        <w:t xml:space="preserve">El Peruano, «Minam impulsa el reciclaje de los RAEE» (registros de Sigersol). Disponible en: https://www.elperuano.pe/noticia/225353-minam-impulsa-el-reciclaje-de-los-raee (consultado el 16/10/2026).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line="240" w:lineRule="auto"/>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120" w:before="280" w:line="240" w:lineRule="auto"/>
      <w:outlineLvl w:val="1"/>
    </w:pPr>
    <w:rPr>
      <w:rFonts w:ascii="Arial" w:cs="Arial" w:eastAsia="Arial" w:hAnsi="Arial"/>
      <w:b/>
      <w:bCs/>
      <w:color w:val="000000"/>
      <w:sz w:val="22"/>
      <w:szCs w:val="22"/>
    </w:rPr>
  </w:style>
  <w:style w:type="paragraph" w:styleId="Heading3">
    <w:name w:val="Heading 3"/>
    <w:basedOn w:val="Normal"/>
    <w:next w:val="Normal"/>
    <w:qFormat/>
    <w:pPr>
      <w:keepNext/>
      <w:spacing w:after="100" w:before="200" w:line="240" w:lineRule="auto"/>
      <w:outlineLvl w:val="2"/>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72bcbdab84459ed16ead08a24cb14c3649b16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TecniYa - Plan de Proyecto de Investigación Aplicada</dc:title>
  <dc:creator>TecniYa</dc:creator>
  <cp:lastModifiedBy>Un-named</cp:lastModifiedBy>
  <cp:revision>1</cp:revision>
  <dcterms:created xsi:type="dcterms:W3CDTF">2026-10-16T22:51:09.581Z</dcterms:created>
  <dcterms:modified xsi:type="dcterms:W3CDTF">2026-10-16T22:51:09.581Z</dcterms:modified>
</cp:coreProperties>
</file>

<file path=docProps/custom.xml><?xml version="1.0" encoding="utf-8"?>
<Properties xmlns="http://schemas.openxmlformats.org/officeDocument/2006/custom-properties" xmlns:vt="http://schemas.openxmlformats.org/officeDocument/2006/docPropsVTypes"/>
</file>