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2"/>
        <w:rPr>
          <w:rFonts w:ascii="仿宋" w:hAnsi="仿宋" w:eastAsia="仿宋"/>
          <w:b/>
          <w:sz w:val="22"/>
        </w:rPr>
      </w:pPr>
      <w:bookmarkStart w:id="0" w:name="_Toc421906643"/>
      <w:bookmarkStart w:id="1" w:name="_Toc421971044"/>
      <w:bookmarkStart w:id="2" w:name="_Toc417028717"/>
    </w:p>
    <w:p>
      <w:pPr>
        <w:spacing w:before="156" w:beforeLines="50" w:after="156" w:afterLines="50"/>
        <w:ind w:firstLine="643"/>
        <w:jc w:val="center"/>
        <w:rPr>
          <w:b/>
          <w:bCs/>
          <w:sz w:val="32"/>
          <w:szCs w:val="36"/>
        </w:rPr>
      </w:pPr>
    </w:p>
    <w:p>
      <w:pPr>
        <w:spacing w:before="312" w:beforeLines="100" w:after="468" w:afterLines="150"/>
        <w:ind w:firstLine="0" w:firstLineChars="0"/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2"/>
          <w:szCs w:val="36"/>
          <w:lang w:val="en-US" w:eastAsia="zh-CN"/>
        </w:rPr>
        <w:t>校园二手市场</w:t>
      </w:r>
      <w:r>
        <w:rPr>
          <w:rFonts w:hint="eastAsia"/>
          <w:b/>
          <w:bCs/>
          <w:sz w:val="56"/>
          <w:szCs w:val="36"/>
        </w:rPr>
        <w:t>采购文件</w:t>
      </w:r>
    </w:p>
    <w:p/>
    <w:p/>
    <w:p/>
    <w:p/>
    <w:p/>
    <w:p/>
    <w:p/>
    <w:p/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64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项目名称：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校园二手市场</w:t>
      </w:r>
      <w:r>
        <w:rPr>
          <w:sz w:val="28"/>
          <w:szCs w:val="28"/>
          <w:u w:val="single"/>
        </w:rPr>
        <w:t xml:space="preserve">                 </w:t>
      </w:r>
    </w:p>
    <w:p>
      <w:pPr>
        <w:ind w:firstLine="640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项目负责人：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李海亮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ind w:firstLine="640"/>
        <w:rPr>
          <w:sz w:val="28"/>
          <w:szCs w:val="28"/>
          <w:u w:val="single"/>
        </w:rPr>
      </w:pPr>
      <w:r>
        <w:rPr>
          <w:rFonts w:hint="eastAsia"/>
          <w:sz w:val="32"/>
          <w:szCs w:val="32"/>
        </w:rPr>
        <w:t xml:space="preserve">公司名称：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  <w:lang w:val="en-US" w:eastAsia="zh-CN"/>
        </w:rPr>
        <w:t>WorkHard</w:t>
      </w:r>
      <w:r>
        <w:rPr>
          <w:sz w:val="28"/>
          <w:szCs w:val="28"/>
          <w:u w:val="single"/>
        </w:rPr>
        <w:t xml:space="preserve">            </w:t>
      </w:r>
    </w:p>
    <w:p>
      <w:pPr>
        <w:ind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联系方式：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  <w:lang w:val="en-US" w:eastAsia="zh-CN"/>
        </w:rPr>
        <w:t>13473391452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ind w:firstLine="640"/>
        <w:rPr>
          <w:sz w:val="32"/>
          <w:szCs w:val="32"/>
        </w:rPr>
      </w:pPr>
      <w:r>
        <w:rPr>
          <w:sz w:val="32"/>
          <w:szCs w:val="32"/>
        </w:rPr>
        <w:t xml:space="preserve">电子邮箱：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>420809214@qq.com</w:t>
      </w:r>
      <w:bookmarkStart w:id="25" w:name="_GoBack"/>
      <w:bookmarkEnd w:id="25"/>
      <w:r>
        <w:rPr>
          <w:sz w:val="28"/>
          <w:szCs w:val="28"/>
          <w:u w:val="single"/>
        </w:rPr>
        <w:t xml:space="preserve">            </w:t>
      </w:r>
    </w:p>
    <w:p>
      <w:pPr>
        <w:ind w:firstLine="640"/>
        <w:jc w:val="center"/>
        <w:rPr>
          <w:sz w:val="32"/>
          <w:szCs w:val="32"/>
        </w:rPr>
      </w:pPr>
    </w:p>
    <w:bookmarkEnd w:id="0"/>
    <w:bookmarkEnd w:id="1"/>
    <w:bookmarkEnd w:id="2"/>
    <w:p>
      <w:pPr>
        <w:ind w:firstLine="0" w:firstLineChars="0"/>
        <w:rPr>
          <w:rFonts w:ascii="黑体" w:hAnsi="黑体" w:eastAsia="黑体"/>
          <w:sz w:val="32"/>
          <w:szCs w:val="28"/>
        </w:rPr>
      </w:pPr>
      <w:bookmarkStart w:id="3" w:name="_Toc20587"/>
      <w:bookmarkStart w:id="4" w:name="_Toc514962923"/>
    </w:p>
    <w:p>
      <w:pPr>
        <w:pStyle w:val="3"/>
        <w:spacing w:before="120" w:after="0" w:line="360" w:lineRule="auto"/>
        <w:ind w:firstLine="0" w:firstLineChars="0"/>
        <w:rPr>
          <w:rFonts w:ascii="黑体" w:hAnsi="黑体"/>
        </w:rPr>
      </w:pPr>
      <w:bookmarkStart w:id="5" w:name="_Toc19565"/>
      <w:bookmarkStart w:id="6" w:name="_Toc265852497"/>
      <w:bookmarkStart w:id="7" w:name="_Toc514962946"/>
      <w:bookmarkStart w:id="8" w:name="_Toc266102797"/>
      <w:r>
        <w:rPr>
          <w:rFonts w:ascii="黑体" w:hAnsi="黑体"/>
        </w:rPr>
        <w:t>2.5</w:t>
      </w:r>
      <w:bookmarkEnd w:id="5"/>
      <w:bookmarkEnd w:id="6"/>
      <w:bookmarkEnd w:id="7"/>
      <w:bookmarkEnd w:id="8"/>
      <w:r>
        <w:rPr>
          <w:rFonts w:hint="eastAsia" w:ascii="黑体" w:hAnsi="黑体"/>
        </w:rPr>
        <w:t>设备采购</w:t>
      </w:r>
    </w:p>
    <w:p>
      <w:pPr>
        <w:pStyle w:val="4"/>
        <w:tabs>
          <w:tab w:val="left" w:pos="180"/>
        </w:tabs>
        <w:spacing w:before="156" w:beforeLines="50" w:beforeAutospacing="0" w:after="0" w:afterAutospacing="0"/>
        <w:ind w:firstLine="482"/>
      </w:pPr>
      <w:bookmarkStart w:id="9" w:name="_Toc514962947"/>
      <w:r>
        <w:rPr>
          <w:rFonts w:hint="eastAsia"/>
        </w:rPr>
        <w:t>2</w:t>
      </w:r>
      <w:r>
        <w:t>.5.1</w:t>
      </w:r>
      <w:r>
        <w:rPr>
          <w:rFonts w:hint="eastAsia"/>
        </w:rPr>
        <w:t>设备采购部署</w:t>
      </w:r>
      <w:bookmarkEnd w:id="9"/>
    </w:p>
    <w:p>
      <w:pPr>
        <w:pStyle w:val="6"/>
        <w:ind w:firstLine="0" w:firstLineChars="0"/>
        <w:jc w:val="center"/>
        <w:rPr>
          <w:sz w:val="24"/>
        </w:rPr>
      </w:pPr>
      <w:r>
        <w:rPr>
          <w:rFonts w:hint="eastAsia"/>
          <w:sz w:val="24"/>
        </w:rPr>
        <w:t>表2-</w:t>
      </w:r>
      <w:r>
        <w:rPr>
          <w:sz w:val="24"/>
        </w:rPr>
        <w:t>5</w:t>
      </w:r>
      <w:r>
        <w:rPr>
          <w:rFonts w:hint="eastAsia"/>
          <w:sz w:val="24"/>
        </w:rPr>
        <w:t>：设备采购部署表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2675"/>
        <w:gridCol w:w="2508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shd w:val="clear" w:color="auto" w:fill="AEAAAA" w:themeFill="background2" w:themeFillShade="BF"/>
          </w:tcPr>
          <w:p>
            <w:pPr>
              <w:tabs>
                <w:tab w:val="left" w:pos="180"/>
              </w:tabs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675" w:type="dxa"/>
            <w:shd w:val="clear" w:color="auto" w:fill="FFFFFF" w:themeFill="background1"/>
          </w:tcPr>
          <w:p>
            <w:pPr>
              <w:tabs>
                <w:tab w:val="left" w:pos="180"/>
              </w:tabs>
              <w:spacing w:line="380" w:lineRule="exact"/>
              <w:ind w:firstLine="0" w:firstLineChars="0"/>
              <w:jc w:val="center"/>
              <w:rPr>
                <w:b/>
              </w:rPr>
            </w:pPr>
            <w:r>
              <w:rPr>
                <w:rFonts w:hint="eastAsia" w:ascii="宋体" w:hAnsi="宋体"/>
                <w:b/>
              </w:rPr>
              <w:t>服务器（2万元）</w:t>
            </w:r>
          </w:p>
        </w:tc>
        <w:tc>
          <w:tcPr>
            <w:tcW w:w="2508" w:type="dxa"/>
            <w:shd w:val="clear" w:color="auto" w:fill="FFFFFF" w:themeFill="background1"/>
          </w:tcPr>
          <w:p>
            <w:pPr>
              <w:tabs>
                <w:tab w:val="left" w:pos="180"/>
              </w:tabs>
              <w:spacing w:line="380" w:lineRule="exact"/>
              <w:ind w:firstLine="0" w:firstLineChars="0"/>
              <w:jc w:val="center"/>
              <w:rPr>
                <w:b/>
              </w:rPr>
            </w:pPr>
            <w:r>
              <w:rPr>
                <w:rFonts w:hint="eastAsia" w:ascii="宋体" w:hAnsi="宋体"/>
                <w:b/>
              </w:rPr>
              <w:t>智能网络摄像头（</w:t>
            </w:r>
            <w:r>
              <w:rPr>
                <w:rFonts w:ascii="宋体" w:hAnsi="宋体"/>
                <w:b/>
              </w:rPr>
              <w:t>0.652</w:t>
            </w:r>
            <w:r>
              <w:rPr>
                <w:rFonts w:hint="eastAsia" w:ascii="宋体" w:hAnsi="宋体"/>
                <w:b/>
              </w:rPr>
              <w:t>万元）</w:t>
            </w:r>
          </w:p>
        </w:tc>
        <w:tc>
          <w:tcPr>
            <w:tcW w:w="2442" w:type="dxa"/>
            <w:shd w:val="clear" w:color="auto" w:fill="FFFFFF" w:themeFill="background1"/>
          </w:tcPr>
          <w:p>
            <w:pPr>
              <w:tabs>
                <w:tab w:val="left" w:pos="180"/>
              </w:tabs>
              <w:spacing w:line="380" w:lineRule="exact"/>
              <w:ind w:firstLine="0" w:firstLineChars="0"/>
              <w:jc w:val="center"/>
              <w:rPr>
                <w:b/>
              </w:rPr>
            </w:pPr>
            <w:r>
              <w:rPr>
                <w:rFonts w:hint="eastAsia" w:ascii="宋体" w:hAnsi="宋体"/>
                <w:b/>
              </w:rPr>
              <w:t>手机设备（</w:t>
            </w:r>
            <w:r>
              <w:rPr>
                <w:rFonts w:ascii="宋体" w:hAnsi="宋体"/>
                <w:b/>
              </w:rPr>
              <w:t>0.8</w:t>
            </w:r>
            <w:r>
              <w:rPr>
                <w:rFonts w:hint="eastAsia" w:ascii="宋体" w:hAnsi="宋体"/>
                <w:b/>
              </w:rPr>
              <w:t>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shd w:val="clear" w:color="auto" w:fill="AEAAAA" w:themeFill="background2" w:themeFillShade="BF"/>
          </w:tcPr>
          <w:p>
            <w:pPr>
              <w:tabs>
                <w:tab w:val="left" w:pos="180"/>
              </w:tabs>
              <w:spacing w:line="460" w:lineRule="exact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图片</w:t>
            </w:r>
          </w:p>
        </w:tc>
        <w:tc>
          <w:tcPr>
            <w:tcW w:w="2675" w:type="dxa"/>
          </w:tcPr>
          <w:p>
            <w:pPr>
              <w:tabs>
                <w:tab w:val="left" w:pos="180"/>
              </w:tabs>
              <w:spacing w:line="20" w:lineRule="exact"/>
              <w:ind w:firstLine="0" w:firstLineChars="0"/>
            </w:pPr>
            <w:r>
              <w:rPr>
                <w:rFonts w:hint="eastAsi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-7355840</wp:posOffset>
                  </wp:positionV>
                  <wp:extent cx="728345" cy="922655"/>
                  <wp:effectExtent l="0" t="0" r="14605" b="10795"/>
                  <wp:wrapSquare wrapText="bothSides"/>
                  <wp:docPr id="4" name="图片 32" descr="说明: 说明: 说明: 说明: 说明: 说明: http://www.jsos.cn/news/attachments/5/5/1_200906111239301C1F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2" descr="说明: 说明: 说明: 说明: 说明: 说明: http://www.jsos.cn/news/attachments/5/5/1_200906111239301C1FU.jp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8" w:type="dxa"/>
          </w:tcPr>
          <w:p>
            <w:pPr>
              <w:tabs>
                <w:tab w:val="left" w:pos="180"/>
              </w:tabs>
              <w:spacing w:line="240" w:lineRule="auto"/>
              <w:ind w:firstLine="0" w:firstLineChars="0"/>
              <w:jc w:val="center"/>
              <w:rPr>
                <w:rFonts w:eastAsia="仿宋_GB2312"/>
              </w:rPr>
            </w:pPr>
            <w:r>
              <w:rPr>
                <w:rFonts w:hint="eastAsia" w:eastAsia="仿宋_GB2312"/>
              </w:rPr>
              <w:drawing>
                <wp:inline distT="0" distB="0" distL="114300" distR="114300">
                  <wp:extent cx="1307465" cy="1307465"/>
                  <wp:effectExtent l="0" t="0" r="6985" b="6985"/>
                  <wp:docPr id="19" name="图片 19" descr="摄像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摄像头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46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>
            <w:pPr>
              <w:tabs>
                <w:tab w:val="left" w:pos="180"/>
              </w:tabs>
              <w:spacing w:line="14" w:lineRule="exact"/>
              <w:ind w:firstLine="0" w:firstLineChars="0"/>
              <w:jc w:val="center"/>
            </w:pPr>
            <w:r>
              <w:rPr>
                <w:rFonts w:hint="eastAsia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-948055</wp:posOffset>
                  </wp:positionV>
                  <wp:extent cx="1138555" cy="766445"/>
                  <wp:effectExtent l="0" t="0" r="4445" b="14605"/>
                  <wp:wrapSquare wrapText="bothSides"/>
                  <wp:docPr id="7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76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97" w:type="dxa"/>
            <w:shd w:val="clear" w:color="auto" w:fill="AEAAAA" w:themeFill="background2" w:themeFillShade="BF"/>
          </w:tcPr>
          <w:p>
            <w:pPr>
              <w:tabs>
                <w:tab w:val="left" w:pos="180"/>
              </w:tabs>
              <w:spacing w:line="460" w:lineRule="exact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675" w:type="dxa"/>
          </w:tcPr>
          <w:p>
            <w:pPr>
              <w:tabs>
                <w:tab w:val="left" w:pos="180"/>
              </w:tabs>
              <w:spacing w:line="380" w:lineRule="exact"/>
              <w:ind w:firstLine="0" w:firstLineChars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网络设备（交换机、路由器、网线等）（3万元）</w:t>
            </w:r>
          </w:p>
        </w:tc>
        <w:tc>
          <w:tcPr>
            <w:tcW w:w="2508" w:type="dxa"/>
          </w:tcPr>
          <w:p>
            <w:pPr>
              <w:tabs>
                <w:tab w:val="left" w:pos="180"/>
              </w:tabs>
              <w:spacing w:line="380" w:lineRule="exact"/>
              <w:ind w:firstLine="0" w:firstLineChars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数据库系统（八千元）</w:t>
            </w:r>
          </w:p>
        </w:tc>
        <w:tc>
          <w:tcPr>
            <w:tcW w:w="2442" w:type="dxa"/>
          </w:tcPr>
          <w:p>
            <w:pPr>
              <w:tabs>
                <w:tab w:val="left" w:pos="180"/>
              </w:tabs>
              <w:spacing w:line="380" w:lineRule="exact"/>
              <w:ind w:firstLine="0" w:firstLineChars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智能分析设备（内置核心算法）（</w:t>
            </w:r>
            <w:r>
              <w:rPr>
                <w:rFonts w:ascii="宋体" w:hAnsi="宋体"/>
                <w:b/>
                <w:sz w:val="22"/>
              </w:rPr>
              <w:t>1.5</w:t>
            </w:r>
            <w:r>
              <w:rPr>
                <w:rFonts w:hint="eastAsia" w:ascii="宋体" w:hAnsi="宋体"/>
                <w:b/>
                <w:sz w:val="22"/>
              </w:rPr>
              <w:t>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3" w:hRule="atLeast"/>
        </w:trPr>
        <w:tc>
          <w:tcPr>
            <w:tcW w:w="897" w:type="dxa"/>
            <w:shd w:val="clear" w:color="auto" w:fill="AEAAAA" w:themeFill="background2" w:themeFillShade="BF"/>
          </w:tcPr>
          <w:p>
            <w:pPr>
              <w:tabs>
                <w:tab w:val="left" w:pos="180"/>
              </w:tabs>
              <w:spacing w:line="460" w:lineRule="exact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图片</w:t>
            </w:r>
          </w:p>
        </w:tc>
        <w:tc>
          <w:tcPr>
            <w:tcW w:w="2675" w:type="dxa"/>
          </w:tcPr>
          <w:p>
            <w:pPr>
              <w:tabs>
                <w:tab w:val="left" w:pos="180"/>
              </w:tabs>
              <w:spacing w:line="20" w:lineRule="exact"/>
              <w:ind w:firstLine="0" w:firstLineChars="0"/>
              <w:jc w:val="center"/>
            </w:pPr>
          </w:p>
          <w:p>
            <w:pPr>
              <w:tabs>
                <w:tab w:val="left" w:pos="180"/>
              </w:tabs>
              <w:ind w:firstLine="0" w:firstLineChars="0"/>
            </w:pPr>
            <w:r>
              <w:rPr>
                <w:rFonts w:hint="eastAsia"/>
              </w:rPr>
              <w:drawing>
                <wp:anchor distT="0" distB="0" distL="0" distR="0" simplePos="0" relativeHeight="251665408" behindDoc="0" locked="0" layoutInCell="1" allowOverlap="0">
                  <wp:simplePos x="0" y="0"/>
                  <wp:positionH relativeFrom="column">
                    <wp:posOffset>227330</wp:posOffset>
                  </wp:positionH>
                  <wp:positionV relativeFrom="line">
                    <wp:posOffset>257810</wp:posOffset>
                  </wp:positionV>
                  <wp:extent cx="728980" cy="901065"/>
                  <wp:effectExtent l="0" t="0" r="13970" b="13335"/>
                  <wp:wrapSquare wrapText="bothSides"/>
                  <wp:docPr id="6" name="图片 62" descr="说明: 说明: 说明: 说明: 说明: 说明: 思科 12400 系列互联网路由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2" descr="说明: 说明: 说明: 说明: 说明: 说明: 思科 12400 系列互联网路由器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80" cy="90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8" w:type="dxa"/>
          </w:tcPr>
          <w:p>
            <w:pPr>
              <w:tabs>
                <w:tab w:val="left" w:pos="180"/>
              </w:tabs>
              <w:spacing w:line="240" w:lineRule="auto"/>
              <w:ind w:firstLine="0" w:firstLineChars="0"/>
              <w:jc w:val="center"/>
              <w:rPr>
                <w:rFonts w:eastAsia="仿宋_GB2312"/>
              </w:rPr>
            </w:pPr>
            <w:r>
              <w:rPr>
                <w:rFonts w:hint="eastAsia" w:eastAsia="仿宋_GB2312"/>
              </w:rPr>
              <w:drawing>
                <wp:inline distT="0" distB="0" distL="114300" distR="114300">
                  <wp:extent cx="740410" cy="1162050"/>
                  <wp:effectExtent l="0" t="0" r="2540" b="0"/>
                  <wp:docPr id="18" name="图片 18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>
            <w:pPr>
              <w:tabs>
                <w:tab w:val="left" w:pos="180"/>
              </w:tabs>
              <w:spacing w:line="20" w:lineRule="exact"/>
              <w:ind w:firstLine="0" w:firstLineChars="0"/>
              <w:jc w:val="center"/>
            </w:pPr>
          </w:p>
          <w:p>
            <w:pPr>
              <w:tabs>
                <w:tab w:val="left" w:pos="180"/>
              </w:tabs>
              <w:spacing w:line="2100" w:lineRule="exact"/>
              <w:jc w:val="center"/>
            </w:pPr>
            <w:r>
              <w:rPr>
                <w:rFonts w:hint="eastAsia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46990</wp:posOffset>
                  </wp:positionV>
                  <wp:extent cx="929005" cy="997585"/>
                  <wp:effectExtent l="0" t="0" r="4445" b="12065"/>
                  <wp:wrapSquare wrapText="bothSides"/>
                  <wp:docPr id="37" name="图片 73" descr="说明: 说明: 说明: 说明: 说明: 说明: 说明: 说明: 说明: 说明: 说明: C:\Users\Administrator\Desktop\实验室项目汇报（20090622）_页面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73" descr="说明: 说明: 说明: 说明: 说明: 说明: 说明: 说明: 说明: 说明: 说明: C:\Users\Administrator\Desktop\实验室项目汇报（20090622）_页面_7.jp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bookmarkEnd w:id="3"/>
    <w:bookmarkEnd w:id="4"/>
    <w:p>
      <w:pPr>
        <w:pStyle w:val="3"/>
        <w:spacing w:before="120" w:after="0" w:line="360" w:lineRule="auto"/>
        <w:ind w:firstLine="0" w:firstLineChars="0"/>
        <w:rPr>
          <w:rFonts w:ascii="黑体" w:hAnsi="黑体"/>
        </w:rPr>
      </w:pPr>
      <w:bookmarkStart w:id="10" w:name="_Toc265852496"/>
      <w:bookmarkStart w:id="11" w:name="_Toc266102793"/>
      <w:bookmarkStart w:id="12" w:name="_Toc5347"/>
      <w:bookmarkStart w:id="13" w:name="_Toc514962939"/>
      <w:r>
        <w:rPr>
          <w:rFonts w:ascii="黑体" w:hAnsi="黑体"/>
        </w:rPr>
        <w:t>2.</w:t>
      </w:r>
      <w:r>
        <w:rPr>
          <w:rFonts w:hint="eastAsia" w:ascii="黑体" w:hAnsi="黑体"/>
        </w:rPr>
        <w:t>3</w:t>
      </w:r>
      <w:bookmarkEnd w:id="10"/>
      <w:bookmarkEnd w:id="11"/>
      <w:bookmarkEnd w:id="12"/>
      <w:r>
        <w:rPr>
          <w:rFonts w:hint="eastAsia" w:ascii="黑体" w:hAnsi="黑体"/>
        </w:rPr>
        <w:t>产品技术</w:t>
      </w:r>
      <w:bookmarkEnd w:id="13"/>
    </w:p>
    <w:p>
      <w:pPr>
        <w:pStyle w:val="4"/>
        <w:tabs>
          <w:tab w:val="left" w:pos="180"/>
        </w:tabs>
        <w:spacing w:before="190" w:beforeLines="50" w:beforeAutospacing="0" w:after="0" w:afterAutospacing="0"/>
        <w:ind w:firstLine="482"/>
      </w:pPr>
      <w:bookmarkStart w:id="14" w:name="_Toc266102794"/>
      <w:bookmarkStart w:id="15" w:name="_Toc1737"/>
      <w:bookmarkStart w:id="16" w:name="_Toc514962940"/>
      <w:r>
        <w:rPr>
          <w:rFonts w:hint="eastAsia"/>
        </w:rPr>
        <w:t>2.3.1</w:t>
      </w:r>
      <w:bookmarkEnd w:id="14"/>
      <w:bookmarkEnd w:id="15"/>
      <w:r>
        <w:rPr>
          <w:rFonts w:hint="eastAsia"/>
        </w:rPr>
        <w:t>指标参数</w:t>
      </w:r>
      <w:bookmarkEnd w:id="16"/>
    </w:p>
    <w:p>
      <w:pPr>
        <w:tabs>
          <w:tab w:val="left" w:pos="180"/>
        </w:tabs>
        <w:ind w:firstLine="0" w:firstLineChars="0"/>
      </w:pPr>
      <w:r>
        <w:rPr>
          <w:rFonts w:hint="eastAsia"/>
          <w:b/>
        </w:rPr>
        <w:t xml:space="preserve">    （</w:t>
      </w:r>
      <w:r>
        <w:rPr>
          <w:b/>
        </w:rPr>
        <w:t>1</w:t>
      </w:r>
      <w:r>
        <w:rPr>
          <w:rFonts w:hint="eastAsia"/>
          <w:b/>
        </w:rPr>
        <w:t>）性能参数</w:t>
      </w:r>
    </w:p>
    <w:p>
      <w:pPr>
        <w:ind w:left="36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</w:rPr>
        <w:t>在网络情况完全稳定、可靠的情况下，应达到以下指标：</w:t>
      </w:r>
    </w:p>
    <w:p>
      <w:pPr>
        <w:ind w:left="358" w:firstLine="482"/>
        <w:rPr>
          <w:rFonts w:ascii="Times New Roman" w:hAnsi="Times New Roman" w:cs="Times New Roman"/>
          <w:b/>
        </w:rPr>
      </w:pPr>
    </w:p>
    <w:p>
      <w:pPr>
        <w:ind w:left="358" w:firstLine="482"/>
        <w:rPr>
          <w:b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b/>
        </w:rPr>
        <w:t>并发用户数支持</w:t>
      </w:r>
    </w:p>
    <w:p>
      <w:pPr>
        <w:ind w:left="36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</w:rPr>
        <w:t>平均并发请求数：</w:t>
      </w:r>
      <w:r>
        <w:rPr>
          <w:rFonts w:ascii="Times New Roman" w:hAnsi="Times New Roman" w:cs="Times New Roman"/>
        </w:rPr>
        <w:t>8-12</w:t>
      </w:r>
      <w:r>
        <w:rPr>
          <w:rFonts w:hint="eastAsia"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/</w:t>
      </w:r>
      <w:r>
        <w:rPr>
          <w:rFonts w:hint="eastAsia" w:ascii="Times New Roman" w:hAnsi="Times New Roman" w:cs="Times New Roman"/>
        </w:rPr>
        <w:t>秒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峰值并发请求数：</w:t>
      </w:r>
      <w:r>
        <w:rPr>
          <w:rFonts w:ascii="Times New Roman" w:hAnsi="Times New Roman" w:cs="Times New Roman"/>
        </w:rPr>
        <w:t>18-20</w:t>
      </w:r>
      <w:r>
        <w:rPr>
          <w:rFonts w:hint="eastAsia"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/</w:t>
      </w:r>
      <w:r>
        <w:rPr>
          <w:rFonts w:hint="eastAsia" w:ascii="Times New Roman" w:hAnsi="Times New Roman" w:cs="Times New Roman"/>
        </w:rPr>
        <w:t>秒</w:t>
      </w:r>
    </w:p>
    <w:p>
      <w:pPr>
        <w:rPr>
          <w:rFonts w:ascii="Times New Roman" w:hAnsi="Times New Roman" w:cs="Times New Roman"/>
        </w:rPr>
      </w:pPr>
    </w:p>
    <w:p>
      <w:pPr>
        <w:ind w:left="358" w:firstLine="482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响应速度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平均并发时的响应速度：</w:t>
      </w:r>
      <w:r>
        <w:rPr>
          <w:rFonts w:ascii="Times New Roman" w:hAnsi="Times New Roman" w:cs="Times New Roman"/>
        </w:rPr>
        <w:t>200-300</w:t>
      </w:r>
      <w:r>
        <w:rPr>
          <w:rFonts w:hint="eastAsia" w:ascii="Times New Roman" w:hAnsi="Times New Roman" w:cs="Times New Roman"/>
        </w:rPr>
        <w:t>毫秒</w:t>
      </w:r>
      <w:r>
        <w:rPr>
          <w:rFonts w:ascii="Times New Roman" w:hAnsi="Times New Roman" w:cs="Times New Roman"/>
        </w:rPr>
        <w:t>/</w:t>
      </w:r>
      <w:r>
        <w:rPr>
          <w:rFonts w:hint="eastAsia" w:ascii="Times New Roman" w:hAnsi="Times New Roman" w:cs="Times New Roman"/>
        </w:rPr>
        <w:t>请求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峰值并发时的响应速度：</w:t>
      </w:r>
      <w:r>
        <w:rPr>
          <w:rFonts w:ascii="Times New Roman" w:hAnsi="Times New Roman" w:cs="Times New Roman"/>
        </w:rPr>
        <w:t>800-1000</w:t>
      </w:r>
      <w:r>
        <w:rPr>
          <w:rFonts w:hint="eastAsia" w:ascii="Times New Roman" w:hAnsi="Times New Roman" w:cs="Times New Roman"/>
        </w:rPr>
        <w:t>毫秒</w:t>
      </w:r>
      <w:r>
        <w:rPr>
          <w:rFonts w:ascii="Times New Roman" w:hAnsi="Times New Roman" w:cs="Times New Roman"/>
        </w:rPr>
        <w:t>/</w:t>
      </w:r>
      <w:r>
        <w:rPr>
          <w:rFonts w:hint="eastAsia" w:ascii="Times New Roman" w:hAnsi="Times New Roman" w:cs="Times New Roman"/>
        </w:rPr>
        <w:t>请求</w:t>
      </w:r>
      <w:r>
        <w:rPr>
          <w:rFonts w:ascii="Times New Roman" w:hAnsi="Times New Roman" w:cs="Times New Roman"/>
        </w:rPr>
        <w:t>]</w:t>
      </w:r>
    </w:p>
    <w:p>
      <w:pPr>
        <w:tabs>
          <w:tab w:val="left" w:pos="180"/>
        </w:tabs>
        <w:ind w:left="482" w:firstLine="0" w:firstLineChars="0"/>
        <w:rPr>
          <w:b/>
        </w:rPr>
      </w:pPr>
      <w:r>
        <w:rPr>
          <w:rFonts w:hint="eastAsia"/>
          <w:b/>
        </w:rPr>
        <w:t>（2）并发用户数</w:t>
      </w:r>
    </w:p>
    <w:p>
      <w:pPr>
        <w:tabs>
          <w:tab w:val="left" w:pos="180"/>
        </w:tabs>
        <w:ind w:firstLine="0" w:firstLineChars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根据业务发展情况，测算出并发用户数量。预计每天</w:t>
      </w:r>
      <w:r>
        <w:rPr>
          <w:bCs/>
        </w:rPr>
        <w:t>60000</w:t>
      </w:r>
      <w:r>
        <w:rPr>
          <w:rFonts w:hint="eastAsia"/>
          <w:bCs/>
        </w:rPr>
        <w:t>笔业务，我们的小程序有</w:t>
      </w:r>
      <w:r>
        <w:rPr>
          <w:bCs/>
        </w:rPr>
        <w:t>4000</w:t>
      </w:r>
      <w:r>
        <w:rPr>
          <w:rFonts w:hint="eastAsia"/>
          <w:bCs/>
        </w:rPr>
        <w:t>多万用户，按照</w:t>
      </w:r>
      <w:r>
        <w:rPr>
          <w:bCs/>
        </w:rPr>
        <w:t>1%</w:t>
      </w:r>
      <w:r>
        <w:rPr>
          <w:rFonts w:hint="eastAsia"/>
          <w:bCs/>
        </w:rPr>
        <w:t>，</w:t>
      </w:r>
      <w:r>
        <w:rPr>
          <w:bCs/>
        </w:rPr>
        <w:t>10%</w:t>
      </w:r>
      <w:r>
        <w:rPr>
          <w:rFonts w:hint="eastAsia"/>
          <w:bCs/>
        </w:rPr>
        <w:t>计算系统容量。计算公式</w:t>
      </w:r>
      <w:r>
        <w:rPr>
          <w:bCs/>
        </w:rPr>
        <w:t>60000</w:t>
      </w:r>
      <w:r>
        <w:rPr>
          <w:rFonts w:hint="eastAsia"/>
          <w:bCs/>
        </w:rPr>
        <w:t>笔</w:t>
      </w:r>
      <w:r>
        <w:rPr>
          <w:bCs/>
        </w:rPr>
        <w:t>/12</w:t>
      </w:r>
      <w:r>
        <w:rPr>
          <w:rFonts w:hint="eastAsia"/>
          <w:bCs/>
        </w:rPr>
        <w:t>小时</w:t>
      </w:r>
      <w:r>
        <w:rPr>
          <w:bCs/>
        </w:rPr>
        <w:t>/60</w:t>
      </w:r>
      <w:r>
        <w:rPr>
          <w:rFonts w:hint="eastAsia"/>
          <w:bCs/>
        </w:rPr>
        <w:t>分</w:t>
      </w:r>
      <w:r>
        <w:rPr>
          <w:bCs/>
        </w:rPr>
        <w:t>/60</w:t>
      </w:r>
      <w:r>
        <w:rPr>
          <w:rFonts w:hint="eastAsia"/>
          <w:bCs/>
        </w:rPr>
        <w:t>秒约等于</w:t>
      </w:r>
      <w:r>
        <w:rPr>
          <w:bCs/>
        </w:rPr>
        <w:t>1.4</w:t>
      </w:r>
      <w:r>
        <w:rPr>
          <w:rFonts w:hint="eastAsia"/>
          <w:bCs/>
        </w:rPr>
        <w:t>笔</w:t>
      </w:r>
      <w:r>
        <w:rPr>
          <w:bCs/>
        </w:rPr>
        <w:t>/</w:t>
      </w:r>
      <w:r>
        <w:rPr>
          <w:rFonts w:hint="eastAsia"/>
          <w:bCs/>
        </w:rPr>
        <w:t>秒；</w:t>
      </w:r>
    </w:p>
    <w:p>
      <w:pPr>
        <w:tabs>
          <w:tab w:val="left" w:pos="180"/>
        </w:tabs>
        <w:ind w:firstLine="0" w:firstLineChars="0"/>
        <w:rPr>
          <w:bCs/>
        </w:rPr>
      </w:pPr>
      <w:r>
        <w:rPr>
          <w:rFonts w:hint="eastAsia"/>
          <w:bCs/>
        </w:rPr>
        <w:t>注：客户使用时间大多集中在白天，所以按照12小时计算；</w:t>
      </w:r>
    </w:p>
    <w:p>
      <w:pPr>
        <w:tabs>
          <w:tab w:val="left" w:pos="180"/>
        </w:tabs>
        <w:ind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）数据容量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根据业务发展预测项目成果必须能够满足的最大数据容量。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按照我们的小程序有4000多万用户，按1％、10％计算，按一份客户资料1K计算，分别为391M，3907M。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按每笔业务产生1k数据计算，每日交易产生数据量：交易量*每笔交易数据量=60000*1K=60M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按照我们的小程序用户10%投保，每天产生60000笔交易，交易数据保存半年计算：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数据库容量＝用户资料＋每日产生数量*182天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＝3907M+60M*182</w:t>
      </w:r>
    </w:p>
    <w:p>
      <w:pPr>
        <w:tabs>
          <w:tab w:val="left" w:pos="180"/>
        </w:tabs>
      </w:pPr>
      <w:r>
        <w:rPr>
          <w:rFonts w:hint="eastAsia" w:ascii="Times New Roman" w:hAnsi="Times New Roman" w:cs="Times New Roman"/>
        </w:rPr>
        <w:t>＝14827M（约为15G）]</w:t>
      </w:r>
    </w:p>
    <w:p>
      <w:pPr>
        <w:pStyle w:val="4"/>
        <w:tabs>
          <w:tab w:val="left" w:pos="180"/>
        </w:tabs>
        <w:spacing w:before="190" w:beforeLines="50" w:beforeAutospacing="0" w:after="0" w:afterAutospacing="0"/>
        <w:ind w:firstLine="482"/>
      </w:pPr>
      <w:bookmarkStart w:id="17" w:name="_Toc15892"/>
      <w:bookmarkStart w:id="18" w:name="_Toc266102795"/>
      <w:bookmarkStart w:id="19" w:name="_Toc514962941"/>
      <w:r>
        <w:t>2.</w:t>
      </w:r>
      <w:r>
        <w:rPr>
          <w:rFonts w:hint="eastAsia"/>
        </w:rPr>
        <w:t>3.2</w:t>
      </w:r>
      <w:bookmarkEnd w:id="17"/>
      <w:bookmarkEnd w:id="18"/>
      <w:r>
        <w:rPr>
          <w:rFonts w:hint="eastAsia"/>
        </w:rPr>
        <w:t>硬件服务器及网络要求</w:t>
      </w:r>
      <w:bookmarkEnd w:id="19"/>
    </w:p>
    <w:p>
      <w:pPr>
        <w:ind w:firstLine="420" w:firstLineChars="0"/>
        <w:rPr>
          <w:b/>
        </w:rPr>
      </w:pP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page">
              <wp:posOffset>207010</wp:posOffset>
            </wp:positionH>
            <wp:positionV relativeFrom="paragraph">
              <wp:posOffset>372745</wp:posOffset>
            </wp:positionV>
            <wp:extent cx="7038975" cy="5524500"/>
            <wp:effectExtent l="0" t="0" r="9525" b="0"/>
            <wp:wrapSquare wrapText="bothSides"/>
            <wp:docPr id="28" name="图片 3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9" r="4793" b="3815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52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（1）网络拓扑</w:t>
      </w:r>
    </w:p>
    <w:p>
      <w:pPr>
        <w:tabs>
          <w:tab w:val="left" w:pos="180"/>
        </w:tabs>
        <w:ind w:firstLine="240" w:firstLineChars="100"/>
        <w:jc w:val="center"/>
      </w:pPr>
      <w:r>
        <w:rPr>
          <w:rFonts w:hint="eastAsia"/>
        </w:rPr>
        <w:t>图2-</w:t>
      </w:r>
      <w:r>
        <w:t xml:space="preserve">4 </w:t>
      </w:r>
      <w:r>
        <w:rPr>
          <w:rFonts w:hint="eastAsia"/>
        </w:rPr>
        <w:t>网络拓扑图</w:t>
      </w:r>
    </w:p>
    <w:p>
      <w:pPr>
        <w:tabs>
          <w:tab w:val="left" w:pos="180"/>
        </w:tabs>
        <w:ind w:firstLine="241" w:firstLineChars="100"/>
        <w:rPr>
          <w:b/>
        </w:rPr>
      </w:pPr>
      <w:r>
        <w:rPr>
          <w:rFonts w:hint="eastAsia"/>
          <w:b/>
        </w:rPr>
        <w:t>（2）</w:t>
      </w:r>
      <w:bookmarkStart w:id="20" w:name="_Toc264919572"/>
      <w:r>
        <w:rPr>
          <w:rFonts w:hint="eastAsia"/>
          <w:b/>
        </w:rPr>
        <w:t>软硬件环境</w:t>
      </w:r>
    </w:p>
    <w:p>
      <w:pPr>
        <w:ind w:left="36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</w:rPr>
        <w:t>软件环境：附有微信A</w:t>
      </w:r>
      <w:r>
        <w:rPr>
          <w:rFonts w:ascii="Times New Roman" w:hAnsi="Times New Roman" w:cs="Times New Roman"/>
        </w:rPr>
        <w:t>PP</w:t>
      </w:r>
      <w:r>
        <w:rPr>
          <w:rFonts w:hint="eastAsia" w:ascii="Times New Roman" w:hAnsi="Times New Roman" w:cs="Times New Roman"/>
        </w:rPr>
        <w:t>的手机。</w:t>
      </w:r>
      <w: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硬件环境：手机内存</w:t>
      </w:r>
      <w:r>
        <w:rPr>
          <w:rFonts w:ascii="Times New Roman" w:hAnsi="Times New Roman" w:cs="Times New Roman"/>
        </w:rPr>
        <w:t>16G</w:t>
      </w:r>
      <w:r>
        <w:rPr>
          <w:rFonts w:hint="eastAsia" w:ascii="Times New Roman" w:hAnsi="Times New Roman" w:cs="Times New Roman"/>
        </w:rPr>
        <w:t>及以上，手机内核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核及以上。</w:t>
      </w:r>
    </w:p>
    <w:p>
      <w:pPr>
        <w:pStyle w:val="3"/>
        <w:spacing w:before="120" w:after="0" w:line="360" w:lineRule="auto"/>
        <w:ind w:firstLine="0" w:firstLineChars="0"/>
        <w:rPr>
          <w:rFonts w:ascii="黑体" w:hAnsi="黑体"/>
        </w:rPr>
      </w:pPr>
      <w:bookmarkStart w:id="21" w:name="_Toc514962942"/>
      <w:r>
        <w:rPr>
          <w:rFonts w:ascii="黑体" w:hAnsi="黑体"/>
        </w:rPr>
        <w:t>2.4</w:t>
      </w:r>
      <w:r>
        <w:rPr>
          <w:rFonts w:hint="eastAsia" w:ascii="黑体" w:hAnsi="黑体"/>
        </w:rPr>
        <w:t>产品性能</w:t>
      </w:r>
      <w:bookmarkEnd w:id="21"/>
    </w:p>
    <w:p>
      <w:pPr>
        <w:pStyle w:val="4"/>
        <w:tabs>
          <w:tab w:val="left" w:pos="180"/>
        </w:tabs>
        <w:spacing w:before="190" w:beforeLines="50" w:beforeAutospacing="0" w:after="0" w:afterAutospacing="0"/>
        <w:ind w:firstLine="482"/>
      </w:pPr>
      <w:bookmarkStart w:id="22" w:name="_Toc514962943"/>
      <w:r>
        <w:t>2.4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扩展性和安全</w:t>
      </w:r>
      <w:bookmarkEnd w:id="22"/>
    </w:p>
    <w:p>
      <w:pPr>
        <w:jc w:val="left"/>
        <w:rPr>
          <w:rFonts w:ascii="Arial" w:hAnsi="Arial" w:cs="Arial"/>
          <w:i/>
          <w:color w:val="8497B0" w:themeColor="text2" w:themeTint="99"/>
          <w:kern w:val="0"/>
          <w:sz w:val="22"/>
          <w:szCs w:val="21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</w:rPr>
        <w:t>支持纵向扩展和横向扩展。</w:t>
      </w:r>
    </w:p>
    <w:p>
      <w:pPr>
        <w:ind w:firstLine="482"/>
        <w:jc w:val="left"/>
        <w:rPr>
          <w:rFonts w:ascii="Arial" w:hAnsi="Arial" w:cs="Arial"/>
          <w:b/>
          <w:i/>
          <w:color w:val="8497B0" w:themeColor="text2" w:themeTint="99"/>
          <w:kern w:val="0"/>
          <w:sz w:val="22"/>
          <w:szCs w:val="21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b/>
        </w:rPr>
        <w:t>权限控制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根据不同用户角色，设置相应权限，没有权限的用户禁止进行操作。用户只可以删除自己发布的消息，不可以删除其他用户发布的消息。</w:t>
      </w:r>
    </w:p>
    <w:p>
      <w:pPr>
        <w:ind w:firstLine="482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重要数据加密</w:t>
      </w:r>
    </w:p>
    <w:p>
      <w:pPr>
        <w:rPr>
          <w:rFonts w:ascii="Times New Roman" w:hAnsi="Times New Roman" w:cs="Times New Roman"/>
          <w:kern w:val="0"/>
          <w:szCs w:val="21"/>
          <w:lang w:val="en-GB"/>
        </w:rPr>
      </w:pPr>
      <w:r>
        <w:rPr>
          <w:rFonts w:hint="eastAsia" w:ascii="Times New Roman" w:hAnsi="Times New Roman" w:cs="Times New Roman"/>
        </w:rPr>
        <w:t>本系统对一些重要的数据按一定的算法进行加密，如用户口令，重要参数等。</w:t>
      </w:r>
    </w:p>
    <w:p>
      <w:pPr>
        <w:pStyle w:val="4"/>
        <w:tabs>
          <w:tab w:val="left" w:pos="180"/>
        </w:tabs>
        <w:spacing w:before="190" w:beforeLines="50" w:beforeAutospacing="0" w:after="0" w:afterAutospacing="0"/>
        <w:ind w:firstLine="482"/>
      </w:pPr>
      <w:bookmarkStart w:id="23" w:name="_Toc514962944"/>
      <w:r>
        <w:t>2.4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可维护性</w:t>
      </w:r>
      <w:bookmarkEnd w:id="23"/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ascii="Arial" w:hAnsi="Arial" w:eastAsia="宋体" w:cs="Arial"/>
          <w:i/>
          <w:color w:val="8497B0" w:themeColor="text2" w:themeTint="99"/>
          <w:kern w:val="0"/>
          <w:sz w:val="28"/>
          <w:szCs w:val="21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宋体" w:cs="Times New Roman"/>
          <w:sz w:val="24"/>
          <w:szCs w:val="24"/>
        </w:rPr>
        <w:t>95%</w:t>
      </w:r>
      <w:r>
        <w:rPr>
          <w:rFonts w:hint="eastAsia" w:ascii="Times New Roman" w:hAnsi="Times New Roman" w:eastAsia="宋体" w:cs="Times New Roman"/>
          <w:sz w:val="24"/>
          <w:szCs w:val="24"/>
        </w:rPr>
        <w:t>的系统故障可在两小时内解决；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ascii="Arial" w:hAnsi="Arial" w:eastAsia="宋体" w:cs="Arial"/>
          <w:i/>
          <w:color w:val="8497B0" w:themeColor="text2" w:themeTint="99"/>
          <w:kern w:val="0"/>
          <w:sz w:val="28"/>
          <w:szCs w:val="21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系统的软件部分每年升级一次，并保持向下兼容；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ascii="Arial" w:hAnsi="Arial" w:eastAsia="宋体" w:cs="Arial"/>
          <w:i/>
          <w:color w:val="8497B0" w:themeColor="text2" w:themeTint="99"/>
          <w:kern w:val="0"/>
          <w:sz w:val="28"/>
          <w:szCs w:val="21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软件较易被理解、校正、适应及增强功能。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ascii="Arial" w:hAnsi="Arial" w:eastAsia="宋体" w:cs="Arial"/>
          <w:i/>
          <w:color w:val="8497B0" w:themeColor="text2" w:themeTint="99"/>
          <w:kern w:val="0"/>
          <w:sz w:val="28"/>
          <w:szCs w:val="21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高可用性冗余服务器，当主服务器出现访问故障时，可自动启用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ascii="Arial" w:hAnsi="Arial" w:eastAsia="宋体" w:cs="Arial"/>
          <w:i/>
          <w:color w:val="8497B0" w:themeColor="text2" w:themeTint="99"/>
          <w:kern w:val="0"/>
          <w:sz w:val="28"/>
          <w:szCs w:val="21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备用服务器。</w:t>
      </w:r>
    </w:p>
    <w:p>
      <w:pPr>
        <w:pStyle w:val="4"/>
        <w:tabs>
          <w:tab w:val="left" w:pos="180"/>
        </w:tabs>
        <w:spacing w:before="190" w:beforeLines="50" w:beforeAutospacing="0" w:after="0" w:afterAutospacing="0"/>
        <w:ind w:firstLine="482"/>
      </w:pPr>
      <w:bookmarkStart w:id="24" w:name="_Toc514962945"/>
      <w:r>
        <w:t>2.4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可用性/可靠性</w:t>
      </w:r>
      <w:bookmarkEnd w:id="24"/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7*24</w:t>
      </w:r>
      <w:r>
        <w:rPr>
          <w:rFonts w:hint="eastAsia" w:cs="Times New Roman" w:asciiTheme="minorEastAsia" w:hAnsiTheme="minorEastAsia"/>
          <w:sz w:val="24"/>
          <w:szCs w:val="24"/>
        </w:rPr>
        <w:t>小时不间断服务；</w:t>
      </w:r>
      <w:r>
        <w:rPr>
          <w:rFonts w:cs="Times New Roman" w:asciiTheme="minorEastAsia" w:hAnsiTheme="minorEastAsia"/>
          <w:sz w:val="24"/>
          <w:szCs w:val="24"/>
        </w:rPr>
        <w:t xml:space="preserve"> 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系统采用冗余机制保障数据安全、完整；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用户完成任何一项业务，操作步骤不超过</w:t>
      </w:r>
      <w:r>
        <w:rPr>
          <w:rFonts w:cs="Times New Roman" w:asciiTheme="minorEastAsia" w:hAnsiTheme="minorEastAsia"/>
          <w:sz w:val="24"/>
          <w:szCs w:val="24"/>
        </w:rPr>
        <w:t>5</w:t>
      </w:r>
      <w:r>
        <w:rPr>
          <w:rFonts w:hint="eastAsia" w:cs="Times New Roman" w:asciiTheme="minorEastAsia" w:hAnsiTheme="minorEastAsia"/>
          <w:sz w:val="24"/>
          <w:szCs w:val="24"/>
        </w:rPr>
        <w:t>步；</w:t>
      </w:r>
      <w:r>
        <w:rPr>
          <w:rFonts w:cs="Times New Roman" w:asciiTheme="minorEastAsia" w:hAnsiTheme="minorEastAsia"/>
          <w:sz w:val="24"/>
          <w:szCs w:val="24"/>
        </w:rPr>
        <w:t xml:space="preserve"> 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任何用户操作失误或系统错误都有友好的提示信息；</w:t>
      </w:r>
      <w:r>
        <w:rPr>
          <w:rFonts w:cs="Times New Roman" w:asciiTheme="minorEastAsia" w:hAnsiTheme="minorEastAsia"/>
          <w:sz w:val="24"/>
          <w:szCs w:val="24"/>
        </w:rPr>
        <w:t xml:space="preserve">  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方便操作，操作流程合理尽量从用户角度出发，以方便使用本产品。</w:t>
      </w:r>
    </w:p>
    <w:p>
      <w:pPr>
        <w:pStyle w:val="24"/>
        <w:ind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</w:p>
    <w:p>
      <w:pPr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如：忘记密码时，点击忘记密码，可以通过短信的方式方便用户寻回密码，所有操作可仅通过手机微信端完成。</w:t>
      </w:r>
    </w:p>
    <w:p>
      <w:pPr>
        <w:rPr>
          <w:rFonts w:cs="Times New Roman" w:asciiTheme="minorEastAsia" w:hAnsiTheme="minorEastAsia" w:eastAsiaTheme="minorEastAsia"/>
        </w:rPr>
      </w:pP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控制必录入项</w:t>
      </w:r>
    </w:p>
    <w:p>
      <w:pPr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本小程序能够对必须录入的项目进行控制，使用户能够确保信息录入的完整。同时对必录入项进行有效的统一的提示。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容错能力强</w:t>
      </w:r>
    </w:p>
    <w:p>
      <w:pPr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系统具有一定的容错和抗干扰能力，在非硬件故障或非通讯故障时，系统能够保证正常运行，并有足够的提示信息帮助用户有效正确地完成任务。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操作完成时有统一规范的提示信息</w:t>
      </w:r>
    </w:p>
    <w:p>
      <w:pPr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例如删除操作时，系统可提示警示框“您确认删除记录吗？操作不可恢复！”，用户点击确认后，系统才执行删除操作，删除后可直接返回相关页面。</w:t>
      </w:r>
    </w:p>
    <w:p>
      <w:pPr>
        <w:pStyle w:val="24"/>
        <w:numPr>
          <w:ilvl w:val="0"/>
          <w:numId w:val="1"/>
        </w:numPr>
        <w:ind w:left="0" w:firstLine="0" w:firstLineChars="0"/>
        <w:jc w:val="left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用户可自定义</w:t>
      </w:r>
    </w:p>
    <w:p>
      <w:pPr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为了满足业务的不断变化，一些重要的参数应该可以灵活设置。</w:t>
      </w:r>
    </w:p>
    <w:bookmarkEnd w:id="20"/>
    <w:p>
      <w:pPr>
        <w:ind w:right="960" w:firstLine="5040" w:firstLineChars="2100"/>
      </w:pPr>
      <w:r>
        <w:t xml:space="preserve">                  </w:t>
      </w:r>
    </w:p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cols w:space="720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/>
      <w:jc w:val="center"/>
      <w:rPr>
        <w:rFonts w:ascii="Times New Roman" w:hAnsi="Times New Roman" w:cs="Times New Roman"/>
        <w:sz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4733756"/>
      <w:docPartObj>
        <w:docPartGallery w:val="AutoText"/>
      </w:docPartObj>
    </w:sdtPr>
    <w:sdtEndPr>
      <w:rPr>
        <w:rFonts w:ascii="Times New Roman" w:hAnsi="Times New Roman" w:cs="Times New Roman"/>
        <w:sz w:val="21"/>
      </w:rPr>
    </w:sdtEndPr>
    <w:sdtContent>
      <w:p>
        <w:pPr>
          <w:pStyle w:val="6"/>
          <w:ind w:firstLine="360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PAGE   \* MERGEFORMAT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2</w:t>
        </w:r>
        <w:r>
          <w:rPr>
            <w:rFonts w:ascii="Times New Roman" w:hAnsi="Times New Roman" w:cs="Times New Roman"/>
            <w:sz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spacing w:line="240" w:lineRule="auto"/>
      <w:ind w:firstLine="0" w:firstLineChars="0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240" w:lineRule="auto"/>
      <w:ind w:firstLine="0" w:firstLineChars="0"/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E5693"/>
    <w:multiLevelType w:val="multilevel"/>
    <w:tmpl w:val="63FE5693"/>
    <w:lvl w:ilvl="0" w:tentative="0">
      <w:start w:val="1"/>
      <w:numFmt w:val="bullet"/>
      <w:lvlText w:val=""/>
      <w:lvlJc w:val="left"/>
      <w:pPr>
        <w:ind w:left="2117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253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5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7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9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1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3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5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77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21F4"/>
    <w:rsid w:val="0003366F"/>
    <w:rsid w:val="00072E84"/>
    <w:rsid w:val="00092099"/>
    <w:rsid w:val="000C2882"/>
    <w:rsid w:val="000C70D2"/>
    <w:rsid w:val="000D1084"/>
    <w:rsid w:val="000E744B"/>
    <w:rsid w:val="00144C24"/>
    <w:rsid w:val="0017251A"/>
    <w:rsid w:val="00172A27"/>
    <w:rsid w:val="001844DF"/>
    <w:rsid w:val="00187B2A"/>
    <w:rsid w:val="00192783"/>
    <w:rsid w:val="001B6027"/>
    <w:rsid w:val="001C5D4D"/>
    <w:rsid w:val="001D7770"/>
    <w:rsid w:val="002275F0"/>
    <w:rsid w:val="00233461"/>
    <w:rsid w:val="00253601"/>
    <w:rsid w:val="002A0B2A"/>
    <w:rsid w:val="002B2664"/>
    <w:rsid w:val="002C68D0"/>
    <w:rsid w:val="002E4CBD"/>
    <w:rsid w:val="00342A0F"/>
    <w:rsid w:val="00343E7E"/>
    <w:rsid w:val="00393F87"/>
    <w:rsid w:val="003B3EB6"/>
    <w:rsid w:val="003C20AB"/>
    <w:rsid w:val="004004F7"/>
    <w:rsid w:val="00403F5B"/>
    <w:rsid w:val="004472F2"/>
    <w:rsid w:val="004614DC"/>
    <w:rsid w:val="00463BAF"/>
    <w:rsid w:val="004A1688"/>
    <w:rsid w:val="004E4CFC"/>
    <w:rsid w:val="005201E4"/>
    <w:rsid w:val="00520A75"/>
    <w:rsid w:val="005245A4"/>
    <w:rsid w:val="005307A2"/>
    <w:rsid w:val="005543AA"/>
    <w:rsid w:val="00554686"/>
    <w:rsid w:val="005B2FFB"/>
    <w:rsid w:val="005E0B47"/>
    <w:rsid w:val="005E699A"/>
    <w:rsid w:val="0063540E"/>
    <w:rsid w:val="0066561B"/>
    <w:rsid w:val="00671D37"/>
    <w:rsid w:val="006756EB"/>
    <w:rsid w:val="006811AC"/>
    <w:rsid w:val="0068558A"/>
    <w:rsid w:val="00697819"/>
    <w:rsid w:val="006C3FD3"/>
    <w:rsid w:val="006E3A33"/>
    <w:rsid w:val="00725DDB"/>
    <w:rsid w:val="007612A8"/>
    <w:rsid w:val="00761E2A"/>
    <w:rsid w:val="00764FD2"/>
    <w:rsid w:val="00786CB7"/>
    <w:rsid w:val="007B3C43"/>
    <w:rsid w:val="007C28CD"/>
    <w:rsid w:val="008225D8"/>
    <w:rsid w:val="008238D0"/>
    <w:rsid w:val="008608DA"/>
    <w:rsid w:val="008655B5"/>
    <w:rsid w:val="008A5FB6"/>
    <w:rsid w:val="008C26BF"/>
    <w:rsid w:val="008C61B5"/>
    <w:rsid w:val="008E3B9C"/>
    <w:rsid w:val="008E6F6F"/>
    <w:rsid w:val="008E7CC9"/>
    <w:rsid w:val="00906BD6"/>
    <w:rsid w:val="00907A2B"/>
    <w:rsid w:val="009126A8"/>
    <w:rsid w:val="00915338"/>
    <w:rsid w:val="00950961"/>
    <w:rsid w:val="00971C1F"/>
    <w:rsid w:val="0097235E"/>
    <w:rsid w:val="009A5457"/>
    <w:rsid w:val="009C2176"/>
    <w:rsid w:val="009D32DE"/>
    <w:rsid w:val="009E08BF"/>
    <w:rsid w:val="009E2679"/>
    <w:rsid w:val="00A124D0"/>
    <w:rsid w:val="00A60B96"/>
    <w:rsid w:val="00A764EC"/>
    <w:rsid w:val="00AB10B5"/>
    <w:rsid w:val="00AD7E09"/>
    <w:rsid w:val="00AE272A"/>
    <w:rsid w:val="00B75B5B"/>
    <w:rsid w:val="00B81F5A"/>
    <w:rsid w:val="00B831A6"/>
    <w:rsid w:val="00BB5E14"/>
    <w:rsid w:val="00BB76AB"/>
    <w:rsid w:val="00BD67E4"/>
    <w:rsid w:val="00C232F0"/>
    <w:rsid w:val="00C254FE"/>
    <w:rsid w:val="00C355C0"/>
    <w:rsid w:val="00C61103"/>
    <w:rsid w:val="00C9214F"/>
    <w:rsid w:val="00CA0E77"/>
    <w:rsid w:val="00CB0CA1"/>
    <w:rsid w:val="00CE11C1"/>
    <w:rsid w:val="00CF0FF4"/>
    <w:rsid w:val="00D12A0B"/>
    <w:rsid w:val="00D32D6A"/>
    <w:rsid w:val="00D415A3"/>
    <w:rsid w:val="00D42311"/>
    <w:rsid w:val="00D44161"/>
    <w:rsid w:val="00D50D8B"/>
    <w:rsid w:val="00D83EB9"/>
    <w:rsid w:val="00DA1245"/>
    <w:rsid w:val="00DB41ED"/>
    <w:rsid w:val="00DD0798"/>
    <w:rsid w:val="00DD7D16"/>
    <w:rsid w:val="00DF19B6"/>
    <w:rsid w:val="00E42AFD"/>
    <w:rsid w:val="00E44741"/>
    <w:rsid w:val="00E55A7B"/>
    <w:rsid w:val="00E73C28"/>
    <w:rsid w:val="00E86D01"/>
    <w:rsid w:val="00EA23C5"/>
    <w:rsid w:val="00EB2896"/>
    <w:rsid w:val="00F04FC7"/>
    <w:rsid w:val="00F400ED"/>
    <w:rsid w:val="00F460E3"/>
    <w:rsid w:val="00F75017"/>
    <w:rsid w:val="00F82430"/>
    <w:rsid w:val="00FB69A9"/>
    <w:rsid w:val="00FC5E43"/>
    <w:rsid w:val="00FF1D2A"/>
    <w:rsid w:val="00FF49CE"/>
    <w:rsid w:val="00FF60DE"/>
    <w:rsid w:val="0B4051D9"/>
    <w:rsid w:val="1AC25986"/>
    <w:rsid w:val="1ED27A51"/>
    <w:rsid w:val="2370103F"/>
    <w:rsid w:val="2BC1281E"/>
    <w:rsid w:val="2D837A00"/>
    <w:rsid w:val="2EFA050F"/>
    <w:rsid w:val="3973105B"/>
    <w:rsid w:val="4F1D7244"/>
    <w:rsid w:val="54D072EA"/>
    <w:rsid w:val="6A4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0"/>
      </w:tabs>
      <w:spacing w:before="120" w:after="120"/>
      <w:ind w:firstLine="883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黑体"/>
      <w:b/>
      <w:bCs/>
      <w:kern w:val="0"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Cs w:val="27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table" w:styleId="12">
    <w:name w:val="Table Grid"/>
    <w:basedOn w:val="11"/>
    <w:qFormat/>
    <w:uiPriority w:val="0"/>
    <w:pPr>
      <w:tabs>
        <w:tab w:val="left" w:pos="180"/>
      </w:tabs>
      <w:spacing w:line="560" w:lineRule="exact"/>
      <w:ind w:firstLine="64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qFormat/>
    <w:uiPriority w:val="99"/>
    <w:rPr>
      <w:color w:val="0000FF"/>
      <w:u w:val="single"/>
    </w:rPr>
  </w:style>
  <w:style w:type="paragraph" w:customStyle="1" w:styleId="15">
    <w:name w:val="一级标题"/>
    <w:basedOn w:val="1"/>
    <w:qFormat/>
    <w:uiPriority w:val="0"/>
    <w:pPr>
      <w:keepNext/>
      <w:keepLines/>
      <w:widowControl/>
      <w:spacing w:before="50" w:beforeLines="50" w:after="50" w:afterLines="50" w:line="520" w:lineRule="exact"/>
      <w:outlineLvl w:val="0"/>
    </w:pPr>
    <w:rPr>
      <w:rFonts w:ascii="黑体" w:hAnsi="黑体" w:eastAsia="黑体"/>
      <w:b/>
      <w:bCs/>
      <w:kern w:val="44"/>
      <w:sz w:val="36"/>
      <w:szCs w:val="36"/>
    </w:rPr>
  </w:style>
  <w:style w:type="paragraph" w:customStyle="1" w:styleId="16">
    <w:name w:val="二级"/>
    <w:basedOn w:val="3"/>
    <w:qFormat/>
    <w:uiPriority w:val="0"/>
    <w:pPr>
      <w:spacing w:before="50" w:beforeLines="50" w:after="50" w:afterLines="50" w:line="520" w:lineRule="exact"/>
      <w:ind w:firstLine="0" w:firstLineChars="0"/>
    </w:pPr>
    <w:rPr>
      <w:rFonts w:ascii="黑体" w:hAnsi="黑体"/>
    </w:rPr>
  </w:style>
  <w:style w:type="paragraph" w:customStyle="1" w:styleId="17">
    <w:name w:val="三级"/>
    <w:basedOn w:val="4"/>
    <w:qFormat/>
    <w:uiPriority w:val="0"/>
    <w:pPr>
      <w:keepNext/>
      <w:keepLines/>
      <w:tabs>
        <w:tab w:val="left" w:pos="180"/>
      </w:tabs>
      <w:spacing w:before="50" w:beforeLines="50" w:beforeAutospacing="0" w:after="0" w:afterAutospacing="0" w:line="520" w:lineRule="exact"/>
      <w:ind w:firstLine="200"/>
      <w:jc w:val="both"/>
    </w:pPr>
    <w:rPr>
      <w:rFonts w:ascii="仿宋_GB2312" w:eastAsia="仿宋_GB2312"/>
      <w:sz w:val="32"/>
      <w:szCs w:val="32"/>
    </w:rPr>
  </w:style>
  <w:style w:type="paragraph" w:customStyle="1" w:styleId="18">
    <w:name w:val="四级"/>
    <w:basedOn w:val="1"/>
    <w:qFormat/>
    <w:uiPriority w:val="0"/>
    <w:rPr>
      <w:rFonts w:ascii="仿宋_GB2312" w:hAnsi="楷体"/>
      <w:b/>
      <w:kern w:val="0"/>
      <w:szCs w:val="28"/>
    </w:rPr>
  </w:style>
  <w:style w:type="paragraph" w:customStyle="1" w:styleId="1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character" w:customStyle="1" w:styleId="20">
    <w:name w:val="样式 标题 3标题 3 Char Char Char Char Char + 四号 Char"/>
    <w:link w:val="21"/>
    <w:qFormat/>
    <w:uiPriority w:val="0"/>
    <w:rPr>
      <w:rFonts w:eastAsia="黑体"/>
    </w:rPr>
  </w:style>
  <w:style w:type="paragraph" w:customStyle="1" w:styleId="21">
    <w:name w:val="样式 标题 3标题 3 Char Char Char Char Char + 四号"/>
    <w:basedOn w:val="4"/>
    <w:link w:val="20"/>
    <w:qFormat/>
    <w:uiPriority w:val="0"/>
    <w:pPr>
      <w:tabs>
        <w:tab w:val="left" w:pos="180"/>
      </w:tabs>
    </w:pPr>
    <w:rPr>
      <w:rFonts w:eastAsia="黑体"/>
    </w:rPr>
  </w:style>
  <w:style w:type="table" w:customStyle="1" w:styleId="22">
    <w:name w:val="网格型1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3">
    <w:name w:val="网格型2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24">
    <w:name w:val="List Paragraph"/>
    <w:basedOn w:val="1"/>
    <w:qFormat/>
    <w:uiPriority w:val="34"/>
    <w:pPr>
      <w:widowControl/>
      <w:ind w:firstLine="420"/>
    </w:pPr>
    <w:rPr>
      <w:rFonts w:eastAsiaTheme="minorEastAsia"/>
      <w:sz w:val="21"/>
      <w:szCs w:val="22"/>
    </w:rPr>
  </w:style>
  <w:style w:type="character" w:customStyle="1" w:styleId="25">
    <w:name w:val="页脚 字符"/>
    <w:basedOn w:val="13"/>
    <w:link w:val="6"/>
    <w:uiPriority w:val="99"/>
    <w:rPr>
      <w:rFonts w:asciiTheme="minorHAnsi" w:hAnsiTheme="minorHAnsi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jpe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emf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7604;&#36187;&#26448;&#26009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A480A1-F1EF-40BA-BACB-B0E82A9A62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6</Pages>
  <Words>260</Words>
  <Characters>1488</Characters>
  <Lines>12</Lines>
  <Paragraphs>3</Paragraphs>
  <TotalTime>539</TotalTime>
  <ScaleCrop>false</ScaleCrop>
  <LinksUpToDate>false</LinksUpToDate>
  <CharactersWithSpaces>1745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2017-05-06T12:43:00Z</dcterms:created>
  <dc:creator>Administrator</dc:creator>
  <cp:lastModifiedBy>Insomnia</cp:lastModifiedBy>
  <cp:lastPrinted>2018-05-25T13:07:00Z</cp:lastPrinted>
  <dcterms:modified xsi:type="dcterms:W3CDTF">2019-06-19T14:48:25Z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