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_Toc515735819"/>
      <w:r>
        <w:rPr>
          <w:rFonts w:hint="eastAsia"/>
        </w:rPr>
        <w:t>风险</w:t>
      </w:r>
      <w:bookmarkEnd w:id="0"/>
      <w:r>
        <w:rPr>
          <w:rFonts w:hint="eastAsia"/>
        </w:rPr>
        <w:t>登记手册</w:t>
      </w:r>
    </w:p>
    <w:p>
      <w:pPr>
        <w:keepNext/>
        <w:keepLines/>
        <w:spacing w:before="156" w:beforeLines="50" w:line="360" w:lineRule="auto"/>
        <w:outlineLvl w:val="1"/>
        <w:rPr>
          <w:rFonts w:ascii="仿宋" w:hAnsi="仿宋" w:eastAsia="仿宋" w:cs="Times New Roman"/>
          <w:b/>
          <w:bCs/>
          <w:color w:val="000000" w:themeColor="text1"/>
          <w:kern w:val="0"/>
          <w:sz w:val="28"/>
          <w:szCs w:val="28"/>
          <w14:textFill>
            <w14:solidFill>
              <w14:schemeClr w14:val="tx1"/>
            </w14:solidFill>
          </w14:textFill>
        </w:rPr>
      </w:pPr>
      <w:bookmarkStart w:id="1" w:name="_Toc515735820"/>
      <w:bookmarkStart w:id="2" w:name="_Toc482654930"/>
      <w:bookmarkStart w:id="3" w:name="_Toc507934937"/>
      <w:r>
        <w:rPr>
          <w:rFonts w:hint="eastAsia" w:ascii="仿宋" w:hAnsi="仿宋" w:eastAsia="仿宋" w:cs="Times New Roman"/>
          <w:b/>
          <w:bCs/>
          <w:color w:val="000000" w:themeColor="text1"/>
          <w:kern w:val="0"/>
          <w:sz w:val="28"/>
          <w:szCs w:val="28"/>
          <w14:textFill>
            <w14:solidFill>
              <w14:schemeClr w14:val="tx1"/>
            </w14:solidFill>
          </w14:textFill>
        </w:rPr>
        <w:t>外部风险</w:t>
      </w:r>
      <w:bookmarkEnd w:id="1"/>
      <w:bookmarkEnd w:id="2"/>
      <w:bookmarkEnd w:id="3"/>
    </w:p>
    <w:p>
      <w:pPr>
        <w:keepNext/>
        <w:keepLines/>
        <w:spacing w:before="156" w:beforeLines="50"/>
        <w:outlineLvl w:val="2"/>
        <w:rPr>
          <w:rFonts w:ascii="仿宋" w:hAnsi="仿宋" w:eastAsia="仿宋" w:cs="Times New Roman"/>
          <w:b/>
          <w:bCs/>
          <w:color w:val="000000" w:themeColor="text1"/>
          <w:sz w:val="24"/>
          <w:szCs w:val="24"/>
          <w14:textFill>
            <w14:solidFill>
              <w14:schemeClr w14:val="tx1"/>
            </w14:solidFill>
          </w14:textFill>
        </w:rPr>
      </w:pPr>
      <w:bookmarkStart w:id="4" w:name="_Toc482654931"/>
      <w:bookmarkStart w:id="5" w:name="_Toc507934938"/>
      <w:bookmarkStart w:id="6" w:name="_Toc505277341"/>
      <w:bookmarkStart w:id="7" w:name="_Toc505276852"/>
      <w:bookmarkStart w:id="8" w:name="_Toc505269908"/>
      <w:r>
        <w:rPr>
          <w:rFonts w:hint="eastAsia" w:ascii="仿宋" w:hAnsi="仿宋" w:eastAsia="仿宋" w:cs="Times New Roman"/>
          <w:b/>
          <w:bCs/>
          <w:color w:val="000000" w:themeColor="text1"/>
          <w:sz w:val="24"/>
          <w:szCs w:val="24"/>
          <w14:textFill>
            <w14:solidFill>
              <w14:schemeClr w14:val="tx1"/>
            </w14:solidFill>
          </w14:textFill>
        </w:rPr>
        <w:t>竞争风险</w:t>
      </w:r>
      <w:bookmarkEnd w:id="4"/>
      <w:bookmarkEnd w:id="5"/>
      <w:bookmarkEnd w:id="6"/>
      <w:bookmarkEnd w:id="7"/>
      <w:bookmarkEnd w:id="8"/>
    </w:p>
    <w:p>
      <w:pPr>
        <w:spacing w:line="360" w:lineRule="auto"/>
        <w:ind w:firstLine="480" w:firstLineChars="200"/>
        <w:rPr>
          <w:rFonts w:ascii="仿宋" w:hAnsi="仿宋" w:eastAsia="仿宋" w:cs="宋体"/>
          <w:color w:val="000000" w:themeColor="text1"/>
          <w:kern w:val="0"/>
          <w:sz w:val="24"/>
          <w:szCs w:val="24"/>
          <w14:textFill>
            <w14:solidFill>
              <w14:schemeClr w14:val="tx1"/>
            </w14:solidFill>
          </w14:textFill>
        </w:rPr>
      </w:pPr>
      <w:r>
        <w:rPr>
          <w:rFonts w:hint="eastAsia" w:ascii="仿宋" w:hAnsi="仿宋" w:eastAsia="仿宋" w:cs="宋体"/>
          <w:color w:val="000000" w:themeColor="text1"/>
          <w:kern w:val="0"/>
          <w:sz w:val="24"/>
          <w:szCs w:val="24"/>
          <w14:textFill>
            <w14:solidFill>
              <w14:schemeClr w14:val="tx1"/>
            </w14:solidFill>
          </w14:textFill>
        </w:rPr>
        <w:t>竞争对手的针对性行为（如降价、产品的升级换代等）、自身产品不完美、同一区域内实体咖啡店的竞争、低质原材料的价格冲击等造成的客源缺失等。</w:t>
      </w:r>
    </w:p>
    <w:p>
      <w:pPr>
        <w:spacing w:line="360" w:lineRule="auto"/>
        <w:ind w:firstLine="480" w:firstLineChars="200"/>
        <w:rPr>
          <w:rFonts w:ascii="仿宋" w:hAnsi="仿宋" w:eastAsia="仿宋" w:cs="宋体"/>
          <w:color w:val="000000" w:themeColor="text1"/>
          <w:kern w:val="0"/>
          <w:sz w:val="24"/>
          <w:szCs w:val="24"/>
          <w14:textFill>
            <w14:solidFill>
              <w14:schemeClr w14:val="tx1"/>
            </w14:solidFill>
          </w14:textFill>
        </w:rPr>
      </w:pPr>
      <w:r>
        <w:rPr>
          <w:rFonts w:hint="eastAsia" w:ascii="仿宋" w:hAnsi="仿宋" w:eastAsia="仿宋" w:cs="宋体"/>
          <w:color w:val="000000" w:themeColor="text1"/>
          <w:kern w:val="0"/>
          <w:sz w:val="24"/>
          <w:szCs w:val="24"/>
          <w14:textFill>
            <w14:solidFill>
              <w14:schemeClr w14:val="tx1"/>
            </w14:solidFill>
          </w14:textFill>
        </w:rPr>
        <w:t>应对策略：树立超前意识，积极寻找并抓住市场的最新切入点，根据用户的反馈情况不断更新改进产品，进而增强抗风险能力并提高团队的竞争力；保持和客户的紧密联系，保证销量的稳定增长，同时规划给予客户的信用融资，既要尽量争取更多的客户，也要考虑应收账款的回收率，防止发生巨额损失，在必要时要求对方作资产抵押或提供担保人，同时给予客户现金折扣及商品折扣等优惠条件。</w:t>
      </w:r>
      <w:r>
        <w:rPr>
          <w:rFonts w:ascii="仿宋" w:hAnsi="仿宋" w:eastAsia="仿宋" w:cs="宋体"/>
          <w:color w:val="000000" w:themeColor="text1"/>
          <w:kern w:val="0"/>
          <w:sz w:val="24"/>
          <w:szCs w:val="24"/>
          <w14:textFill>
            <w14:solidFill>
              <w14:schemeClr w14:val="tx1"/>
            </w14:solidFill>
          </w14:textFill>
        </w:rPr>
        <w:t xml:space="preserve"> </w:t>
      </w:r>
    </w:p>
    <w:p>
      <w:pPr>
        <w:keepNext/>
        <w:keepLines/>
        <w:spacing w:before="156" w:beforeLines="50"/>
        <w:outlineLvl w:val="2"/>
        <w:rPr>
          <w:rFonts w:ascii="仿宋" w:hAnsi="仿宋" w:eastAsia="仿宋" w:cs="Times New Roman"/>
          <w:b/>
          <w:bCs/>
          <w:color w:val="000000" w:themeColor="text1"/>
          <w:sz w:val="24"/>
          <w:szCs w:val="24"/>
          <w14:textFill>
            <w14:solidFill>
              <w14:schemeClr w14:val="tx1"/>
            </w14:solidFill>
          </w14:textFill>
        </w:rPr>
      </w:pPr>
      <w:bookmarkStart w:id="9" w:name="_Toc482654932"/>
      <w:bookmarkStart w:id="10" w:name="_Toc505277342"/>
      <w:bookmarkStart w:id="11" w:name="_Toc505269909"/>
      <w:bookmarkStart w:id="12" w:name="_Toc505276853"/>
      <w:bookmarkStart w:id="13" w:name="_Toc507934939"/>
      <w:r>
        <w:rPr>
          <w:rFonts w:hint="eastAsia" w:ascii="仿宋" w:hAnsi="仿宋" w:eastAsia="仿宋" w:cs="Times New Roman"/>
          <w:b/>
          <w:bCs/>
          <w:color w:val="000000" w:themeColor="text1"/>
          <w:sz w:val="24"/>
          <w:szCs w:val="24"/>
          <w14:textFill>
            <w14:solidFill>
              <w14:schemeClr w14:val="tx1"/>
            </w14:solidFill>
          </w14:textFill>
        </w:rPr>
        <w:t>市场不确定性风险</w:t>
      </w:r>
      <w:bookmarkEnd w:id="9"/>
      <w:bookmarkEnd w:id="10"/>
      <w:bookmarkEnd w:id="11"/>
      <w:bookmarkEnd w:id="12"/>
      <w:bookmarkEnd w:id="13"/>
    </w:p>
    <w:p>
      <w:pPr>
        <w:spacing w:line="360" w:lineRule="auto"/>
        <w:ind w:firstLine="480" w:firstLineChars="200"/>
        <w:rPr>
          <w:rFonts w:ascii="仿宋" w:hAnsi="仿宋" w:eastAsia="仿宋" w:cs="宋体"/>
          <w:color w:val="000000" w:themeColor="text1"/>
          <w:kern w:val="0"/>
          <w:sz w:val="24"/>
          <w:szCs w:val="24"/>
          <w14:textFill>
            <w14:solidFill>
              <w14:schemeClr w14:val="tx1"/>
            </w14:solidFill>
          </w14:textFill>
        </w:rPr>
      </w:pPr>
      <w:r>
        <w:rPr>
          <w:rFonts w:hint="eastAsia" w:ascii="仿宋" w:hAnsi="仿宋" w:eastAsia="仿宋" w:cs="宋体"/>
          <w:color w:val="000000" w:themeColor="text1"/>
          <w:kern w:val="0"/>
          <w:sz w:val="24"/>
          <w:szCs w:val="24"/>
          <w14:textFill>
            <w14:solidFill>
              <w14:schemeClr w14:val="tx1"/>
            </w14:solidFill>
          </w14:textFill>
        </w:rPr>
        <w:t>新替代品的出现</w:t>
      </w:r>
    </w:p>
    <w:p>
      <w:pPr>
        <w:spacing w:line="360" w:lineRule="auto"/>
        <w:ind w:firstLine="480" w:firstLineChars="200"/>
        <w:rPr>
          <w:rFonts w:ascii="仿宋" w:hAnsi="仿宋" w:eastAsia="仿宋" w:cs="Calibri"/>
          <w:color w:val="000000" w:themeColor="text1"/>
          <w:sz w:val="24"/>
          <w:szCs w:val="24"/>
          <w14:textFill>
            <w14:solidFill>
              <w14:schemeClr w14:val="tx1"/>
            </w14:solidFill>
          </w14:textFill>
        </w:rPr>
      </w:pPr>
      <w:r>
        <w:rPr>
          <w:rFonts w:hint="eastAsia" w:ascii="仿宋" w:hAnsi="仿宋" w:eastAsia="仿宋" w:cs="宋体"/>
          <w:color w:val="000000" w:themeColor="text1"/>
          <w:kern w:val="0"/>
          <w:sz w:val="24"/>
          <w:szCs w:val="24"/>
          <w14:textFill>
            <w14:solidFill>
              <w14:schemeClr w14:val="tx1"/>
            </w14:solidFill>
          </w14:textFill>
        </w:rPr>
        <w:t>应对策略：在技术上不断地寻求突破，使产品更加完善；根据客户的意见或建议不断改进产品的缺点，让产品更快地适应市场需求；利用强有力的营销组合和客户服务建立高知名度、高信誉度、高忠诚度的品牌形象；运用</w:t>
      </w:r>
      <w:r>
        <w:rPr>
          <w:rFonts w:hint="eastAsia" w:ascii="仿宋" w:hAnsi="仿宋" w:eastAsia="仿宋" w:cs="Calibri"/>
          <w:color w:val="000000" w:themeColor="text1"/>
          <w:sz w:val="24"/>
          <w:szCs w:val="24"/>
          <w14:textFill>
            <w14:solidFill>
              <w14:schemeClr w14:val="tx1"/>
            </w14:solidFill>
          </w14:textFill>
        </w:rPr>
        <w:t>灵活的合作模式、强大云服务平台的支撑、稳固的供应链使“</w:t>
      </w:r>
      <w:r>
        <w:rPr>
          <w:rFonts w:hint="eastAsia" w:ascii="仿宋" w:hAnsi="仿宋" w:eastAsia="仿宋" w:cs="Calibri"/>
          <w:color w:val="000000" w:themeColor="text1"/>
          <w:sz w:val="24"/>
          <w:szCs w:val="24"/>
          <w:lang w:val="en-US" w:eastAsia="zh-CN"/>
          <w14:textFill>
            <w14:solidFill>
              <w14:schemeClr w14:val="tx1"/>
            </w14:solidFill>
          </w14:textFill>
        </w:rPr>
        <w:t>校园二手</w:t>
      </w:r>
      <w:r>
        <w:rPr>
          <w:rFonts w:hint="eastAsia" w:ascii="仿宋" w:hAnsi="仿宋" w:eastAsia="仿宋" w:cs="Calibri"/>
          <w:color w:val="000000" w:themeColor="text1"/>
          <w:sz w:val="24"/>
          <w:szCs w:val="24"/>
          <w14:textFill>
            <w14:solidFill>
              <w14:schemeClr w14:val="tx1"/>
            </w14:solidFill>
          </w14:textFill>
        </w:rPr>
        <w:t>”在市场中具有强大的生命力；高可靠质量与高品质的口感和强有力的营销组合有利于建立高知名度、高信誉度、高忠诚度的品牌形象。</w:t>
      </w:r>
    </w:p>
    <w:p>
      <w:pPr>
        <w:keepNext/>
        <w:keepLines/>
        <w:spacing w:before="156" w:beforeLines="50"/>
        <w:outlineLvl w:val="2"/>
        <w:rPr>
          <w:rFonts w:ascii="仿宋" w:hAnsi="仿宋" w:eastAsia="仿宋" w:cs="Times New Roman"/>
          <w:b/>
          <w:bCs/>
          <w:color w:val="000000" w:themeColor="text1"/>
          <w:sz w:val="24"/>
          <w:szCs w:val="24"/>
          <w14:textFill>
            <w14:solidFill>
              <w14:schemeClr w14:val="tx1"/>
            </w14:solidFill>
          </w14:textFill>
        </w:rPr>
      </w:pPr>
      <w:r>
        <w:rPr>
          <w:rFonts w:hint="eastAsia" w:ascii="仿宋" w:hAnsi="仿宋" w:eastAsia="仿宋" w:cs="Times New Roman"/>
          <w:b/>
          <w:bCs/>
          <w:color w:val="000000" w:themeColor="text1"/>
          <w:sz w:val="24"/>
          <w:szCs w:val="24"/>
          <w14:textFill>
            <w14:solidFill>
              <w14:schemeClr w14:val="tx1"/>
            </w14:solidFill>
          </w14:textFill>
        </w:rPr>
        <w:t>客户生活情况的制约</w:t>
      </w:r>
    </w:p>
    <w:p>
      <w:pPr>
        <w:keepNext/>
        <w:keepLines/>
        <w:spacing w:before="156" w:beforeLines="50" w:line="360" w:lineRule="auto"/>
        <w:outlineLvl w:val="1"/>
        <w:rPr>
          <w:rFonts w:hint="eastAsia" w:ascii="仿宋" w:hAnsi="仿宋" w:eastAsia="仿宋" w:cs="Times New Roman"/>
          <w:b/>
          <w:bCs/>
          <w:color w:val="000000" w:themeColor="text1"/>
          <w:kern w:val="0"/>
          <w:sz w:val="28"/>
          <w:szCs w:val="28"/>
          <w14:textFill>
            <w14:solidFill>
              <w14:schemeClr w14:val="tx1"/>
            </w14:solidFill>
          </w14:textFill>
        </w:rPr>
      </w:pPr>
      <w:bookmarkStart w:id="14" w:name="_Toc482654935"/>
      <w:bookmarkStart w:id="15" w:name="_Toc507934940"/>
      <w:bookmarkStart w:id="16" w:name="_Toc515735821"/>
      <w:r>
        <w:rPr>
          <w:rFonts w:hint="eastAsia" w:ascii="仿宋" w:hAnsi="仿宋" w:eastAsia="仿宋" w:cs="Times New Roman"/>
          <w:b/>
          <w:bCs/>
          <w:color w:val="000000" w:themeColor="text1"/>
          <w:kern w:val="0"/>
          <w:sz w:val="28"/>
          <w:szCs w:val="28"/>
          <w14:textFill>
            <w14:solidFill>
              <w14:schemeClr w14:val="tx1"/>
            </w14:solidFill>
          </w14:textFill>
        </w:rPr>
        <w:t>内部风险</w:t>
      </w:r>
      <w:bookmarkEnd w:id="14"/>
      <w:bookmarkEnd w:id="15"/>
      <w:bookmarkEnd w:id="16"/>
    </w:p>
    <w:p>
      <w:pPr>
        <w:spacing w:line="360" w:lineRule="auto"/>
        <w:ind w:firstLine="480" w:firstLineChars="200"/>
        <w:rPr>
          <w:rFonts w:hint="default" w:ascii="仿宋" w:hAnsi="仿宋" w:eastAsia="仿宋" w:cs="宋体"/>
          <w:color w:val="000000" w:themeColor="text1"/>
          <w:kern w:val="0"/>
          <w:sz w:val="24"/>
          <w:szCs w:val="24"/>
          <w:lang w:val="en-US" w:eastAsia="zh-CN"/>
          <w14:textFill>
            <w14:solidFill>
              <w14:schemeClr w14:val="tx1"/>
            </w14:solidFill>
          </w14:textFill>
        </w:rPr>
      </w:pPr>
      <w:r>
        <w:rPr>
          <w:rFonts w:hint="eastAsia" w:ascii="仿宋" w:hAnsi="仿宋" w:eastAsia="仿宋" w:cs="宋体"/>
          <w:color w:val="000000" w:themeColor="text1"/>
          <w:kern w:val="0"/>
          <w:sz w:val="24"/>
          <w:szCs w:val="24"/>
          <w:lang w:val="en-US" w:eastAsia="zh-CN"/>
          <w14:textFill>
            <w14:solidFill>
              <w14:schemeClr w14:val="tx1"/>
            </w14:solidFill>
          </w14:textFill>
        </w:rPr>
        <w:t>分成问题和股份问题</w:t>
      </w:r>
    </w:p>
    <w:p>
      <w:pPr>
        <w:keepNext/>
        <w:keepLines/>
        <w:spacing w:before="156" w:beforeLines="50"/>
        <w:outlineLvl w:val="2"/>
        <w:rPr>
          <w:rFonts w:ascii="仿宋" w:hAnsi="仿宋" w:eastAsia="仿宋" w:cs="Times New Roman"/>
          <w:b/>
          <w:bCs/>
          <w:color w:val="000000" w:themeColor="text1"/>
          <w:sz w:val="24"/>
          <w:szCs w:val="24"/>
          <w14:textFill>
            <w14:solidFill>
              <w14:schemeClr w14:val="tx1"/>
            </w14:solidFill>
          </w14:textFill>
        </w:rPr>
      </w:pPr>
      <w:bookmarkStart w:id="17" w:name="_Toc505269911"/>
      <w:bookmarkStart w:id="18" w:name="_Toc507934941"/>
      <w:bookmarkStart w:id="19" w:name="_Toc505277344"/>
      <w:bookmarkStart w:id="20" w:name="_Toc482654936"/>
      <w:r>
        <w:rPr>
          <w:rFonts w:hint="eastAsia" w:ascii="仿宋" w:hAnsi="仿宋" w:eastAsia="仿宋" w:cs="Times New Roman"/>
          <w:b/>
          <w:bCs/>
          <w:color w:val="000000" w:themeColor="text1"/>
          <w:sz w:val="24"/>
          <w:szCs w:val="24"/>
          <w14:textFill>
            <w14:solidFill>
              <w14:schemeClr w14:val="tx1"/>
            </w14:solidFill>
          </w14:textFill>
        </w:rPr>
        <w:t>资金风险</w:t>
      </w:r>
      <w:bookmarkEnd w:id="17"/>
      <w:bookmarkEnd w:id="18"/>
      <w:bookmarkEnd w:id="19"/>
      <w:bookmarkEnd w:id="20"/>
      <w:bookmarkStart w:id="29" w:name="_GoBack"/>
      <w:bookmarkEnd w:id="29"/>
    </w:p>
    <w:p>
      <w:pPr>
        <w:spacing w:line="360" w:lineRule="auto"/>
        <w:ind w:firstLine="480" w:firstLineChars="200"/>
        <w:rPr>
          <w:rFonts w:ascii="仿宋" w:hAnsi="仿宋" w:eastAsia="仿宋" w:cs="宋体"/>
          <w:color w:val="000000" w:themeColor="text1"/>
          <w:kern w:val="0"/>
          <w:sz w:val="24"/>
          <w:szCs w:val="24"/>
          <w14:textFill>
            <w14:solidFill>
              <w14:schemeClr w14:val="tx1"/>
            </w14:solidFill>
          </w14:textFill>
        </w:rPr>
      </w:pPr>
      <w:r>
        <w:rPr>
          <w:rFonts w:hint="eastAsia" w:ascii="仿宋" w:hAnsi="仿宋" w:eastAsia="仿宋" w:cs="宋体"/>
          <w:color w:val="000000" w:themeColor="text1"/>
          <w:kern w:val="0"/>
          <w:sz w:val="24"/>
          <w:szCs w:val="24"/>
          <w14:textFill>
            <w14:solidFill>
              <w14:schemeClr w14:val="tx1"/>
            </w14:solidFill>
          </w14:textFill>
        </w:rPr>
        <w:t>无法找到外部投资者或者无法募足外部资金，这对团队初期的运作将产生很大的影响；经营期资金引用的效率和效果；资金管理不当，尤其是现金流转缺乏计划性；举债过多，资本结构失当；某个财务月份或财务年度收支不平衡造成的不稳定性。</w:t>
      </w:r>
    </w:p>
    <w:p>
      <w:pPr>
        <w:spacing w:line="360" w:lineRule="auto"/>
        <w:ind w:firstLine="480" w:firstLineChars="200"/>
        <w:rPr>
          <w:rFonts w:ascii="仿宋" w:hAnsi="仿宋" w:eastAsia="仿宋" w:cs="宋体"/>
          <w:color w:val="000000" w:themeColor="text1"/>
          <w:kern w:val="0"/>
          <w:sz w:val="24"/>
          <w:szCs w:val="24"/>
          <w14:textFill>
            <w14:solidFill>
              <w14:schemeClr w14:val="tx1"/>
            </w14:solidFill>
          </w14:textFill>
        </w:rPr>
      </w:pPr>
      <w:r>
        <w:rPr>
          <w:rFonts w:hint="eastAsia" w:ascii="仿宋" w:hAnsi="仿宋" w:eastAsia="仿宋" w:cs="宋体"/>
          <w:color w:val="000000" w:themeColor="text1"/>
          <w:kern w:val="0"/>
          <w:sz w:val="24"/>
          <w:szCs w:val="24"/>
          <w14:textFill>
            <w14:solidFill>
              <w14:schemeClr w14:val="tx1"/>
            </w14:solidFill>
          </w14:textFill>
        </w:rPr>
        <w:t>应对策略：采取对外委托加工的方式将大大降低生产资金的投入和管理上的风险；规划失当的资本结构，保证资本能够有合理的收益；融资渠道多样；严密监控资金流转，保持合适的流动比率，防止团队权益资本利润率下降、资金周转困难乃至无法到期偿债而面临破产倒闭危机。</w:t>
      </w:r>
    </w:p>
    <w:p>
      <w:pPr>
        <w:keepNext/>
        <w:keepLines/>
        <w:spacing w:before="156" w:beforeLines="50"/>
        <w:outlineLvl w:val="2"/>
        <w:rPr>
          <w:rFonts w:ascii="仿宋" w:hAnsi="仿宋" w:eastAsia="仿宋" w:cs="Times New Roman"/>
          <w:b/>
          <w:bCs/>
          <w:color w:val="000000" w:themeColor="text1"/>
          <w:sz w:val="24"/>
          <w:szCs w:val="24"/>
          <w14:textFill>
            <w14:solidFill>
              <w14:schemeClr w14:val="tx1"/>
            </w14:solidFill>
          </w14:textFill>
        </w:rPr>
      </w:pPr>
      <w:bookmarkStart w:id="21" w:name="_Toc507934942"/>
      <w:bookmarkStart w:id="22" w:name="_Toc482654937"/>
      <w:bookmarkStart w:id="23" w:name="_Toc505269912"/>
      <w:bookmarkStart w:id="24" w:name="_Toc505277345"/>
      <w:r>
        <w:rPr>
          <w:rFonts w:hint="eastAsia" w:ascii="仿宋" w:hAnsi="仿宋" w:eastAsia="仿宋" w:cs="Times New Roman"/>
          <w:b/>
          <w:bCs/>
          <w:color w:val="000000" w:themeColor="text1"/>
          <w:sz w:val="24"/>
          <w:szCs w:val="24"/>
          <w14:textFill>
            <w14:solidFill>
              <w14:schemeClr w14:val="tx1"/>
            </w14:solidFill>
          </w14:textFill>
        </w:rPr>
        <w:t>管理风险</w:t>
      </w:r>
      <w:bookmarkEnd w:id="21"/>
      <w:bookmarkEnd w:id="22"/>
      <w:bookmarkEnd w:id="23"/>
      <w:bookmarkEnd w:id="24"/>
    </w:p>
    <w:p>
      <w:pPr>
        <w:spacing w:line="360" w:lineRule="auto"/>
        <w:ind w:firstLine="480" w:firstLineChars="200"/>
        <w:rPr>
          <w:rFonts w:ascii="仿宋" w:hAnsi="仿宋" w:eastAsia="仿宋" w:cs="宋体"/>
          <w:color w:val="000000" w:themeColor="text1"/>
          <w:kern w:val="0"/>
          <w:sz w:val="24"/>
          <w:szCs w:val="24"/>
          <w14:textFill>
            <w14:solidFill>
              <w14:schemeClr w14:val="tx1"/>
            </w14:solidFill>
          </w14:textFill>
        </w:rPr>
      </w:pPr>
      <w:r>
        <w:rPr>
          <w:rFonts w:hint="eastAsia" w:ascii="仿宋" w:hAnsi="仿宋" w:eastAsia="仿宋" w:cs="宋体"/>
          <w:color w:val="000000" w:themeColor="text1"/>
          <w:kern w:val="0"/>
          <w:sz w:val="24"/>
          <w:szCs w:val="24"/>
          <w14:textFill>
            <w14:solidFill>
              <w14:schemeClr w14:val="tx1"/>
            </w14:solidFill>
          </w14:textFill>
        </w:rPr>
        <w:t>团队管理者能力、经验、知识结构的缺陷；重大决策的失误；客户关系、公共关系的恶化；各种意外（包括责任事故、自然灾害等）。</w:t>
      </w:r>
    </w:p>
    <w:p>
      <w:pPr>
        <w:spacing w:line="360" w:lineRule="auto"/>
        <w:ind w:firstLine="480" w:firstLineChars="200"/>
        <w:rPr>
          <w:rFonts w:ascii="仿宋" w:hAnsi="仿宋" w:eastAsia="仿宋" w:cs="宋体"/>
          <w:color w:val="000000" w:themeColor="text1"/>
          <w:kern w:val="0"/>
          <w:sz w:val="24"/>
          <w:szCs w:val="24"/>
          <w14:textFill>
            <w14:solidFill>
              <w14:schemeClr w14:val="tx1"/>
            </w14:solidFill>
          </w14:textFill>
        </w:rPr>
      </w:pPr>
      <w:r>
        <w:rPr>
          <w:rFonts w:hint="eastAsia" w:ascii="仿宋" w:hAnsi="仿宋" w:eastAsia="仿宋" w:cs="宋体"/>
          <w:color w:val="000000" w:themeColor="text1"/>
          <w:kern w:val="0"/>
          <w:sz w:val="24"/>
          <w:szCs w:val="24"/>
          <w14:textFill>
            <w14:solidFill>
              <w14:schemeClr w14:val="tx1"/>
            </w14:solidFill>
          </w14:textFill>
        </w:rPr>
        <w:t>应对策略：建立完善的内部控制机制，明确各工作人员的职责，加强监督；我们有强大的MBA专家顾问团队对团队经营进行指导；积极的人才引进机制使团队不断提升，降低决策失误。</w:t>
      </w:r>
    </w:p>
    <w:p>
      <w:pPr>
        <w:keepNext/>
        <w:keepLines/>
        <w:spacing w:before="156" w:beforeLines="50"/>
        <w:outlineLvl w:val="2"/>
        <w:rPr>
          <w:rFonts w:ascii="仿宋" w:hAnsi="仿宋" w:eastAsia="仿宋" w:cs="Times New Roman"/>
          <w:b/>
          <w:bCs/>
          <w:color w:val="000000" w:themeColor="text1"/>
          <w:sz w:val="24"/>
          <w:szCs w:val="24"/>
          <w14:textFill>
            <w14:solidFill>
              <w14:schemeClr w14:val="tx1"/>
            </w14:solidFill>
          </w14:textFill>
        </w:rPr>
      </w:pPr>
      <w:bookmarkStart w:id="25" w:name="_Toc482654938"/>
      <w:bookmarkStart w:id="26" w:name="_Toc507934943"/>
      <w:bookmarkStart w:id="27" w:name="_Toc505277346"/>
      <w:bookmarkStart w:id="28" w:name="_Toc505269913"/>
      <w:r>
        <w:rPr>
          <w:rFonts w:hint="eastAsia" w:ascii="仿宋" w:hAnsi="仿宋" w:eastAsia="仿宋" w:cs="Times New Roman"/>
          <w:b/>
          <w:bCs/>
          <w:color w:val="000000" w:themeColor="text1"/>
          <w:sz w:val="24"/>
          <w:szCs w:val="24"/>
          <w14:textFill>
            <w14:solidFill>
              <w14:schemeClr w14:val="tx1"/>
            </w14:solidFill>
          </w14:textFill>
        </w:rPr>
        <w:t>技术风险</w:t>
      </w:r>
      <w:bookmarkEnd w:id="25"/>
      <w:bookmarkEnd w:id="26"/>
      <w:bookmarkEnd w:id="27"/>
      <w:bookmarkEnd w:id="28"/>
    </w:p>
    <w:p>
      <w:pPr>
        <w:spacing w:line="360" w:lineRule="auto"/>
        <w:ind w:firstLine="480" w:firstLineChars="200"/>
        <w:rPr>
          <w:rFonts w:ascii="仿宋" w:hAnsi="仿宋" w:eastAsia="仿宋" w:cs="宋体"/>
          <w:color w:val="000000" w:themeColor="text1"/>
          <w:kern w:val="0"/>
          <w:sz w:val="24"/>
          <w:szCs w:val="24"/>
          <w14:textFill>
            <w14:solidFill>
              <w14:schemeClr w14:val="tx1"/>
            </w14:solidFill>
          </w14:textFill>
        </w:rPr>
      </w:pPr>
      <w:r>
        <w:rPr>
          <w:rFonts w:hint="eastAsia" w:ascii="仿宋" w:hAnsi="仿宋" w:eastAsia="仿宋" w:cs="宋体"/>
          <w:color w:val="000000" w:themeColor="text1"/>
          <w:kern w:val="0"/>
          <w:sz w:val="24"/>
          <w:szCs w:val="24"/>
          <w14:textFill>
            <w14:solidFill>
              <w14:schemeClr w14:val="tx1"/>
            </w14:solidFill>
          </w14:textFill>
        </w:rPr>
        <w:t>技术人员数量、素质与研发投入等不能满足团队技术发展的需要。</w:t>
      </w:r>
    </w:p>
    <w:p>
      <w:pPr>
        <w:spacing w:line="360" w:lineRule="auto"/>
        <w:ind w:firstLine="480" w:firstLineChars="200"/>
        <w:rPr>
          <w:rFonts w:ascii="仿宋" w:hAnsi="仿宋" w:eastAsia="仿宋" w:cs="宋体"/>
          <w:color w:val="000000" w:themeColor="text1"/>
          <w:kern w:val="0"/>
          <w:sz w:val="24"/>
          <w:szCs w:val="24"/>
          <w14:textFill>
            <w14:solidFill>
              <w14:schemeClr w14:val="tx1"/>
            </w14:solidFill>
          </w14:textFill>
        </w:rPr>
      </w:pPr>
      <w:r>
        <w:rPr>
          <w:rFonts w:hint="eastAsia" w:ascii="仿宋" w:hAnsi="仿宋" w:eastAsia="仿宋" w:cs="宋体"/>
          <w:color w:val="000000" w:themeColor="text1"/>
          <w:kern w:val="0"/>
          <w:sz w:val="24"/>
          <w:szCs w:val="24"/>
          <w14:textFill>
            <w14:solidFill>
              <w14:schemeClr w14:val="tx1"/>
            </w14:solidFill>
          </w14:textFill>
        </w:rPr>
        <w:t>应对策略：加大对专利技术和应用软件</w:t>
      </w:r>
      <w:r>
        <w:rPr>
          <w:rFonts w:ascii="仿宋" w:hAnsi="仿宋" w:eastAsia="仿宋" w:cs="宋体"/>
          <w:color w:val="000000" w:themeColor="text1"/>
          <w:kern w:val="0"/>
          <w:sz w:val="24"/>
          <w:szCs w:val="24"/>
          <w14:textFill>
            <w14:solidFill>
              <w14:schemeClr w14:val="tx1"/>
            </w14:solidFill>
          </w14:textFill>
        </w:rPr>
        <w:t>的保护和</w:t>
      </w:r>
      <w:r>
        <w:rPr>
          <w:rFonts w:hint="eastAsia" w:ascii="仿宋" w:hAnsi="仿宋" w:eastAsia="仿宋" w:cs="宋体"/>
          <w:color w:val="000000" w:themeColor="text1"/>
          <w:kern w:val="0"/>
          <w:sz w:val="24"/>
          <w:szCs w:val="24"/>
          <w14:textFill>
            <w14:solidFill>
              <w14:schemeClr w14:val="tx1"/>
            </w14:solidFill>
          </w14:textFill>
        </w:rPr>
        <w:t>研发的投入，加强技术研发队伍的建设，提高整体研发能力；对消费者需求的产品进行研发改进，使技术不断地适应市场。</w:t>
      </w:r>
    </w:p>
    <w:p>
      <w:pPr>
        <w:spacing w:line="360" w:lineRule="auto"/>
        <w:rPr>
          <w:rFonts w:cs="宋体" w:asciiTheme="minorEastAsia" w:hAnsiTheme="minorEastAsia"/>
          <w:kern w:val="0"/>
          <w:sz w:val="24"/>
          <w:szCs w:val="24"/>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1DB"/>
    <w:rsid w:val="004F70DD"/>
    <w:rsid w:val="007261DB"/>
    <w:rsid w:val="007C222C"/>
    <w:rsid w:val="00A479BE"/>
    <w:rsid w:val="0AA35D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9"/>
    <w:qFormat/>
    <w:uiPriority w:val="9"/>
    <w:pPr>
      <w:keepNext/>
      <w:keepLines/>
      <w:spacing w:before="156" w:beforeLines="50" w:after="156" w:afterLines="50" w:line="360" w:lineRule="auto"/>
      <w:jc w:val="center"/>
      <w:outlineLvl w:val="1"/>
    </w:pPr>
    <w:rPr>
      <w:rFonts w:ascii="黑体" w:hAnsi="黑体" w:eastAsia="黑体" w:cs="Times New Roman"/>
      <w:b/>
      <w:bCs/>
      <w:kern w:val="0"/>
      <w:sz w:val="32"/>
      <w:szCs w:val="32"/>
    </w:rPr>
  </w:style>
  <w:style w:type="character" w:default="1" w:styleId="6">
    <w:name w:val="Default Paragraph Font"/>
    <w:semiHidden/>
    <w:unhideWhenUsed/>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3">
    <w:name w:val="footer"/>
    <w:basedOn w:val="1"/>
    <w:link w:val="8"/>
    <w:unhideWhenUsed/>
    <w:uiPriority w:val="99"/>
    <w:pPr>
      <w:tabs>
        <w:tab w:val="center" w:pos="4153"/>
        <w:tab w:val="right" w:pos="8306"/>
      </w:tabs>
      <w:snapToGrid w:val="0"/>
      <w:jc w:val="left"/>
    </w:pPr>
    <w:rPr>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字符"/>
    <w:basedOn w:val="6"/>
    <w:link w:val="4"/>
    <w:uiPriority w:val="99"/>
    <w:rPr>
      <w:sz w:val="18"/>
      <w:szCs w:val="18"/>
    </w:rPr>
  </w:style>
  <w:style w:type="character" w:customStyle="1" w:styleId="8">
    <w:name w:val="页脚 字符"/>
    <w:basedOn w:val="6"/>
    <w:link w:val="3"/>
    <w:qFormat/>
    <w:uiPriority w:val="99"/>
    <w:rPr>
      <w:sz w:val="18"/>
      <w:szCs w:val="18"/>
    </w:rPr>
  </w:style>
  <w:style w:type="character" w:customStyle="1" w:styleId="9">
    <w:name w:val="标题 2 字符"/>
    <w:basedOn w:val="6"/>
    <w:link w:val="2"/>
    <w:uiPriority w:val="9"/>
    <w:rPr>
      <w:rFonts w:ascii="黑体" w:hAnsi="黑体" w:eastAsia="黑体" w:cs="Times New Roman"/>
      <w:b/>
      <w:bCs/>
      <w:kern w:val="0"/>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176</Words>
  <Characters>1004</Characters>
  <Lines>8</Lines>
  <Paragraphs>2</Paragraphs>
  <TotalTime>2</TotalTime>
  <ScaleCrop>false</ScaleCrop>
  <LinksUpToDate>false</LinksUpToDate>
  <CharactersWithSpaces>1178</CharactersWithSpaces>
  <Application>WPS Office_11.1.0.8751_F1E327BC-269C-435d-A152-05C5408002CA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2019-06-19T00:54:00Z</dcterms:created>
  <dc:creator>13833</dc:creator>
  <cp:lastModifiedBy>Insomnia</cp:lastModifiedBy>
  <dcterms:modified xsi:type="dcterms:W3CDTF">2019-06-19T14:49:34Z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2052-11.1.0.8751</vt:lpwstr>
  </property>
</Properties>
</file>