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Times New Roman" w:cs="Times New Roman" w:eastAsia="SimSun" w:hAnsi="Times New Roman"/>
          <w:b/>
          <w:bCs/>
          <w:sz w:val="40"/>
          <w:szCs w:val="40"/>
        </w:rPr>
        <w:t xml:space="preserve">算法复现工作文档 01</w:t>
      </w:r>
    </w:p>
    <w:p>
      <w:pPr>
        <w:spacing w:after="240"/>
        <w:jc w:val="center"/>
      </w:pPr>
      <w:r>
        <w:rPr>
          <w:rFonts w:ascii="Times New Roman" w:cs="Times New Roman" w:eastAsia="SimSun" w:hAnsi="Times New Roman"/>
          <w:b/>
          <w:bCs/>
          <w:sz w:val="30"/>
          <w:szCs w:val="30"/>
        </w:rPr>
        <w:t xml:space="preserve">IAP-NSGA-III：用于武器目标分配的自适应并行遗传算法</w:t>
      </w:r>
    </w:p>
    <w:p>
      <w:pPr>
        <w:spacing w:after="480"/>
        <w:jc w:val="center"/>
      </w:pPr>
      <w:r>
        <w:rPr>
          <w:rFonts w:ascii="Times New Roman" w:cs="Times New Roman" w:eastAsia="SimSun" w:hAnsi="Times New Roman"/>
          <w:sz w:val="22"/>
          <w:szCs w:val="22"/>
        </w:rPr>
        <w:t xml:space="preserve">（大创项目 · 面向多群分散入侵目标的无人机集群打击任务分配方法研究，2026-09-07）</w:t>
      </w:r>
    </w:p>
    <w:p>
      <w:pPr>
        <w:pStyle w:val="Heading1"/>
        <w:spacing w:after="200" w:before="360"/>
      </w:pPr>
      <w:r>
        <w:rPr>
          <w:rFonts w:ascii="Times New Roman" w:cs="Times New Roman" w:eastAsia="SimSun" w:hAnsi="Times New Roman"/>
          <w:b/>
          <w:bCs/>
          <w:sz w:val="32"/>
          <w:szCs w:val="32"/>
        </w:rPr>
        <w:t xml:space="preserve">一、文献信息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项目</w:t>
            </w:r>
          </w:p>
        </w:tc>
        <w:tc>
          <w:tcPr>
            <w:tcW w:type="dxa" w:w="64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文献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刘富樯，周伦，刘中阳，等. 用于武器目标分配的自适应并行遗传算法[J]. 机械工程学报，2026，62(11)：116-131.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问题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要地防空武器目标分配（WTA）：n 个来袭目标、m 种防御武器，静态双目标优化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算法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IAP-NSGA-III（改进的自适应并行非支配排序遗传算法）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原文实验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6 种规模场景（m=5~30、n=10~30），Matlab R2021a；比 NSGA-III/CMOPSO/MOBMA/iAM2M 快 1.53~2.11 倍，单次 0.54~1.01 s，HV 与 Wilcoxon 检验全面占优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选用理由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与本项目同属防空 WTA 问题类；其双目标（剩余威胁 + 武器成本）与本项目指标 a（打击总收益）、d（效费比）数学同构；毁伤累积公式与边际效益约束可直接借用</w:t>
            </w:r>
          </w:p>
        </w:tc>
      </w:tr>
    </w:tbl>
    <w:p>
      <w:pPr>
        <w:pStyle w:val="Heading1"/>
        <w:spacing w:after="200" w:before="360"/>
      </w:pPr>
      <w:r>
        <w:rPr>
          <w:rFonts w:ascii="Times New Roman" w:cs="Times New Roman" w:eastAsia="SimSun" w:hAnsi="Times New Roman"/>
          <w:b/>
          <w:bCs/>
          <w:sz w:val="32"/>
          <w:szCs w:val="32"/>
        </w:rPr>
        <w:t xml:space="preserve">二、原文方法概述</w:t>
      </w:r>
    </w:p>
    <w:p>
      <w:pPr>
        <w:pStyle w:val="Heading2"/>
        <w:spacing w:after="160" w:before="280"/>
      </w:pPr>
      <w:r>
        <w:rPr>
          <w:rFonts w:ascii="Times New Roman" w:cs="Times New Roman" w:eastAsia="SimSun" w:hAnsi="Times New Roman"/>
          <w:b/>
          <w:bCs/>
          <w:sz w:val="26"/>
          <w:szCs w:val="26"/>
        </w:rPr>
        <w:t xml:space="preserve">（一）模型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目标 f1：最小化敌方剩余威胁值（威胁值归一化，毁伤按弹药数累积：单武器 P=1-(1-p)^x，多武器 P=1-∏(1-p)^x）；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目标 f2：最小化武器消耗成本；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约束：弹药容量、全目标打击、最低毁伤阈值（保证有效打击）、最高毁伤阈值 Pj,max（边际效益约束，防止对单目标过度投入火力）、整数取值。</w:t>
      </w:r>
    </w:p>
    <w:p>
      <w:pPr>
        <w:pStyle w:val="Heading2"/>
        <w:spacing w:after="160" w:before="280"/>
      </w:pPr>
      <w:r>
        <w:rPr>
          <w:rFonts w:ascii="Times New Roman" w:cs="Times New Roman" w:eastAsia="SimSun" w:hAnsi="Times New Roman"/>
          <w:b/>
          <w:bCs/>
          <w:sz w:val="26"/>
          <w:szCs w:val="26"/>
        </w:rPr>
        <w:t xml:space="preserve">（二）算法三处改进</w:t>
      </w:r>
    </w:p>
    <w:p>
      <w:pPr>
        <w:pStyle w:val="ListParagraph"/>
        <w:numPr>
          <w:ilvl w:val="0"/>
          <w:numId w:val="3"/>
        </w:numPr>
        <w:spacing w:after="16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DDA-NS 优势度矩阵排序：用支配度计数替代逐对支配比较，替代 NSGA-III 的快速非支配排序，降低排序耗时；</w:t>
      </w:r>
    </w:p>
    <w:p>
      <w:pPr>
        <w:pStyle w:val="ListParagraph"/>
        <w:numPr>
          <w:ilvl w:val="0"/>
          <w:numId w:val="3"/>
        </w:numPr>
        <w:spacing w:after="16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截断均值自适应算子：剔除劣势个体后计算种群均值，按个体优劣以改进 Sigmoid 公式动态调整交叉/变异概率（Pc∈[0.6,0.9]，Pm∈[0.01,0.1]，B=K=0.3）；</w:t>
      </w:r>
    </w:p>
    <w:p>
      <w:pPr>
        <w:pStyle w:val="ListParagraph"/>
        <w:numPr>
          <w:ilvl w:val="0"/>
          <w:numId w:val="3"/>
        </w:numPr>
        <w:spacing w:after="16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粗粒度并行 + 自适应迁移：单向环状拓扑，迁移概率与迁移率随迭代自适应（本次复现略去，原因见改动点 4）。</w:t>
      </w:r>
    </w:p>
    <w:p>
      <w:pPr>
        <w:pStyle w:val="Heading1"/>
        <w:spacing w:after="200" w:before="360"/>
      </w:pPr>
      <w:r>
        <w:rPr>
          <w:rFonts w:ascii="Times New Roman" w:cs="Times New Roman" w:eastAsia="SimSun" w:hAnsi="Times New Roman"/>
          <w:b/>
          <w:bCs/>
          <w:sz w:val="32"/>
          <w:szCs w:val="32"/>
        </w:rPr>
        <w:t xml:space="preserve">三、与本项目场景的差异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00"/>
      </w:tblGrid>
      <w:tr>
        <w:tc>
          <w:tcPr>
            <w:tcW w:type="dxa" w:w="33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原文设定</w:t>
            </w:r>
          </w:p>
        </w:tc>
        <w:tc>
          <w:tcPr>
            <w:tcW w:type="dxa" w:w="57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本项目设定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武器平台可重复射击，弹药数 x_ij 为整数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自杀式无人机，每架=1 发弹，x_ij 为 0-1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静态单阶段分配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三波次动态入侵（0、T/3、2T/3 s），触发式重分配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有最高毁伤阈值 Pj,max 防过杀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统一模型不设毁伤上限（评审决定）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m=5~30 种武器、n=10~30 目标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我方 300~450 架、敌方 100~150 架（分三波）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威胁值归一化输入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威胁度由熵权法-TOPSIS 对群评估</w:t>
            </w:r>
          </w:p>
        </w:tc>
      </w:tr>
    </w:tbl>
    <w:p>
      <w:pPr>
        <w:pStyle w:val="Heading1"/>
        <w:spacing w:after="200" w:before="360"/>
      </w:pPr>
      <w:r>
        <w:rPr>
          <w:rFonts w:ascii="Times New Roman" w:cs="Times New Roman" w:eastAsia="SimSun" w:hAnsi="Times New Roman"/>
          <w:b/>
          <w:bCs/>
          <w:sz w:val="32"/>
          <w:szCs w:val="32"/>
        </w:rPr>
        <w:t xml:space="preserve">四、适配改动点（复现核心）</w:t>
      </w:r>
    </w:p>
    <w:p>
      <w:pPr>
        <w:pStyle w:val="ListParagraph"/>
        <w:numPr>
          <w:ilvl w:val="0"/>
          <w:numId w:val="3"/>
        </w:numPr>
        <w:spacing w:after="16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染色体编码压缩：原文决策变量为"武器 i 向目标 j 发射的弹药数"。本项目我方无人机同质且自杀式，染色体压缩为"各目标分到的架数向量"（整数向量，长度=目标数）；解码时按"离目标最近"把架数落到具体无人机，个体匹配退化为最近邻指派。</w:t>
      </w:r>
    </w:p>
    <w:p>
      <w:pPr>
        <w:pStyle w:val="ListParagraph"/>
        <w:numPr>
          <w:ilvl w:val="0"/>
          <w:numId w:val="3"/>
        </w:numPr>
        <w:spacing w:after="16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静态模型嵌入滚动时域：原文为单阶段静态分配，本项目由仿真主循环驱动，每个波次/触发点重跑一次算法，仅对资源池剩余无人机分配（已下达指令者冻结）。</w:t>
      </w:r>
    </w:p>
    <w:p>
      <w:pPr>
        <w:pStyle w:val="ListParagraph"/>
        <w:numPr>
          <w:ilvl w:val="0"/>
          <w:numId w:val="3"/>
        </w:numPr>
        <w:spacing w:after="16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搜索上限回归 Pj,max 精神：初版将搜索上限设为 2 倍配额，导致 GA 过杀、首轮耗尽资源池、后续波次无兵可用（b 仅 0.53）。遵循原文边际效益约束的精神，将搜索上限改为配额 m_j 本身（达到 0.9 毁伤所需架数），问题消除。这是"统一模型不设硬上限、但算法自限"的适配决策。</w:t>
      </w:r>
    </w:p>
    <w:p>
      <w:pPr>
        <w:pStyle w:val="ListParagraph"/>
        <w:numPr>
          <w:ilvl w:val="0"/>
          <w:numId w:val="3"/>
        </w:numPr>
        <w:spacing w:after="16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略去并行迁移：本项目规模（单轮约 40 个目标）下串行版本单轮耗时约 0.6 s，已满足 1 s 指标，粗粒度并行迁移的收益不抵实现复杂度，按评审结论略去。</w:t>
      </w:r>
    </w:p>
    <w:p>
      <w:pPr>
        <w:pStyle w:val="ListParagraph"/>
        <w:numPr>
          <w:ilvl w:val="0"/>
          <w:numId w:val="3"/>
        </w:numPr>
        <w:spacing w:after="16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约束处理：超资源池、配额不足（打了但没打够）以惩罚项并入双目标评价。</w:t>
      </w:r>
    </w:p>
    <w:p>
      <w:pPr>
        <w:pStyle w:val="Heading1"/>
        <w:spacing w:after="200" w:before="360"/>
      </w:pPr>
      <w:r>
        <w:rPr>
          <w:rFonts w:ascii="Times New Roman" w:cs="Times New Roman" w:eastAsia="SimSun" w:hAnsi="Times New Roman"/>
          <w:b/>
          <w:bCs/>
          <w:sz w:val="32"/>
          <w:szCs w:val="32"/>
        </w:rPr>
        <w:t xml:space="preserve">五、实现与接口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项目</w:t>
            </w:r>
          </w:p>
        </w:tc>
        <w:tc>
          <w:tcPr>
            <w:tcW w:type="dxa" w:w="64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代码位置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swarm-strike-allocation/src/swarm_alloc/algorithms/ga_iap.py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接口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AlgoBase.solve(state, model) -&gt; X（0-1 分配矩阵），注册名 ga_iap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保留的原文组件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DDA-NS 排序（算法1）、截断均值自适应 Pc/Pm（式13-17）、NSGA-III 参考点关联与利基保留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参数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种群 100、最大代数 200、时间预算 0.8 s、Pc∈[0.6,0.9]、Pm∈[0.01,0.1]、B=K=0.3、截断比例 α=0.5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双目标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f1 = -打击总收益（最小化）；f2 = 出动架数（最小化）；最终解按 f1 优先、同分取省兵</w:t>
            </w:r>
          </w:p>
        </w:tc>
      </w:tr>
    </w:tbl>
    <w:p>
      <w:pPr>
        <w:pStyle w:val="Heading1"/>
        <w:spacing w:after="200" w:before="360"/>
      </w:pPr>
      <w:r>
        <w:rPr>
          <w:rFonts w:ascii="Times New Roman" w:cs="Times New Roman" w:eastAsia="SimSun" w:hAnsi="Times New Roman"/>
          <w:b/>
          <w:bCs/>
          <w:sz w:val="32"/>
          <w:szCs w:val="32"/>
        </w:rPr>
        <w:t xml:space="preserve">六、实验与结果</w:t>
      </w:r>
    </w:p>
    <w:p>
      <w:pPr>
        <w:pStyle w:val="Heading2"/>
        <w:spacing w:after="160" w:before="280"/>
      </w:pPr>
      <w:r>
        <w:rPr>
          <w:rFonts w:ascii="Times New Roman" w:cs="Times New Roman" w:eastAsia="SimSun" w:hAnsi="Times New Roman"/>
          <w:b/>
          <w:bCs/>
          <w:sz w:val="26"/>
          <w:szCs w:val="26"/>
        </w:rPr>
        <w:t xml:space="preserve">（一）单场景验证（seed=1000，t=0 第一波）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700"/>
        <w:gridCol w:w="1900"/>
        <w:gridCol w:w="1800"/>
      </w:tblGrid>
      <w:tr>
        <w:tc>
          <w:tcPr>
            <w:tcW w:type="dxa" w:w="19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算法</w:t>
            </w:r>
          </w:p>
        </w:tc>
        <w:tc>
          <w:tcPr>
            <w:tcW w:type="dxa" w:w="17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出动架数</w:t>
            </w:r>
          </w:p>
        </w:tc>
        <w:tc>
          <w:tcPr>
            <w:tcW w:type="dxa" w:w="17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打击总收益 a</w:t>
            </w:r>
          </w:p>
        </w:tc>
        <w:tc>
          <w:tcPr>
            <w:tcW w:type="dxa" w:w="19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威胁消除率 b</w:t>
            </w:r>
          </w:p>
        </w:tc>
        <w:tc>
          <w:tcPr>
            <w:tcW w:type="dxa" w:w="18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单轮耗时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greedy（基线）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102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180.3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1.000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2.0 ms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ga_iap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150（修正前）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191.6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1.000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0.61 s</w:t>
            </w:r>
          </w:p>
        </w:tc>
      </w:tr>
    </w:tbl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修正前 GA 过杀倾向明显（多派 47% 兵力换取边际毁伤提升），效费比 1.277 显著低于基线 1.768；据此引入改动点 3。</w:t>
      </w:r>
    </w:p>
    <w:p>
      <w:pPr>
        <w:pStyle w:val="Heading2"/>
        <w:spacing w:after="160" w:before="280"/>
      </w:pPr>
      <w:r>
        <w:rPr>
          <w:rFonts w:ascii="Times New Roman" w:cs="Times New Roman" w:eastAsia="SimSun" w:hAnsi="Times New Roman"/>
          <w:b/>
          <w:bCs/>
          <w:sz w:val="26"/>
          <w:szCs w:val="26"/>
        </w:rPr>
        <w:t xml:space="preserve">（二）50 场景对比（修正后，均值 ± 标准差）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500"/>
        <w:gridCol w:w="2100"/>
      </w:tblGrid>
      <w:tr>
        <w:tc>
          <w:tcPr>
            <w:tcW w:type="dxa" w:w="19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指标</w:t>
            </w:r>
          </w:p>
        </w:tc>
        <w:tc>
          <w:tcPr>
            <w:tcW w:type="dxa" w:w="25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greedy</w:t>
            </w:r>
          </w:p>
        </w:tc>
        <w:tc>
          <w:tcPr>
            <w:tcW w:type="dxa" w:w="25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ga_iap</w:t>
            </w:r>
          </w:p>
        </w:tc>
        <w:tc>
          <w:tcPr>
            <w:tcW w:type="dxa" w:w="21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解读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a 打击总收益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589.7 ± 63.2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584.2 ± 62.9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持平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b 威胁消除率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0.996 ± 0.022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0.397 ± 0.127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见第七节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d 效费比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1.657 ± 0.126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1.720 ± 0.150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GA 更省兵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e 求解耗时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6 ms/场景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4.3 s/场景（单轮约 0.6 s，达标）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慢约 700 倍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摧毁数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126.6 / 126.8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123.5 / 126.8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持平</w:t>
            </w:r>
          </w:p>
        </w:tc>
      </w:tr>
    </w:tbl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实验环境：Python 3.13 + numpy，50 个固定种子场景（种子 1000~1049），评估为期望值口径。</w:t>
      </w:r>
    </w:p>
    <w:p>
      <w:pPr>
        <w:pStyle w:val="Heading1"/>
        <w:spacing w:after="200" w:before="360"/>
      </w:pPr>
      <w:r>
        <w:rPr>
          <w:rFonts w:ascii="Times New Roman" w:cs="Times New Roman" w:eastAsia="SimSun" w:hAnsi="Times New Roman"/>
          <w:b/>
          <w:bCs/>
          <w:sz w:val="32"/>
          <w:szCs w:val="32"/>
        </w:rPr>
        <w:t xml:space="preserve">七、核心发现与讨论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逐群剖析分配结果后发现：GA 系统性地放弃所有"侦察型"目标（价值 2、被毁概率 0.4、配额 5 架）。从统一目标函数看这完全理性——打一架侦察机需 5 架无人机，期望收益仅约 1.8，是全场边际收益最低的交易；GA 在双目标下自然选择"放过侦察机、把兵力省给高价值目标"。而贪心基线是规则式的，见目标就打满配额。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但指标 b 是群粒度的：一群中只要漏掉 1 架侦察机，整群不算歼灭，导致 b 从 0.996 跌至 0.397。这暴露了建模层面的真实张力：统一目标函数（最大化价值加权的期望毁伤，鼓励放弃低价值难打目标）与指标 b（群全歼才算数）在指挥思想上不一致。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讨论建议（待评审拍板）：① 保持现状，接受两指标的天然取舍，由权重平衡；② 放宽 b 的定义为"群内高价值成员（v≥5）全歼即算群歼灭"；③ 在统一目标函数中加入群完成度奖励项。无论哪种，本现象都应写入技术报告讨论节——它正是"统一评估框架能暴露算法 doctrine 差异"的例证。</w:t>
      </w:r>
    </w:p>
    <w:p>
      <w:pPr>
        <w:pStyle w:val="Heading1"/>
        <w:spacing w:after="200" w:before="360"/>
      </w:pPr>
      <w:r>
        <w:rPr>
          <w:rFonts w:ascii="Times New Roman" w:cs="Times New Roman" w:eastAsia="SimSun" w:hAnsi="Times New Roman"/>
          <w:b/>
          <w:bCs/>
          <w:sz w:val="32"/>
          <w:szCs w:val="32"/>
        </w:rPr>
        <w:t xml:space="preserve">八、结论与后续工作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IAP-NSGA-III 复现完成并接入统一接口，约束检查全部通过，单轮耗时 0.6 s 满足 1 s 指标；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与基线相比：打击总收益持平、效费比略优（1.72 vs 1.66）、威胁消除率受指标定义影响显著偏低、耗时高两个数量级；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原文的边际效益约束（Pj,max）在资源受限的动态场景中被验证是必要的——初版去掉后出现过杀耗尽问题；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后续：复现叶赞改进 CBBA（注册名 cbba_ye），与本算法及基线三方对比；统计显著性检验（Wilcoxon）在算法集齐后统一进行。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60" w:line="300"/>
      <w:jc w:val="center"/>
    </w:pPr>
    <w:r>
      <w:rPr>
        <w:rFonts w:ascii="Times New Roman" w:cs="Times New Roman" w:eastAsia="SimSu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00"/>
      <w:jc w:val="center"/>
    </w:pPr>
    <w:r>
      <w:rPr>
        <w:rFonts w:ascii="Times New Roman" w:cs="Times New Roman" w:eastAsia="SimSun" w:hAnsi="Times New Roman"/>
        <w:sz w:val="18"/>
        <w:szCs w:val="18"/>
      </w:rPr>
      <w:t xml:space="preserve">算法复现工作文档 01 · IAP-NSGA-III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2026-09-07T14:04:27.116Z</dcterms:created>
  <dcterms:modified xsi:type="dcterms:W3CDTF">2026-09-07T14:04:27.116Z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