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color w:val="595959"/>
          <w:sz w:val="22"/>
          <w:szCs w:val="22"/>
        </w:rPr>
        <w:t xml:space="preserve">FinTrust Financial Intelligence &amp; Digital Banking Support Solution</w:t>
      </w:r>
    </w:p>
    <w:p>
      <w:pPr>
        <w:spacing w:after="80"/>
      </w:pPr>
      <w:r>
        <w:rPr>
          <w:rFonts w:ascii="Arial" w:cs="Arial" w:eastAsia="Arial" w:hAnsi="Arial"/>
          <w:b/>
          <w:bCs/>
          <w:color w:val="1F3864"/>
          <w:sz w:val="44"/>
          <w:szCs w:val="44"/>
        </w:rPr>
        <w:t xml:space="preserve">Week 1: Business &amp; Data Intelligence Assessment</w:t>
      </w:r>
    </w:p>
    <w:p>
      <w:pPr>
        <w:pBdr>
          <w:bottom w:val="single" w:color="1F3864" w:sz="12" w:space="4"/>
        </w:pBdr>
        <w:spacing w:after="200"/>
      </w:pPr>
      <w:r>
        <w:rPr>
          <w:rFonts w:ascii="Arial" w:cs="Arial" w:eastAsia="Arial" w:hAnsi="Arial"/>
          <w:color w:val="1F3864"/>
          <w:sz w:val="26"/>
          <w:szCs w:val="26"/>
        </w:rPr>
        <w:t xml:space="preserve">Data Analytics Track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tblHeader/>
        </w:trPr>
        <w:tc>
          <w:tcPr>
            <w:tcW w:type="dxa" w:w="22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jc w:val="left"/>
            </w:pPr>
            <w:r>
              <w:rPr>
                <w:rFonts w:ascii="Arial" w:cs="Arial" w:eastAsia="Arial" w:hAnsi="Arial"/>
                <w:b/>
                <w:bCs/>
                <w:color w:val="FFFFFF"/>
                <w:sz w:val="18"/>
                <w:szCs w:val="18"/>
              </w:rPr>
              <w:t xml:space="preserve">Item</w:t>
            </w:r>
          </w:p>
        </w:tc>
        <w:tc>
          <w:tcPr>
            <w:tcW w:type="dxa" w:w="7438"/>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jc w:val="left"/>
            </w:pPr>
            <w:r>
              <w:rPr>
                <w:rFonts w:ascii="Arial" w:cs="Arial" w:eastAsia="Arial" w:hAnsi="Arial"/>
                <w:b/>
                <w:bCs/>
                <w:color w:val="FFFFFF"/>
                <w:sz w:val="18"/>
                <w:szCs w:val="18"/>
              </w:rPr>
              <w:t xml:space="preserve">Detail</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b w:val="false"/>
                <w:bCs w:val="false"/>
                <w:sz w:val="18"/>
                <w:szCs w:val="18"/>
              </w:rPr>
              <w:t xml:space="preserve">Prepared by</w:t>
            </w:r>
          </w:p>
        </w:tc>
        <w:tc>
          <w:tcPr>
            <w:tcW w:type="dxa" w:w="7438"/>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b w:val="false"/>
                <w:bCs w:val="false"/>
                <w:sz w:val="18"/>
                <w:szCs w:val="18"/>
              </w:rPr>
              <w:t xml:space="preserve">Lihamole Thapeliso</w:t>
            </w:r>
          </w:p>
        </w:tc>
      </w:tr>
      <w:tr>
        <w:trPr>
          <w:cantSplit/>
        </w:trPr>
        <w:tc>
          <w:tcPr>
            <w:tcW w:type="dxa" w:w="2200"/>
            <w:tcBorders>
              <w:top w:val="single" w:color="BFBFBF" w:sz="4"/>
              <w:left w:val="single" w:color="BFBFBF" w:sz="4"/>
              <w:bottom w:val="single" w:color="BFBFBF" w:sz="4"/>
              <w:right w:val="single" w:color="BFBFBF" w:sz="4"/>
            </w:tcBorders>
            <w:shd w:fill="F5F7FA" w:color="auto" w:val="clear"/>
            <w:tcMar>
              <w:top w:type="dxa" w:w="60"/>
              <w:left w:type="dxa" w:w="90"/>
              <w:bottom w:type="dxa" w:w="60"/>
              <w:right w:type="dxa" w:w="90"/>
            </w:tcMar>
          </w:tcPr>
          <w:p>
            <w:pPr>
              <w:jc w:val="left"/>
            </w:pPr>
            <w:r>
              <w:rPr>
                <w:rFonts w:ascii="Arial" w:cs="Arial" w:eastAsia="Arial" w:hAnsi="Arial"/>
                <w:b w:val="false"/>
                <w:bCs w:val="false"/>
                <w:sz w:val="18"/>
                <w:szCs w:val="18"/>
              </w:rPr>
              <w:t xml:space="preserve">Track</w:t>
            </w:r>
          </w:p>
        </w:tc>
        <w:tc>
          <w:tcPr>
            <w:tcW w:type="dxa" w:w="7438"/>
            <w:tcBorders>
              <w:top w:val="single" w:color="BFBFBF" w:sz="4"/>
              <w:left w:val="single" w:color="BFBFBF" w:sz="4"/>
              <w:bottom w:val="single" w:color="BFBFBF" w:sz="4"/>
              <w:right w:val="single" w:color="BFBFBF" w:sz="4"/>
            </w:tcBorders>
            <w:shd w:fill="F5F7FA" w:color="auto" w:val="clear"/>
            <w:tcMar>
              <w:top w:type="dxa" w:w="60"/>
              <w:left w:type="dxa" w:w="90"/>
              <w:bottom w:type="dxa" w:w="60"/>
              <w:right w:type="dxa" w:w="90"/>
            </w:tcMar>
          </w:tcPr>
          <w:p>
            <w:pPr>
              <w:jc w:val="left"/>
            </w:pPr>
            <w:r>
              <w:rPr>
                <w:rFonts w:ascii="Arial" w:cs="Arial" w:eastAsia="Arial" w:hAnsi="Arial"/>
                <w:b w:val="false"/>
                <w:bCs w:val="false"/>
                <w:sz w:val="18"/>
                <w:szCs w:val="18"/>
              </w:rPr>
              <w:t xml:space="preserve">Data Analytics</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b w:val="false"/>
                <w:bCs w:val="false"/>
                <w:sz w:val="18"/>
                <w:szCs w:val="18"/>
              </w:rPr>
              <w:t xml:space="preserve">Data reviewed</w:t>
            </w:r>
          </w:p>
        </w:tc>
        <w:tc>
          <w:tcPr>
            <w:tcW w:type="dxa" w:w="7438"/>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b w:val="false"/>
                <w:bCs w:val="false"/>
                <w:sz w:val="18"/>
                <w:szCs w:val="18"/>
              </w:rPr>
              <w:t xml:space="preserve">FinTrust Customer Data (1,500 records) and FinTrust Transaction Data (12,000 records), 1 Jan to 31 Mar 2026</w:t>
            </w:r>
          </w:p>
        </w:tc>
      </w:tr>
      <w:tr>
        <w:trPr>
          <w:cantSplit/>
        </w:trPr>
        <w:tc>
          <w:tcPr>
            <w:tcW w:type="dxa" w:w="2200"/>
            <w:tcBorders>
              <w:top w:val="single" w:color="BFBFBF" w:sz="4"/>
              <w:left w:val="single" w:color="BFBFBF" w:sz="4"/>
              <w:bottom w:val="single" w:color="BFBFBF" w:sz="4"/>
              <w:right w:val="single" w:color="BFBFBF" w:sz="4"/>
            </w:tcBorders>
            <w:shd w:fill="F5F7FA" w:color="auto" w:val="clear"/>
            <w:tcMar>
              <w:top w:type="dxa" w:w="60"/>
              <w:left w:type="dxa" w:w="90"/>
              <w:bottom w:type="dxa" w:w="60"/>
              <w:right w:type="dxa" w:w="90"/>
            </w:tcMar>
          </w:tcPr>
          <w:p>
            <w:pPr>
              <w:jc w:val="left"/>
            </w:pPr>
            <w:r>
              <w:rPr>
                <w:rFonts w:ascii="Arial" w:cs="Arial" w:eastAsia="Arial" w:hAnsi="Arial"/>
                <w:b w:val="false"/>
                <w:bCs w:val="false"/>
                <w:sz w:val="18"/>
                <w:szCs w:val="18"/>
              </w:rPr>
              <w:t xml:space="preserve">Tools used</w:t>
            </w:r>
          </w:p>
        </w:tc>
        <w:tc>
          <w:tcPr>
            <w:tcW w:type="dxa" w:w="7438"/>
            <w:tcBorders>
              <w:top w:val="single" w:color="BFBFBF" w:sz="4"/>
              <w:left w:val="single" w:color="BFBFBF" w:sz="4"/>
              <w:bottom w:val="single" w:color="BFBFBF" w:sz="4"/>
              <w:right w:val="single" w:color="BFBFBF" w:sz="4"/>
            </w:tcBorders>
            <w:shd w:fill="F5F7FA" w:color="auto" w:val="clear"/>
            <w:tcMar>
              <w:top w:type="dxa" w:w="60"/>
              <w:left w:type="dxa" w:w="90"/>
              <w:bottom w:type="dxa" w:w="60"/>
              <w:right w:type="dxa" w:w="90"/>
            </w:tcMar>
          </w:tcPr>
          <w:p>
            <w:pPr>
              <w:jc w:val="left"/>
            </w:pPr>
            <w:r>
              <w:rPr>
                <w:rFonts w:ascii="Arial" w:cs="Arial" w:eastAsia="Arial" w:hAnsi="Arial"/>
                <w:b w:val="false"/>
                <w:bCs w:val="false"/>
                <w:sz w:val="18"/>
                <w:szCs w:val="18"/>
              </w:rPr>
              <w:t xml:space="preserve">SQL (profiling and analysis); Excel/Power BI planned for dashboard build</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b w:val="false"/>
                <w:bCs w:val="false"/>
                <w:sz w:val="18"/>
                <w:szCs w:val="18"/>
              </w:rPr>
              <w:t xml:space="preserve">Deliverables</w:t>
            </w:r>
          </w:p>
        </w:tc>
        <w:tc>
          <w:tcPr>
            <w:tcW w:type="dxa" w:w="7438"/>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b w:val="false"/>
                <w:bCs w:val="false"/>
                <w:sz w:val="18"/>
                <w:szCs w:val="18"/>
              </w:rPr>
              <w:t xml:space="preserve">1 Business Understanding · 2 Data Profiling Report · 3 Analytical Questions · 4 KPI Definition Table · 5 Dashboard Wireframe · 6 Initial Analysis Plan</w:t>
            </w:r>
          </w:p>
        </w:tc>
      </w:tr>
    </w:tbl>
    <w:p>
      <w:pPr>
        <w:spacing w:after="120"/>
      </w:pPr>
    </w:p>
    <w:p>
      <w:pPr>
        <w:spacing w:after="120" w:before="0" w:line="280"/>
      </w:pPr>
      <w:r>
        <w:rPr>
          <w:rFonts w:ascii="Arial" w:cs="Arial" w:eastAsia="Arial" w:hAnsi="Arial"/>
          <w:i/>
          <w:iCs/>
          <w:sz w:val="19"/>
          <w:szCs w:val="19"/>
        </w:rPr>
        <w:t xml:space="preserve"/>
      </w:r>
      <w:r>
        <w:rPr>
          <w:rFonts w:ascii="Arial" w:cs="Arial" w:eastAsia="Arial" w:hAnsi="Arial"/>
          <w:b/>
          <w:bCs/>
          <w:i/>
          <w:iCs/>
          <w:sz w:val="19"/>
          <w:szCs w:val="19"/>
        </w:rPr>
        <w:t xml:space="preserve">Note on the data:</w:t>
      </w:r>
      <w:r>
        <w:rPr>
          <w:rFonts w:ascii="Arial" w:cs="Arial" w:eastAsia="Arial" w:hAnsi="Arial"/>
          <w:i/>
          <w:iCs/>
          <w:sz w:val="19"/>
          <w:szCs w:val="19"/>
        </w:rPr>
        <w:t xml:space="preserve"> FinTrust is a fictional bank and both datasets are synthetic. Findings below describe patterns in this dataset only. The Risk_Review_Flag is an educational label and not a confirmed fraud determination.</w:t>
      </w:r>
    </w:p>
    <w:p>
      <w:pPr>
        <w:pStyle w:val="Heading1"/>
      </w:pPr>
      <w:r>
        <w:rPr>
          <w:rFonts w:ascii="Arial" w:cs="Arial" w:eastAsia="Arial" w:hAnsi="Arial"/>
        </w:rPr>
        <w:t xml:space="preserve">1. Business Understanding</w:t>
      </w:r>
    </w:p>
    <w:p>
      <w:pPr>
        <w:pStyle w:val="Heading2"/>
      </w:pPr>
      <w:r>
        <w:rPr>
          <w:rFonts w:ascii="Arial" w:cs="Arial" w:eastAsia="Arial" w:hAnsi="Arial"/>
        </w:rPr>
        <w:t xml:space="preserve">1.1 The business problem</w:t>
      </w:r>
    </w:p>
    <w:p>
      <w:pPr>
        <w:spacing w:after="120" w:before="0" w:line="280"/>
      </w:pPr>
      <w:r>
        <w:rPr>
          <w:rFonts w:ascii="Arial" w:cs="Arial" w:eastAsia="Arial" w:hAnsi="Arial"/>
          <w:sz w:val="21"/>
          <w:szCs w:val="21"/>
        </w:rPr>
        <w:t xml:space="preserve">FinTrust Digital Bank wants to use data, machine learning and generative AI to understand customer and transaction behaviour, support risk-related decisions, improve operations and strengthen digital customer support. At present, customer and transaction records exist as separate flat files, with no single view that shows management who is transacting, through which channels, where payments fail and which activity attracts risk review.</w:t>
      </w:r>
    </w:p>
    <w:p>
      <w:pPr>
        <w:pStyle w:val="Heading2"/>
      </w:pPr>
      <w:r>
        <w:rPr>
          <w:rFonts w:ascii="Arial" w:cs="Arial" w:eastAsia="Arial" w:hAnsi="Arial"/>
        </w:rPr>
        <w:t xml:space="preserve">1.2 Why the problem is important</w:t>
      </w:r>
    </w:p>
    <w:p>
      <w:pPr>
        <w:pStyle w:val="ListParagraph"/>
        <w:numPr>
          <w:ilvl w:val="0"/>
          <w:numId w:val="2"/>
        </w:numPr>
        <w:spacing w:after="60" w:line="270"/>
      </w:pPr>
      <w:r>
        <w:rPr>
          <w:rFonts w:ascii="Arial" w:cs="Arial" w:eastAsia="Arial" w:hAnsi="Arial"/>
          <w:sz w:val="21"/>
          <w:szCs w:val="21"/>
        </w:rPr>
        <w:t xml:space="preserve"/>
      </w:r>
      <w:r>
        <w:rPr>
          <w:rFonts w:ascii="Arial" w:cs="Arial" w:eastAsia="Arial" w:hAnsi="Arial"/>
          <w:b/>
          <w:bCs/>
          <w:sz w:val="21"/>
          <w:szCs w:val="21"/>
        </w:rPr>
        <w:t xml:space="preserve">Growth and engagement:</w:t>
      </w:r>
      <w:r>
        <w:rPr>
          <w:rFonts w:ascii="Arial" w:cs="Arial" w:eastAsia="Arial" w:hAnsi="Arial"/>
          <w:sz w:val="21"/>
          <w:szCs w:val="21"/>
        </w:rPr>
        <w:t xml:space="preserve"> 65.5% of transactions already run through digital channels (Mobile App, Web, USSD), so digital experience directly affects customer activity and value.</w:t>
      </w:r>
    </w:p>
    <w:p>
      <w:pPr>
        <w:pStyle w:val="ListParagraph"/>
        <w:numPr>
          <w:ilvl w:val="0"/>
          <w:numId w:val="2"/>
        </w:numPr>
        <w:spacing w:after="60" w:line="270"/>
      </w:pPr>
      <w:r>
        <w:rPr>
          <w:rFonts w:ascii="Arial" w:cs="Arial" w:eastAsia="Arial" w:hAnsi="Arial"/>
          <w:sz w:val="21"/>
          <w:szCs w:val="21"/>
        </w:rPr>
        <w:t xml:space="preserve"/>
      </w:r>
      <w:r>
        <w:rPr>
          <w:rFonts w:ascii="Arial" w:cs="Arial" w:eastAsia="Arial" w:hAnsi="Arial"/>
          <w:b/>
          <w:bCs/>
          <w:sz w:val="21"/>
          <w:szCs w:val="21"/>
        </w:rPr>
        <w:t xml:space="preserve">Customer experience:</w:t>
      </w:r>
      <w:r>
        <w:rPr>
          <w:rFonts w:ascii="Arial" w:cs="Arial" w:eastAsia="Arial" w:hAnsi="Arial"/>
          <w:sz w:val="21"/>
          <w:szCs w:val="21"/>
        </w:rPr>
        <w:t xml:space="preserve"> 8.0% of transactions are failed or reversed, which is customer friction and lost value that management should track.</w:t>
      </w:r>
    </w:p>
    <w:p>
      <w:pPr>
        <w:pStyle w:val="ListParagraph"/>
        <w:numPr>
          <w:ilvl w:val="0"/>
          <w:numId w:val="2"/>
        </w:numPr>
        <w:spacing w:after="60" w:line="270"/>
      </w:pPr>
      <w:r>
        <w:rPr>
          <w:rFonts w:ascii="Arial" w:cs="Arial" w:eastAsia="Arial" w:hAnsi="Arial"/>
          <w:sz w:val="21"/>
          <w:szCs w:val="21"/>
        </w:rPr>
        <w:t xml:space="preserve"/>
      </w:r>
      <w:r>
        <w:rPr>
          <w:rFonts w:ascii="Arial" w:cs="Arial" w:eastAsia="Arial" w:hAnsi="Arial"/>
          <w:b/>
          <w:bCs/>
          <w:sz w:val="21"/>
          <w:szCs w:val="21"/>
        </w:rPr>
        <w:t xml:space="preserve">Risk and compliance:</w:t>
      </w:r>
      <w:r>
        <w:rPr>
          <w:rFonts w:ascii="Arial" w:cs="Arial" w:eastAsia="Arial" w:hAnsi="Arial"/>
          <w:sz w:val="21"/>
          <w:szCs w:val="21"/>
        </w:rPr>
        <w:t xml:space="preserve"> 19.6% of transactions carry a risk-review flag. Review capacity is limited, so the bank needs to know where flagged activity concentrates.</w:t>
      </w:r>
    </w:p>
    <w:p>
      <w:pPr>
        <w:pStyle w:val="ListParagraph"/>
        <w:numPr>
          <w:ilvl w:val="0"/>
          <w:numId w:val="2"/>
        </w:numPr>
        <w:spacing w:after="60" w:line="270"/>
      </w:pPr>
      <w:r>
        <w:rPr>
          <w:rFonts w:ascii="Arial" w:cs="Arial" w:eastAsia="Arial" w:hAnsi="Arial"/>
          <w:sz w:val="21"/>
          <w:szCs w:val="21"/>
        </w:rPr>
        <w:t xml:space="preserve"/>
      </w:r>
      <w:r>
        <w:rPr>
          <w:rFonts w:ascii="Arial" w:cs="Arial" w:eastAsia="Arial" w:hAnsi="Arial"/>
          <w:b/>
          <w:bCs/>
          <w:sz w:val="21"/>
          <w:szCs w:val="21"/>
        </w:rPr>
        <w:t xml:space="preserve">Operational focus:</w:t>
      </w:r>
      <w:r>
        <w:rPr>
          <w:rFonts w:ascii="Arial" w:cs="Arial" w:eastAsia="Arial" w:hAnsi="Arial"/>
          <w:sz w:val="21"/>
          <w:szCs w:val="21"/>
        </w:rPr>
        <w:t xml:space="preserve"> without clear KPIs, teams cannot prioritise channels, segments or cities for investment or fixes.</w:t>
      </w:r>
    </w:p>
    <w:p>
      <w:pPr>
        <w:pStyle w:val="Heading2"/>
      </w:pPr>
      <w:r>
        <w:rPr>
          <w:rFonts w:ascii="Arial" w:cs="Arial" w:eastAsia="Arial" w:hAnsi="Arial"/>
        </w:rPr>
        <w:t xml:space="preserve">1.3 How the Data Analytics track contributes</w:t>
      </w:r>
    </w:p>
    <w:p>
      <w:pPr>
        <w:spacing w:after="120" w:before="0" w:line="280"/>
      </w:pPr>
      <w:r>
        <w:rPr>
          <w:rFonts w:ascii="Arial" w:cs="Arial" w:eastAsia="Arial" w:hAnsi="Arial"/>
          <w:sz w:val="21"/>
          <w:szCs w:val="21"/>
        </w:rPr>
        <w:t xml:space="preserve">Data Analytics builds the foundation layer for the rest of the project: profiling and documenting the data, turning it into a defined set of KPIs, answering the core business questions in SQL, and presenting the results in a dashboard. These outputs give the Data Science track candidate features and context for the risk-review label, and give the AI-assistant track verified facts about channels, failures and customer behaviour.</w:t>
      </w:r>
    </w:p>
    <w:p>
      <w:pPr>
        <w:pStyle w:val="Heading2"/>
      </w:pPr>
      <w:r>
        <w:rPr>
          <w:rFonts w:ascii="Arial" w:cs="Arial" w:eastAsia="Arial" w:hAnsi="Arial"/>
        </w:rPr>
        <w:t xml:space="preserve">1.4 Outputs this track can provide</w:t>
      </w:r>
    </w:p>
    <w:p>
      <w:pPr>
        <w:pStyle w:val="ListParagraph"/>
        <w:numPr>
          <w:ilvl w:val="0"/>
          <w:numId w:val="2"/>
        </w:numPr>
        <w:spacing w:after="60" w:line="270"/>
      </w:pPr>
      <w:r>
        <w:rPr>
          <w:rFonts w:ascii="Arial" w:cs="Arial" w:eastAsia="Arial" w:hAnsi="Arial"/>
          <w:sz w:val="21"/>
          <w:szCs w:val="21"/>
        </w:rPr>
        <w:t xml:space="preserve">A data profiling and data-quality report</w:t>
      </w:r>
    </w:p>
    <w:p>
      <w:pPr>
        <w:pStyle w:val="ListParagraph"/>
        <w:numPr>
          <w:ilvl w:val="0"/>
          <w:numId w:val="2"/>
        </w:numPr>
        <w:spacing w:after="60" w:line="270"/>
      </w:pPr>
      <w:r>
        <w:rPr>
          <w:rFonts w:ascii="Arial" w:cs="Arial" w:eastAsia="Arial" w:hAnsi="Arial"/>
          <w:sz w:val="21"/>
          <w:szCs w:val="21"/>
        </w:rPr>
        <w:t xml:space="preserve">A KPI framework with baseline values</w:t>
      </w:r>
    </w:p>
    <w:p>
      <w:pPr>
        <w:pStyle w:val="ListParagraph"/>
        <w:numPr>
          <w:ilvl w:val="0"/>
          <w:numId w:val="2"/>
        </w:numPr>
        <w:spacing w:after="60" w:line="270"/>
      </w:pPr>
      <w:r>
        <w:rPr>
          <w:rFonts w:ascii="Arial" w:cs="Arial" w:eastAsia="Arial" w:hAnsi="Arial"/>
          <w:sz w:val="21"/>
          <w:szCs w:val="21"/>
        </w:rPr>
        <w:t xml:space="preserve">Reusable SQL queries and views (customer-level and transaction-level)</w:t>
      </w:r>
    </w:p>
    <w:p>
      <w:pPr>
        <w:pStyle w:val="ListParagraph"/>
        <w:numPr>
          <w:ilvl w:val="0"/>
          <w:numId w:val="2"/>
        </w:numPr>
        <w:spacing w:after="60" w:line="270"/>
      </w:pPr>
      <w:r>
        <w:rPr>
          <w:rFonts w:ascii="Arial" w:cs="Arial" w:eastAsia="Arial" w:hAnsi="Arial"/>
          <w:sz w:val="21"/>
          <w:szCs w:val="21"/>
        </w:rPr>
        <w:t xml:space="preserve">An interactive dashboard (Power BI) covering overview, customers, channels and risk review</w:t>
      </w:r>
    </w:p>
    <w:p>
      <w:pPr>
        <w:pStyle w:val="ListParagraph"/>
        <w:numPr>
          <w:ilvl w:val="0"/>
          <w:numId w:val="2"/>
        </w:numPr>
        <w:spacing w:after="60" w:line="270"/>
      </w:pPr>
      <w:r>
        <w:rPr>
          <w:rFonts w:ascii="Arial" w:cs="Arial" w:eastAsia="Arial" w:hAnsi="Arial"/>
          <w:sz w:val="21"/>
          <w:szCs w:val="21"/>
        </w:rPr>
        <w:t xml:space="preserve">A written summary of insights and recommendations for management</w:t>
      </w:r>
    </w:p>
    <w:p>
      <w:pPr>
        <w:pStyle w:val="Heading2"/>
      </w:pPr>
      <w:r>
        <w:rPr>
          <w:rFonts w:ascii="Arial" w:cs="Arial" w:eastAsia="Arial" w:hAnsi="Arial"/>
        </w:rPr>
        <w:t xml:space="preserve">1.5 Business questions management should be able to answer</w:t>
      </w:r>
    </w:p>
    <w:p>
      <w:pPr>
        <w:pStyle w:val="ListParagraph"/>
        <w:numPr>
          <w:ilvl w:val="0"/>
          <w:numId w:val="3"/>
        </w:numPr>
        <w:spacing w:after="60" w:line="270"/>
      </w:pPr>
      <w:r>
        <w:rPr>
          <w:rFonts w:ascii="Arial" w:cs="Arial" w:eastAsia="Arial" w:hAnsi="Arial"/>
          <w:sz w:val="21"/>
          <w:szCs w:val="21"/>
        </w:rPr>
        <w:t xml:space="preserve">How much is being transacted, how many transactions occur, and how is this trending month to month?</w:t>
      </w:r>
    </w:p>
    <w:p>
      <w:pPr>
        <w:pStyle w:val="ListParagraph"/>
        <w:numPr>
          <w:ilvl w:val="0"/>
          <w:numId w:val="3"/>
        </w:numPr>
        <w:spacing w:after="60" w:line="270"/>
      </w:pPr>
      <w:r>
        <w:rPr>
          <w:rFonts w:ascii="Arial" w:cs="Arial" w:eastAsia="Arial" w:hAnsi="Arial"/>
          <w:sz w:val="21"/>
          <w:szCs w:val="21"/>
        </w:rPr>
        <w:t xml:space="preserve">Which customer segments, cities and income bands drive the most transaction value?</w:t>
      </w:r>
    </w:p>
    <w:p>
      <w:pPr>
        <w:pStyle w:val="ListParagraph"/>
        <w:numPr>
          <w:ilvl w:val="0"/>
          <w:numId w:val="3"/>
        </w:numPr>
        <w:spacing w:after="60" w:line="270"/>
      </w:pPr>
      <w:r>
        <w:rPr>
          <w:rFonts w:ascii="Arial" w:cs="Arial" w:eastAsia="Arial" w:hAnsi="Arial"/>
          <w:sz w:val="21"/>
          <w:szCs w:val="21"/>
        </w:rPr>
        <w:t xml:space="preserve">Which channels and transaction types carry the most volume and value?</w:t>
      </w:r>
    </w:p>
    <w:p>
      <w:pPr>
        <w:pStyle w:val="ListParagraph"/>
        <w:numPr>
          <w:ilvl w:val="0"/>
          <w:numId w:val="3"/>
        </w:numPr>
        <w:spacing w:after="60" w:line="270"/>
      </w:pPr>
      <w:r>
        <w:rPr>
          <w:rFonts w:ascii="Arial" w:cs="Arial" w:eastAsia="Arial" w:hAnsi="Arial"/>
          <w:sz w:val="21"/>
          <w:szCs w:val="21"/>
        </w:rPr>
        <w:t xml:space="preserve">How reliable are transactions? What share fail, reverse or stay pending, and where?</w:t>
      </w:r>
    </w:p>
    <w:p>
      <w:pPr>
        <w:pStyle w:val="ListParagraph"/>
        <w:numPr>
          <w:ilvl w:val="0"/>
          <w:numId w:val="3"/>
        </w:numPr>
        <w:spacing w:after="60" w:line="270"/>
      </w:pPr>
      <w:r>
        <w:rPr>
          <w:rFonts w:ascii="Arial" w:cs="Arial" w:eastAsia="Arial" w:hAnsi="Arial"/>
          <w:sz w:val="21"/>
          <w:szCs w:val="21"/>
        </w:rPr>
        <w:t xml:space="preserve">Are more digitally engaged customers more active?</w:t>
      </w:r>
    </w:p>
    <w:p>
      <w:pPr>
        <w:pStyle w:val="ListParagraph"/>
        <w:numPr>
          <w:ilvl w:val="0"/>
          <w:numId w:val="3"/>
        </w:numPr>
        <w:spacing w:after="60" w:line="270"/>
      </w:pPr>
      <w:r>
        <w:rPr>
          <w:rFonts w:ascii="Arial" w:cs="Arial" w:eastAsia="Arial" w:hAnsi="Arial"/>
          <w:sz w:val="21"/>
          <w:szCs w:val="21"/>
        </w:rPr>
        <w:t xml:space="preserve">Where does risk-review activity concentrate (channel, type, amount, international)?</w:t>
      </w:r>
    </w:p>
    <w:p>
      <w:pPr>
        <w:pStyle w:val="ListParagraph"/>
        <w:numPr>
          <w:ilvl w:val="0"/>
          <w:numId w:val="3"/>
        </w:numPr>
        <w:spacing w:after="60" w:line="270"/>
      </w:pPr>
      <w:r>
        <w:rPr>
          <w:rFonts w:ascii="Arial" w:cs="Arial" w:eastAsia="Arial" w:hAnsi="Arial"/>
          <w:sz w:val="21"/>
          <w:szCs w:val="21"/>
        </w:rPr>
        <w:t xml:space="preserve">Are dormant or restricted accounts still transacting?</w:t>
      </w:r>
    </w:p>
    <w:p>
      <w:pPr>
        <w:pStyle w:val="ListParagraph"/>
        <w:numPr>
          <w:ilvl w:val="0"/>
          <w:numId w:val="3"/>
        </w:numPr>
        <w:spacing w:after="60" w:line="270"/>
      </w:pPr>
      <w:r>
        <w:rPr>
          <w:rFonts w:ascii="Arial" w:cs="Arial" w:eastAsia="Arial" w:hAnsi="Arial"/>
          <w:sz w:val="21"/>
          <w:szCs w:val="21"/>
        </w:rPr>
        <w:t xml:space="preserve">Is the data reliable enough to support the AI and ML work in later weeks?</w:t>
      </w:r>
    </w:p>
    <w:p>
      <w:pPr>
        <w:pStyle w:val="Heading2"/>
      </w:pPr>
      <w:r>
        <w:rPr>
          <w:rFonts w:ascii="Arial" w:cs="Arial" w:eastAsia="Arial" w:hAnsi="Arial"/>
        </w:rPr>
        <w:t xml:space="preserve">1.6 Decisions the analysis can support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400"/>
        <w:gridCol w:w="5238"/>
      </w:tblGrid>
      <w:tr>
        <w:trPr>
          <w:tblHeader/>
        </w:trPr>
        <w:tc>
          <w:tcPr>
            <w:tcW w:type="dxa" w:w="44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jc w:val="left"/>
            </w:pPr>
            <w:r>
              <w:rPr>
                <w:rFonts w:ascii="Arial" w:cs="Arial" w:eastAsia="Arial" w:hAnsi="Arial"/>
                <w:b/>
                <w:bCs/>
                <w:color w:val="FFFFFF"/>
                <w:sz w:val="18"/>
                <w:szCs w:val="18"/>
              </w:rPr>
              <w:t xml:space="preserve">Decision</w:t>
            </w:r>
          </w:p>
        </w:tc>
        <w:tc>
          <w:tcPr>
            <w:tcW w:type="dxa" w:w="5238"/>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jc w:val="left"/>
            </w:pPr>
            <w:r>
              <w:rPr>
                <w:rFonts w:ascii="Arial" w:cs="Arial" w:eastAsia="Arial" w:hAnsi="Arial"/>
                <w:b/>
                <w:bCs/>
                <w:color w:val="FFFFFF"/>
                <w:sz w:val="18"/>
                <w:szCs w:val="18"/>
              </w:rPr>
              <w:t xml:space="preserve">Supported by</w:t>
            </w:r>
          </w:p>
        </w:tc>
      </w:tr>
      <w:tr>
        <w:trPr>
          <w:cantSplit/>
        </w:trPr>
        <w:tc>
          <w:tcPr>
            <w:tcW w:type="dxa" w:w="44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b w:val="false"/>
                <w:bCs w:val="false"/>
                <w:sz w:val="18"/>
                <w:szCs w:val="18"/>
              </w:rPr>
              <w:t xml:space="preserve">Where to invest in digital channels or fix reliability problems</w:t>
            </w:r>
          </w:p>
        </w:tc>
        <w:tc>
          <w:tcPr>
            <w:tcW w:type="dxa" w:w="5238"/>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b w:val="false"/>
                <w:bCs w:val="false"/>
                <w:sz w:val="18"/>
                <w:szCs w:val="18"/>
              </w:rPr>
              <w:t xml:space="preserve">Channel volume, value and failure/reversal rates</w:t>
            </w:r>
          </w:p>
        </w:tc>
      </w:tr>
      <w:tr>
        <w:trPr>
          <w:cantSplit/>
        </w:trPr>
        <w:tc>
          <w:tcPr>
            <w:tcW w:type="dxa" w:w="4400"/>
            <w:tcBorders>
              <w:top w:val="single" w:color="BFBFBF" w:sz="4"/>
              <w:left w:val="single" w:color="BFBFBF" w:sz="4"/>
              <w:bottom w:val="single" w:color="BFBFBF" w:sz="4"/>
              <w:right w:val="single" w:color="BFBFBF" w:sz="4"/>
            </w:tcBorders>
            <w:shd w:fill="F5F7FA" w:color="auto" w:val="clear"/>
            <w:tcMar>
              <w:top w:type="dxa" w:w="60"/>
              <w:left w:type="dxa" w:w="90"/>
              <w:bottom w:type="dxa" w:w="60"/>
              <w:right w:type="dxa" w:w="90"/>
            </w:tcMar>
          </w:tcPr>
          <w:p>
            <w:pPr>
              <w:jc w:val="left"/>
            </w:pPr>
            <w:r>
              <w:rPr>
                <w:rFonts w:ascii="Arial" w:cs="Arial" w:eastAsia="Arial" w:hAnsi="Arial"/>
                <w:b w:val="false"/>
                <w:bCs w:val="false"/>
                <w:sz w:val="18"/>
                <w:szCs w:val="18"/>
              </w:rPr>
              <w:t xml:space="preserve">Which customer segments or cities to target with campaigns</w:t>
            </w:r>
          </w:p>
        </w:tc>
        <w:tc>
          <w:tcPr>
            <w:tcW w:type="dxa" w:w="5238"/>
            <w:tcBorders>
              <w:top w:val="single" w:color="BFBFBF" w:sz="4"/>
              <w:left w:val="single" w:color="BFBFBF" w:sz="4"/>
              <w:bottom w:val="single" w:color="BFBFBF" w:sz="4"/>
              <w:right w:val="single" w:color="BFBFBF" w:sz="4"/>
            </w:tcBorders>
            <w:shd w:fill="F5F7FA" w:color="auto" w:val="clear"/>
            <w:tcMar>
              <w:top w:type="dxa" w:w="60"/>
              <w:left w:type="dxa" w:w="90"/>
              <w:bottom w:type="dxa" w:w="60"/>
              <w:right w:type="dxa" w:w="90"/>
            </w:tcMar>
          </w:tcPr>
          <w:p>
            <w:pPr>
              <w:jc w:val="left"/>
            </w:pPr>
            <w:r>
              <w:rPr>
                <w:rFonts w:ascii="Arial" w:cs="Arial" w:eastAsia="Arial" w:hAnsi="Arial"/>
                <w:b w:val="false"/>
                <w:bCs w:val="false"/>
                <w:sz w:val="18"/>
                <w:szCs w:val="18"/>
              </w:rPr>
              <w:t xml:space="preserve">Value and activity by segment, city and income band</w:t>
            </w:r>
          </w:p>
        </w:tc>
      </w:tr>
      <w:tr>
        <w:trPr>
          <w:cantSplit/>
        </w:trPr>
        <w:tc>
          <w:tcPr>
            <w:tcW w:type="dxa" w:w="44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b w:val="false"/>
                <w:bCs w:val="false"/>
                <w:sz w:val="18"/>
                <w:szCs w:val="18"/>
              </w:rPr>
              <w:t xml:space="preserve">Where to focus risk-review effort and staffing</w:t>
            </w:r>
          </w:p>
        </w:tc>
        <w:tc>
          <w:tcPr>
            <w:tcW w:type="dxa" w:w="5238"/>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b w:val="false"/>
                <w:bCs w:val="false"/>
                <w:sz w:val="18"/>
                <w:szCs w:val="18"/>
              </w:rPr>
              <w:t xml:space="preserve">Flag rates by type, amount band, channel and international status</w:t>
            </w:r>
          </w:p>
        </w:tc>
      </w:tr>
      <w:tr>
        <w:trPr>
          <w:cantSplit/>
        </w:trPr>
        <w:tc>
          <w:tcPr>
            <w:tcW w:type="dxa" w:w="4400"/>
            <w:tcBorders>
              <w:top w:val="single" w:color="BFBFBF" w:sz="4"/>
              <w:left w:val="single" w:color="BFBFBF" w:sz="4"/>
              <w:bottom w:val="single" w:color="BFBFBF" w:sz="4"/>
              <w:right w:val="single" w:color="BFBFBF" w:sz="4"/>
            </w:tcBorders>
            <w:shd w:fill="F5F7FA" w:color="auto" w:val="clear"/>
            <w:tcMar>
              <w:top w:type="dxa" w:w="60"/>
              <w:left w:type="dxa" w:w="90"/>
              <w:bottom w:type="dxa" w:w="60"/>
              <w:right w:type="dxa" w:w="90"/>
            </w:tcMar>
          </w:tcPr>
          <w:p>
            <w:pPr>
              <w:jc w:val="left"/>
            </w:pPr>
            <w:r>
              <w:rPr>
                <w:rFonts w:ascii="Arial" w:cs="Arial" w:eastAsia="Arial" w:hAnsi="Arial"/>
                <w:b w:val="false"/>
                <w:bCs w:val="false"/>
                <w:sz w:val="18"/>
                <w:szCs w:val="18"/>
              </w:rPr>
              <w:t xml:space="preserve">Whether controls on dormant and restricted accounts are working</w:t>
            </w:r>
          </w:p>
        </w:tc>
        <w:tc>
          <w:tcPr>
            <w:tcW w:type="dxa" w:w="5238"/>
            <w:tcBorders>
              <w:top w:val="single" w:color="BFBFBF" w:sz="4"/>
              <w:left w:val="single" w:color="BFBFBF" w:sz="4"/>
              <w:bottom w:val="single" w:color="BFBFBF" w:sz="4"/>
              <w:right w:val="single" w:color="BFBFBF" w:sz="4"/>
            </w:tcBorders>
            <w:shd w:fill="F5F7FA" w:color="auto" w:val="clear"/>
            <w:tcMar>
              <w:top w:type="dxa" w:w="60"/>
              <w:left w:type="dxa" w:w="90"/>
              <w:bottom w:type="dxa" w:w="60"/>
              <w:right w:type="dxa" w:w="90"/>
            </w:tcMar>
          </w:tcPr>
          <w:p>
            <w:pPr>
              <w:jc w:val="left"/>
            </w:pPr>
            <w:r>
              <w:rPr>
                <w:rFonts w:ascii="Arial" w:cs="Arial" w:eastAsia="Arial" w:hAnsi="Arial"/>
                <w:b w:val="false"/>
                <w:bCs w:val="false"/>
                <w:sz w:val="18"/>
                <w:szCs w:val="18"/>
              </w:rPr>
              <w:t xml:space="preserve">Transactions on non-active accounts</w:t>
            </w:r>
          </w:p>
        </w:tc>
      </w:tr>
      <w:tr>
        <w:trPr>
          <w:cantSplit/>
        </w:trPr>
        <w:tc>
          <w:tcPr>
            <w:tcW w:type="dxa" w:w="44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b w:val="false"/>
                <w:bCs w:val="false"/>
                <w:sz w:val="18"/>
                <w:szCs w:val="18"/>
              </w:rPr>
              <w:t xml:space="preserve">What data fixes are required before ML modelling</w:t>
            </w:r>
          </w:p>
        </w:tc>
        <w:tc>
          <w:tcPr>
            <w:tcW w:type="dxa" w:w="5238"/>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b w:val="false"/>
                <w:bCs w:val="false"/>
                <w:sz w:val="18"/>
                <w:szCs w:val="18"/>
              </w:rPr>
              <w:t xml:space="preserve">Profiling results and data-quality issue log</w:t>
            </w:r>
          </w:p>
        </w:tc>
      </w:tr>
    </w:tbl>
    <w:p>
      <w:pPr>
        <w:spacing w:after="120"/>
      </w:pPr>
    </w:p>
    <w:p>
      <w:pPr>
        <w:pStyle w:val="Heading2"/>
      </w:pPr>
      <w:r>
        <w:rPr>
          <w:rFonts w:ascii="Arial" w:cs="Arial" w:eastAsia="Arial" w:hAnsi="Arial"/>
        </w:rPr>
        <w:t xml:space="preserve">1.7 Stakeholders who benefit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6438"/>
      </w:tblGrid>
      <w:tr>
        <w:trPr>
          <w:tblHeader/>
        </w:trPr>
        <w:tc>
          <w:tcPr>
            <w:tcW w:type="dxa" w:w="32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jc w:val="left"/>
            </w:pPr>
            <w:r>
              <w:rPr>
                <w:rFonts w:ascii="Arial" w:cs="Arial" w:eastAsia="Arial" w:hAnsi="Arial"/>
                <w:b/>
                <w:bCs/>
                <w:color w:val="FFFFFF"/>
                <w:sz w:val="18"/>
                <w:szCs w:val="18"/>
              </w:rPr>
              <w:t xml:space="preserve">Stakeholder</w:t>
            </w:r>
          </w:p>
        </w:tc>
        <w:tc>
          <w:tcPr>
            <w:tcW w:type="dxa" w:w="6438"/>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jc w:val="left"/>
            </w:pPr>
            <w:r>
              <w:rPr>
                <w:rFonts w:ascii="Arial" w:cs="Arial" w:eastAsia="Arial" w:hAnsi="Arial"/>
                <w:b/>
                <w:bCs/>
                <w:color w:val="FFFFFF"/>
                <w:sz w:val="18"/>
                <w:szCs w:val="18"/>
              </w:rPr>
              <w:t xml:space="preserve">How they benefit</w:t>
            </w:r>
          </w:p>
        </w:tc>
      </w:tr>
      <w:tr>
        <w:trPr>
          <w:cantSplit/>
        </w:trPr>
        <w:tc>
          <w:tcPr>
            <w:tcW w:type="dxa" w:w="32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b w:val="false"/>
                <w:bCs w:val="false"/>
                <w:sz w:val="18"/>
                <w:szCs w:val="18"/>
              </w:rPr>
              <w:t xml:space="preserve">Executive management</w:t>
            </w:r>
          </w:p>
        </w:tc>
        <w:tc>
          <w:tcPr>
            <w:tcW w:type="dxa" w:w="6438"/>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b w:val="false"/>
                <w:bCs w:val="false"/>
                <w:sz w:val="18"/>
                <w:szCs w:val="18"/>
              </w:rPr>
              <w:t xml:space="preserve">Clear KPIs on activity, value, reliability and risk exposure</w:t>
            </w:r>
          </w:p>
        </w:tc>
      </w:tr>
      <w:tr>
        <w:trPr>
          <w:cantSplit/>
        </w:trPr>
        <w:tc>
          <w:tcPr>
            <w:tcW w:type="dxa" w:w="3200"/>
            <w:tcBorders>
              <w:top w:val="single" w:color="BFBFBF" w:sz="4"/>
              <w:left w:val="single" w:color="BFBFBF" w:sz="4"/>
              <w:bottom w:val="single" w:color="BFBFBF" w:sz="4"/>
              <w:right w:val="single" w:color="BFBFBF" w:sz="4"/>
            </w:tcBorders>
            <w:shd w:fill="F5F7FA" w:color="auto" w:val="clear"/>
            <w:tcMar>
              <w:top w:type="dxa" w:w="60"/>
              <w:left w:type="dxa" w:w="90"/>
              <w:bottom w:type="dxa" w:w="60"/>
              <w:right w:type="dxa" w:w="90"/>
            </w:tcMar>
          </w:tcPr>
          <w:p>
            <w:pPr>
              <w:jc w:val="left"/>
            </w:pPr>
            <w:r>
              <w:rPr>
                <w:rFonts w:ascii="Arial" w:cs="Arial" w:eastAsia="Arial" w:hAnsi="Arial"/>
                <w:b w:val="false"/>
                <w:bCs w:val="false"/>
                <w:sz w:val="18"/>
                <w:szCs w:val="18"/>
              </w:rPr>
              <w:t xml:space="preserve">Digital product / channel teams</w:t>
            </w:r>
          </w:p>
        </w:tc>
        <w:tc>
          <w:tcPr>
            <w:tcW w:type="dxa" w:w="6438"/>
            <w:tcBorders>
              <w:top w:val="single" w:color="BFBFBF" w:sz="4"/>
              <w:left w:val="single" w:color="BFBFBF" w:sz="4"/>
              <w:bottom w:val="single" w:color="BFBFBF" w:sz="4"/>
              <w:right w:val="single" w:color="BFBFBF" w:sz="4"/>
            </w:tcBorders>
            <w:shd w:fill="F5F7FA" w:color="auto" w:val="clear"/>
            <w:tcMar>
              <w:top w:type="dxa" w:w="60"/>
              <w:left w:type="dxa" w:w="90"/>
              <w:bottom w:type="dxa" w:w="60"/>
              <w:right w:type="dxa" w:w="90"/>
            </w:tcMar>
          </w:tcPr>
          <w:p>
            <w:pPr>
              <w:jc w:val="left"/>
            </w:pPr>
            <w:r>
              <w:rPr>
                <w:rFonts w:ascii="Arial" w:cs="Arial" w:eastAsia="Arial" w:hAnsi="Arial"/>
                <w:b w:val="false"/>
                <w:bCs w:val="false"/>
                <w:sz w:val="18"/>
                <w:szCs w:val="18"/>
              </w:rPr>
              <w:t xml:space="preserve">Channel performance and failure hot spots to prioritise improvements</w:t>
            </w:r>
          </w:p>
        </w:tc>
      </w:tr>
      <w:tr>
        <w:trPr>
          <w:cantSplit/>
        </w:trPr>
        <w:tc>
          <w:tcPr>
            <w:tcW w:type="dxa" w:w="32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b w:val="false"/>
                <w:bCs w:val="false"/>
                <w:sz w:val="18"/>
                <w:szCs w:val="18"/>
              </w:rPr>
              <w:t xml:space="preserve">Risk and compliance</w:t>
            </w:r>
          </w:p>
        </w:tc>
        <w:tc>
          <w:tcPr>
            <w:tcW w:type="dxa" w:w="6438"/>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b w:val="false"/>
                <w:bCs w:val="false"/>
                <w:sz w:val="18"/>
                <w:szCs w:val="18"/>
              </w:rPr>
              <w:t xml:space="preserve">Patterns in flagged activity to guide review effort</w:t>
            </w:r>
          </w:p>
        </w:tc>
      </w:tr>
      <w:tr>
        <w:trPr>
          <w:cantSplit/>
        </w:trPr>
        <w:tc>
          <w:tcPr>
            <w:tcW w:type="dxa" w:w="3200"/>
            <w:tcBorders>
              <w:top w:val="single" w:color="BFBFBF" w:sz="4"/>
              <w:left w:val="single" w:color="BFBFBF" w:sz="4"/>
              <w:bottom w:val="single" w:color="BFBFBF" w:sz="4"/>
              <w:right w:val="single" w:color="BFBFBF" w:sz="4"/>
            </w:tcBorders>
            <w:shd w:fill="F5F7FA" w:color="auto" w:val="clear"/>
            <w:tcMar>
              <w:top w:type="dxa" w:w="60"/>
              <w:left w:type="dxa" w:w="90"/>
              <w:bottom w:type="dxa" w:w="60"/>
              <w:right w:type="dxa" w:w="90"/>
            </w:tcMar>
          </w:tcPr>
          <w:p>
            <w:pPr>
              <w:jc w:val="left"/>
            </w:pPr>
            <w:r>
              <w:rPr>
                <w:rFonts w:ascii="Arial" w:cs="Arial" w:eastAsia="Arial" w:hAnsi="Arial"/>
                <w:b w:val="false"/>
                <w:bCs w:val="false"/>
                <w:sz w:val="18"/>
                <w:szCs w:val="18"/>
              </w:rPr>
              <w:t xml:space="preserve">Operations and customer support</w:t>
            </w:r>
          </w:p>
        </w:tc>
        <w:tc>
          <w:tcPr>
            <w:tcW w:type="dxa" w:w="6438"/>
            <w:tcBorders>
              <w:top w:val="single" w:color="BFBFBF" w:sz="4"/>
              <w:left w:val="single" w:color="BFBFBF" w:sz="4"/>
              <w:bottom w:val="single" w:color="BFBFBF" w:sz="4"/>
              <w:right w:val="single" w:color="BFBFBF" w:sz="4"/>
            </w:tcBorders>
            <w:shd w:fill="F5F7FA" w:color="auto" w:val="clear"/>
            <w:tcMar>
              <w:top w:type="dxa" w:w="60"/>
              <w:left w:type="dxa" w:w="90"/>
              <w:bottom w:type="dxa" w:w="60"/>
              <w:right w:type="dxa" w:w="90"/>
            </w:tcMar>
          </w:tcPr>
          <w:p>
            <w:pPr>
              <w:jc w:val="left"/>
            </w:pPr>
            <w:r>
              <w:rPr>
                <w:rFonts w:ascii="Arial" w:cs="Arial" w:eastAsia="Arial" w:hAnsi="Arial"/>
                <w:b w:val="false"/>
                <w:bCs w:val="false"/>
                <w:sz w:val="18"/>
                <w:szCs w:val="18"/>
              </w:rPr>
              <w:t xml:space="preserve">Failure, reversal and pending patterns that drive customer contacts</w:t>
            </w:r>
          </w:p>
        </w:tc>
      </w:tr>
      <w:tr>
        <w:trPr>
          <w:cantSplit/>
        </w:trPr>
        <w:tc>
          <w:tcPr>
            <w:tcW w:type="dxa" w:w="32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b w:val="false"/>
                <w:bCs w:val="false"/>
                <w:sz w:val="18"/>
                <w:szCs w:val="18"/>
              </w:rPr>
              <w:t xml:space="preserve">Marketing / customer value management</w:t>
            </w:r>
          </w:p>
        </w:tc>
        <w:tc>
          <w:tcPr>
            <w:tcW w:type="dxa" w:w="6438"/>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b w:val="false"/>
                <w:bCs w:val="false"/>
                <w:sz w:val="18"/>
                <w:szCs w:val="18"/>
              </w:rPr>
              <w:t xml:space="preserve">Segment, city and income-band behaviour for targeting and retention</w:t>
            </w:r>
          </w:p>
        </w:tc>
      </w:tr>
      <w:tr>
        <w:trPr>
          <w:cantSplit/>
        </w:trPr>
        <w:tc>
          <w:tcPr>
            <w:tcW w:type="dxa" w:w="3200"/>
            <w:tcBorders>
              <w:top w:val="single" w:color="BFBFBF" w:sz="4"/>
              <w:left w:val="single" w:color="BFBFBF" w:sz="4"/>
              <w:bottom w:val="single" w:color="BFBFBF" w:sz="4"/>
              <w:right w:val="single" w:color="BFBFBF" w:sz="4"/>
            </w:tcBorders>
            <w:shd w:fill="F5F7FA" w:color="auto" w:val="clear"/>
            <w:tcMar>
              <w:top w:type="dxa" w:w="60"/>
              <w:left w:type="dxa" w:w="90"/>
              <w:bottom w:type="dxa" w:w="60"/>
              <w:right w:type="dxa" w:w="90"/>
            </w:tcMar>
          </w:tcPr>
          <w:p>
            <w:pPr>
              <w:jc w:val="left"/>
            </w:pPr>
            <w:r>
              <w:rPr>
                <w:rFonts w:ascii="Arial" w:cs="Arial" w:eastAsia="Arial" w:hAnsi="Arial"/>
                <w:b w:val="false"/>
                <w:bCs w:val="false"/>
                <w:sz w:val="18"/>
                <w:szCs w:val="18"/>
              </w:rPr>
              <w:t xml:space="preserve">Data Science and AI project tracks</w:t>
            </w:r>
          </w:p>
        </w:tc>
        <w:tc>
          <w:tcPr>
            <w:tcW w:type="dxa" w:w="6438"/>
            <w:tcBorders>
              <w:top w:val="single" w:color="BFBFBF" w:sz="4"/>
              <w:left w:val="single" w:color="BFBFBF" w:sz="4"/>
              <w:bottom w:val="single" w:color="BFBFBF" w:sz="4"/>
              <w:right w:val="single" w:color="BFBFBF" w:sz="4"/>
            </w:tcBorders>
            <w:shd w:fill="F5F7FA" w:color="auto" w:val="clear"/>
            <w:tcMar>
              <w:top w:type="dxa" w:w="60"/>
              <w:left w:type="dxa" w:w="90"/>
              <w:bottom w:type="dxa" w:w="60"/>
              <w:right w:type="dxa" w:w="90"/>
            </w:tcMar>
          </w:tcPr>
          <w:p>
            <w:pPr>
              <w:jc w:val="left"/>
            </w:pPr>
            <w:r>
              <w:rPr>
                <w:rFonts w:ascii="Arial" w:cs="Arial" w:eastAsia="Arial" w:hAnsi="Arial"/>
                <w:b w:val="false"/>
                <w:bCs w:val="false"/>
                <w:sz w:val="18"/>
                <w:szCs w:val="18"/>
              </w:rPr>
              <w:t xml:space="preserve">Clean, documented data and validated business context</w:t>
            </w:r>
          </w:p>
        </w:tc>
      </w:tr>
    </w:tbl>
    <w:p>
      <w:pPr>
        <w:spacing w:after="120"/>
      </w:pPr>
    </w:p>
    <w:p>
      <w:pPr>
        <w:pStyle w:val="Heading1"/>
      </w:pPr>
      <w:r>
        <w:rPr>
          <w:rFonts w:ascii="Arial" w:cs="Arial" w:eastAsia="Arial" w:hAnsi="Arial"/>
        </w:rPr>
        <w:t xml:space="preserve">2. Resources Reviewed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2900"/>
        <w:gridCol w:w="2500"/>
        <w:gridCol w:w="2538"/>
      </w:tblGrid>
      <w:tr>
        <w:trPr>
          <w:tblHeader/>
        </w:trPr>
        <w:tc>
          <w:tcPr>
            <w:tcW w:type="dxa" w:w="17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jc w:val="left"/>
            </w:pPr>
            <w:r>
              <w:rPr>
                <w:rFonts w:ascii="Arial" w:cs="Arial" w:eastAsia="Arial" w:hAnsi="Arial"/>
                <w:b/>
                <w:bCs/>
                <w:color w:val="FFFFFF"/>
                <w:sz w:val="17"/>
                <w:szCs w:val="17"/>
              </w:rPr>
              <w:t xml:space="preserve">Resource</w:t>
            </w:r>
          </w:p>
        </w:tc>
        <w:tc>
          <w:tcPr>
            <w:tcW w:type="dxa" w:w="29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jc w:val="left"/>
            </w:pPr>
            <w:r>
              <w:rPr>
                <w:rFonts w:ascii="Arial" w:cs="Arial" w:eastAsia="Arial" w:hAnsi="Arial"/>
                <w:b/>
                <w:bCs/>
                <w:color w:val="FFFFFF"/>
                <w:sz w:val="17"/>
                <w:szCs w:val="17"/>
              </w:rPr>
              <w:t xml:space="preserve">What it contains</w:t>
            </w:r>
          </w:p>
        </w:tc>
        <w:tc>
          <w:tcPr>
            <w:tcW w:type="dxa" w:w="25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jc w:val="left"/>
            </w:pPr>
            <w:r>
              <w:rPr>
                <w:rFonts w:ascii="Arial" w:cs="Arial" w:eastAsia="Arial" w:hAnsi="Arial"/>
                <w:b/>
                <w:bCs/>
                <w:color w:val="FFFFFF"/>
                <w:sz w:val="17"/>
                <w:szCs w:val="17"/>
              </w:rPr>
              <w:t xml:space="preserve">How I will use it</w:t>
            </w:r>
          </w:p>
        </w:tc>
        <w:tc>
          <w:tcPr>
            <w:tcW w:type="dxa" w:w="2538"/>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jc w:val="left"/>
            </w:pPr>
            <w:r>
              <w:rPr>
                <w:rFonts w:ascii="Arial" w:cs="Arial" w:eastAsia="Arial" w:hAnsi="Arial"/>
                <w:b/>
                <w:bCs/>
                <w:color w:val="FFFFFF"/>
                <w:sz w:val="17"/>
                <w:szCs w:val="17"/>
              </w:rPr>
              <w:t xml:space="preserve">Limitations identified</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FinTrust Customer Data (CSV)</w:t>
            </w:r>
          </w:p>
        </w:tc>
        <w:tc>
          <w:tcPr>
            <w:tcW w:type="dxa" w:w="29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1,500 customers: demographics, city, segment, account type, tenure, engagement score, income band, preferred channel, account status</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Customer dimension for segment, city, income and status analysis; joined to transactions on Customer_ID</w:t>
            </w:r>
          </w:p>
        </w:tc>
        <w:tc>
          <w:tcPr>
            <w:tcW w:type="dxa" w:w="2538"/>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No transaction history or balances. Segment does not align with age or income (see Section 3.7). Contains customer names, which are personal data and should be excluded from outputs.</w:t>
            </w:r>
          </w:p>
        </w:tc>
      </w:tr>
      <w:tr>
        <w:trPr>
          <w:cantSplit/>
        </w:trPr>
        <w:tc>
          <w:tcPr>
            <w:tcW w:type="dxa" w:w="1700"/>
            <w:tcBorders>
              <w:top w:val="single" w:color="BFBFBF" w:sz="4"/>
              <w:left w:val="single" w:color="BFBFBF" w:sz="4"/>
              <w:bottom w:val="single" w:color="BFBFBF" w:sz="4"/>
              <w:right w:val="single" w:color="BFBFBF" w:sz="4"/>
            </w:tcBorders>
            <w:shd w:fill="F5F7FA" w:color="auto" w:val="clear"/>
            <w:tcMar>
              <w:top w:type="dxa" w:w="60"/>
              <w:left w:type="dxa" w:w="90"/>
              <w:bottom w:type="dxa" w:w="60"/>
              <w:right w:type="dxa" w:w="90"/>
            </w:tcMar>
          </w:tcPr>
          <w:p>
            <w:pPr>
              <w:jc w:val="left"/>
            </w:pPr>
            <w:r>
              <w:rPr>
                <w:rFonts w:ascii="Arial" w:cs="Arial" w:eastAsia="Arial" w:hAnsi="Arial"/>
                <w:b w:val="false"/>
                <w:bCs w:val="false"/>
                <w:sz w:val="17"/>
                <w:szCs w:val="17"/>
              </w:rPr>
              <w:t xml:space="preserve">FinTrust Transaction Data (CSV)</w:t>
            </w:r>
          </w:p>
        </w:tc>
        <w:tc>
          <w:tcPr>
            <w:tcW w:type="dxa" w:w="2900"/>
            <w:tcBorders>
              <w:top w:val="single" w:color="BFBFBF" w:sz="4"/>
              <w:left w:val="single" w:color="BFBFBF" w:sz="4"/>
              <w:bottom w:val="single" w:color="BFBFBF" w:sz="4"/>
              <w:right w:val="single" w:color="BFBFBF" w:sz="4"/>
            </w:tcBorders>
            <w:shd w:fill="F5F7FA" w:color="auto" w:val="clear"/>
            <w:tcMar>
              <w:top w:type="dxa" w:w="60"/>
              <w:left w:type="dxa" w:w="90"/>
              <w:bottom w:type="dxa" w:w="60"/>
              <w:right w:type="dxa" w:w="90"/>
            </w:tcMar>
          </w:tcPr>
          <w:p>
            <w:pPr>
              <w:jc w:val="left"/>
            </w:pPr>
            <w:r>
              <w:rPr>
                <w:rFonts w:ascii="Arial" w:cs="Arial" w:eastAsia="Arial" w:hAnsi="Arial"/>
                <w:b w:val="false"/>
                <w:bCs w:val="false"/>
                <w:sz w:val="17"/>
                <w:szCs w:val="17"/>
              </w:rPr>
              <w:t xml:space="preserve">12,000 transactions from 1 Jan to 31 Mar 2026: type, amount (NGN), channel, device, location, international flag, status, risk-review flag</w:t>
            </w:r>
          </w:p>
        </w:tc>
        <w:tc>
          <w:tcPr>
            <w:tcW w:type="dxa" w:w="2500"/>
            <w:tcBorders>
              <w:top w:val="single" w:color="BFBFBF" w:sz="4"/>
              <w:left w:val="single" w:color="BFBFBF" w:sz="4"/>
              <w:bottom w:val="single" w:color="BFBFBF" w:sz="4"/>
              <w:right w:val="single" w:color="BFBFBF" w:sz="4"/>
            </w:tcBorders>
            <w:shd w:fill="F5F7FA" w:color="auto" w:val="clear"/>
            <w:tcMar>
              <w:top w:type="dxa" w:w="60"/>
              <w:left w:type="dxa" w:w="90"/>
              <w:bottom w:type="dxa" w:w="60"/>
              <w:right w:type="dxa" w:w="90"/>
            </w:tcMar>
          </w:tcPr>
          <w:p>
            <w:pPr>
              <w:jc w:val="left"/>
            </w:pPr>
            <w:r>
              <w:rPr>
                <w:rFonts w:ascii="Arial" w:cs="Arial" w:eastAsia="Arial" w:hAnsi="Arial"/>
                <w:b w:val="false"/>
                <w:bCs w:val="false"/>
                <w:sz w:val="17"/>
                <w:szCs w:val="17"/>
              </w:rPr>
              <w:t xml:space="preserve">Fact table for volume, value, channel, status and risk-review analysis</w:t>
            </w:r>
          </w:p>
        </w:tc>
        <w:tc>
          <w:tcPr>
            <w:tcW w:type="dxa" w:w="2538"/>
            <w:tcBorders>
              <w:top w:val="single" w:color="BFBFBF" w:sz="4"/>
              <w:left w:val="single" w:color="BFBFBF" w:sz="4"/>
              <w:bottom w:val="single" w:color="BFBFBF" w:sz="4"/>
              <w:right w:val="single" w:color="BFBFBF" w:sz="4"/>
            </w:tcBorders>
            <w:shd w:fill="F5F7FA" w:color="auto" w:val="clear"/>
            <w:tcMar>
              <w:top w:type="dxa" w:w="60"/>
              <w:left w:type="dxa" w:w="90"/>
              <w:bottom w:type="dxa" w:w="60"/>
              <w:right w:type="dxa" w:w="90"/>
            </w:tcMar>
          </w:tcPr>
          <w:p>
            <w:pPr>
              <w:jc w:val="left"/>
            </w:pPr>
            <w:r>
              <w:rPr>
                <w:rFonts w:ascii="Arial" w:cs="Arial" w:eastAsia="Arial" w:hAnsi="Arial"/>
                <w:b w:val="false"/>
                <w:bCs w:val="false"/>
                <w:sz w:val="17"/>
                <w:szCs w:val="17"/>
              </w:rPr>
              <w:t xml:space="preserve">Only 3 months. No debit/credit direction. Device and location fields are unreliable. Timestamps are stored as text. Risk_Review_Flag is synthetic.</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Project brief (Week 1)</w:t>
            </w:r>
          </w:p>
        </w:tc>
        <w:tc>
          <w:tcPr>
            <w:tcW w:type="dxa" w:w="29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Track tasks, deliverables and definitions of success</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Defines scope: profiling, analytical questions, KPIs, wireframe and plan</w:t>
            </w:r>
          </w:p>
        </w:tc>
        <w:tc>
          <w:tcPr>
            <w:tcW w:type="dxa" w:w="2538"/>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No formal cross-track collaboration in Week 1</w:t>
            </w:r>
          </w:p>
        </w:tc>
      </w:tr>
      <w:tr>
        <w:trPr>
          <w:cantSplit/>
        </w:trPr>
        <w:tc>
          <w:tcPr>
            <w:tcW w:type="dxa" w:w="1700"/>
            <w:tcBorders>
              <w:top w:val="single" w:color="BFBFBF" w:sz="4"/>
              <w:left w:val="single" w:color="BFBFBF" w:sz="4"/>
              <w:bottom w:val="single" w:color="BFBFBF" w:sz="4"/>
              <w:right w:val="single" w:color="BFBFBF" w:sz="4"/>
            </w:tcBorders>
            <w:shd w:fill="F5F7FA" w:color="auto" w:val="clear"/>
            <w:tcMar>
              <w:top w:type="dxa" w:w="60"/>
              <w:left w:type="dxa" w:w="90"/>
              <w:bottom w:type="dxa" w:w="60"/>
              <w:right w:type="dxa" w:w="90"/>
            </w:tcMar>
          </w:tcPr>
          <w:p>
            <w:pPr>
              <w:jc w:val="left"/>
            </w:pPr>
            <w:r>
              <w:rPr>
                <w:rFonts w:ascii="Arial" w:cs="Arial" w:eastAsia="Arial" w:hAnsi="Arial"/>
                <w:b w:val="false"/>
                <w:bCs w:val="false"/>
                <w:sz w:val="17"/>
                <w:szCs w:val="17"/>
              </w:rPr>
              <w:t xml:space="preserve">SQL, Excel, Power BI</w:t>
            </w:r>
          </w:p>
        </w:tc>
        <w:tc>
          <w:tcPr>
            <w:tcW w:type="dxa" w:w="2900"/>
            <w:tcBorders>
              <w:top w:val="single" w:color="BFBFBF" w:sz="4"/>
              <w:left w:val="single" w:color="BFBFBF" w:sz="4"/>
              <w:bottom w:val="single" w:color="BFBFBF" w:sz="4"/>
              <w:right w:val="single" w:color="BFBFBF" w:sz="4"/>
            </w:tcBorders>
            <w:shd w:fill="F5F7FA" w:color="auto" w:val="clear"/>
            <w:tcMar>
              <w:top w:type="dxa" w:w="60"/>
              <w:left w:type="dxa" w:w="90"/>
              <w:bottom w:type="dxa" w:w="60"/>
              <w:right w:type="dxa" w:w="90"/>
            </w:tcMar>
          </w:tcPr>
          <w:p>
            <w:pPr>
              <w:jc w:val="left"/>
            </w:pPr>
            <w:r>
              <w:rPr>
                <w:rFonts w:ascii="Arial" w:cs="Arial" w:eastAsia="Arial" w:hAnsi="Arial"/>
                <w:b w:val="false"/>
                <w:bCs w:val="false"/>
                <w:sz w:val="17"/>
                <w:szCs w:val="17"/>
              </w:rPr>
              <w:t xml:space="preserve">Analysis and visualisation tools</w:t>
            </w:r>
          </w:p>
        </w:tc>
        <w:tc>
          <w:tcPr>
            <w:tcW w:type="dxa" w:w="2500"/>
            <w:tcBorders>
              <w:top w:val="single" w:color="BFBFBF" w:sz="4"/>
              <w:left w:val="single" w:color="BFBFBF" w:sz="4"/>
              <w:bottom w:val="single" w:color="BFBFBF" w:sz="4"/>
              <w:right w:val="single" w:color="BFBFBF" w:sz="4"/>
            </w:tcBorders>
            <w:shd w:fill="F5F7FA" w:color="auto" w:val="clear"/>
            <w:tcMar>
              <w:top w:type="dxa" w:w="60"/>
              <w:left w:type="dxa" w:w="90"/>
              <w:bottom w:type="dxa" w:w="60"/>
              <w:right w:type="dxa" w:w="90"/>
            </w:tcMar>
          </w:tcPr>
          <w:p>
            <w:pPr>
              <w:jc w:val="left"/>
            </w:pPr>
            <w:r>
              <w:rPr>
                <w:rFonts w:ascii="Arial" w:cs="Arial" w:eastAsia="Arial" w:hAnsi="Arial"/>
                <w:b w:val="false"/>
                <w:bCs w:val="false"/>
                <w:sz w:val="17"/>
                <w:szCs w:val="17"/>
              </w:rPr>
              <w:t xml:space="preserve">SQL for profiling and analysis, Excel for checks, Power BI for the Week 3 dashboard</w:t>
            </w:r>
          </w:p>
        </w:tc>
        <w:tc>
          <w:tcPr>
            <w:tcW w:type="dxa" w:w="2538"/>
            <w:tcBorders>
              <w:top w:val="single" w:color="BFBFBF" w:sz="4"/>
              <w:left w:val="single" w:color="BFBFBF" w:sz="4"/>
              <w:bottom w:val="single" w:color="BFBFBF" w:sz="4"/>
              <w:right w:val="single" w:color="BFBFBF" w:sz="4"/>
            </w:tcBorders>
            <w:shd w:fill="F5F7FA" w:color="auto" w:val="clear"/>
            <w:tcMar>
              <w:top w:type="dxa" w:w="60"/>
              <w:left w:type="dxa" w:w="90"/>
              <w:bottom w:type="dxa" w:w="60"/>
              <w:right w:type="dxa" w:w="90"/>
            </w:tcMar>
          </w:tcPr>
          <w:p>
            <w:pPr>
              <w:jc w:val="left"/>
            </w:pPr>
            <w:r>
              <w:rPr>
                <w:rFonts w:ascii="Arial" w:cs="Arial" w:eastAsia="Arial" w:hAnsi="Arial"/>
                <w:b w:val="false"/>
                <w:bCs w:val="false"/>
                <w:sz w:val="17"/>
                <w:szCs w:val="17"/>
              </w:rPr>
              <w:t xml:space="preserve">Dashboard build is not required in Week 1</w:t>
            </w:r>
          </w:p>
        </w:tc>
      </w:tr>
    </w:tbl>
    <w:p>
      <w:pPr>
        <w:spacing w:after="120"/>
      </w:pPr>
    </w:p>
    <w:p>
      <w:pPr>
        <w:pStyle w:val="Heading1"/>
      </w:pPr>
      <w:r>
        <w:rPr>
          <w:rFonts w:ascii="Arial" w:cs="Arial" w:eastAsia="Arial" w:hAnsi="Arial"/>
        </w:rPr>
        <w:t xml:space="preserve">3. Data Understanding and Profiling Report</w:t>
      </w:r>
    </w:p>
    <w:p>
      <w:pPr>
        <w:pStyle w:val="Heading2"/>
      </w:pPr>
      <w:r>
        <w:rPr>
          <w:rFonts w:ascii="Arial" w:cs="Arial" w:eastAsia="Arial" w:hAnsi="Arial"/>
        </w:rPr>
        <w:t xml:space="preserve">3.1 Dataset overview</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1200"/>
        <w:gridCol w:w="2900"/>
        <w:gridCol w:w="2138"/>
      </w:tblGrid>
      <w:tr>
        <w:trPr>
          <w:tblHeader/>
        </w:trPr>
        <w:tc>
          <w:tcPr>
            <w:tcW w:type="dxa" w:w="22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jc w:val="left"/>
            </w:pPr>
            <w:r>
              <w:rPr>
                <w:rFonts w:ascii="Arial" w:cs="Arial" w:eastAsia="Arial" w:hAnsi="Arial"/>
                <w:b/>
                <w:bCs/>
                <w:color w:val="FFFFFF"/>
                <w:sz w:val="18"/>
                <w:szCs w:val="18"/>
              </w:rPr>
              <w:t xml:space="preserve">Dataset</w:t>
            </w:r>
          </w:p>
        </w:tc>
        <w:tc>
          <w:tcPr>
            <w:tcW w:type="dxa" w:w="12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jc w:val="left"/>
            </w:pPr>
            <w:r>
              <w:rPr>
                <w:rFonts w:ascii="Arial" w:cs="Arial" w:eastAsia="Arial" w:hAnsi="Arial"/>
                <w:b/>
                <w:bCs/>
                <w:color w:val="FFFFFF"/>
                <w:sz w:val="18"/>
                <w:szCs w:val="18"/>
              </w:rPr>
              <w:t xml:space="preserve">Records</w:t>
            </w:r>
          </w:p>
        </w:tc>
        <w:tc>
          <w:tcPr>
            <w:tcW w:type="dxa" w:w="12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jc w:val="left"/>
            </w:pPr>
            <w:r>
              <w:rPr>
                <w:rFonts w:ascii="Arial" w:cs="Arial" w:eastAsia="Arial" w:hAnsi="Arial"/>
                <w:b/>
                <w:bCs/>
                <w:color w:val="FFFFFF"/>
                <w:sz w:val="18"/>
                <w:szCs w:val="18"/>
              </w:rPr>
              <w:t xml:space="preserve">Columns</w:t>
            </w:r>
          </w:p>
        </w:tc>
        <w:tc>
          <w:tcPr>
            <w:tcW w:type="dxa" w:w="29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jc w:val="left"/>
            </w:pPr>
            <w:r>
              <w:rPr>
                <w:rFonts w:ascii="Arial" w:cs="Arial" w:eastAsia="Arial" w:hAnsi="Arial"/>
                <w:b/>
                <w:bCs/>
                <w:color w:val="FFFFFF"/>
                <w:sz w:val="18"/>
                <w:szCs w:val="18"/>
              </w:rPr>
              <w:t xml:space="preserve">Primary key</w:t>
            </w:r>
          </w:p>
        </w:tc>
        <w:tc>
          <w:tcPr>
            <w:tcW w:type="dxa" w:w="2138"/>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jc w:val="left"/>
            </w:pPr>
            <w:r>
              <w:rPr>
                <w:rFonts w:ascii="Arial" w:cs="Arial" w:eastAsia="Arial" w:hAnsi="Arial"/>
                <w:b/>
                <w:bCs/>
                <w:color w:val="FFFFFF"/>
                <w:sz w:val="18"/>
                <w:szCs w:val="18"/>
              </w:rPr>
              <w:t xml:space="preserve">Grain</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b w:val="false"/>
                <w:bCs w:val="false"/>
                <w:sz w:val="18"/>
                <w:szCs w:val="18"/>
              </w:rPr>
              <w:t xml:space="preserve">Customer data</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b w:val="false"/>
                <w:bCs w:val="false"/>
                <w:sz w:val="18"/>
                <w:szCs w:val="18"/>
              </w:rPr>
              <w:t xml:space="preserve">1,500</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b w:val="false"/>
                <w:bCs w:val="false"/>
                <w:sz w:val="18"/>
                <w:szCs w:val="18"/>
              </w:rPr>
              <w:t xml:space="preserve">12</w:t>
            </w:r>
          </w:p>
        </w:tc>
        <w:tc>
          <w:tcPr>
            <w:tcW w:type="dxa" w:w="29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b w:val="false"/>
                <w:bCs w:val="false"/>
                <w:sz w:val="18"/>
                <w:szCs w:val="18"/>
              </w:rPr>
              <w:t xml:space="preserve">Customer_ID (no duplicates)</w:t>
            </w:r>
          </w:p>
        </w:tc>
        <w:tc>
          <w:tcPr>
            <w:tcW w:type="dxa" w:w="2138"/>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b w:val="false"/>
                <w:bCs w:val="false"/>
                <w:sz w:val="18"/>
                <w:szCs w:val="18"/>
              </w:rPr>
              <w:t xml:space="preserve">One row per customer</w:t>
            </w:r>
          </w:p>
        </w:tc>
      </w:tr>
      <w:tr>
        <w:trPr>
          <w:cantSplit/>
        </w:trPr>
        <w:tc>
          <w:tcPr>
            <w:tcW w:type="dxa" w:w="2200"/>
            <w:tcBorders>
              <w:top w:val="single" w:color="BFBFBF" w:sz="4"/>
              <w:left w:val="single" w:color="BFBFBF" w:sz="4"/>
              <w:bottom w:val="single" w:color="BFBFBF" w:sz="4"/>
              <w:right w:val="single" w:color="BFBFBF" w:sz="4"/>
            </w:tcBorders>
            <w:shd w:fill="F5F7FA" w:color="auto" w:val="clear"/>
            <w:tcMar>
              <w:top w:type="dxa" w:w="60"/>
              <w:left w:type="dxa" w:w="90"/>
              <w:bottom w:type="dxa" w:w="60"/>
              <w:right w:type="dxa" w:w="90"/>
            </w:tcMar>
          </w:tcPr>
          <w:p>
            <w:pPr>
              <w:jc w:val="left"/>
            </w:pPr>
            <w:r>
              <w:rPr>
                <w:rFonts w:ascii="Arial" w:cs="Arial" w:eastAsia="Arial" w:hAnsi="Arial"/>
                <w:b w:val="false"/>
                <w:bCs w:val="false"/>
                <w:sz w:val="18"/>
                <w:szCs w:val="18"/>
              </w:rPr>
              <w:t xml:space="preserve">Transaction data</w:t>
            </w:r>
          </w:p>
        </w:tc>
        <w:tc>
          <w:tcPr>
            <w:tcW w:type="dxa" w:w="1200"/>
            <w:tcBorders>
              <w:top w:val="single" w:color="BFBFBF" w:sz="4"/>
              <w:left w:val="single" w:color="BFBFBF" w:sz="4"/>
              <w:bottom w:val="single" w:color="BFBFBF" w:sz="4"/>
              <w:right w:val="single" w:color="BFBFBF" w:sz="4"/>
            </w:tcBorders>
            <w:shd w:fill="F5F7FA" w:color="auto" w:val="clear"/>
            <w:tcMar>
              <w:top w:type="dxa" w:w="60"/>
              <w:left w:type="dxa" w:w="90"/>
              <w:bottom w:type="dxa" w:w="60"/>
              <w:right w:type="dxa" w:w="90"/>
            </w:tcMar>
          </w:tcPr>
          <w:p>
            <w:pPr>
              <w:jc w:val="left"/>
            </w:pPr>
            <w:r>
              <w:rPr>
                <w:rFonts w:ascii="Arial" w:cs="Arial" w:eastAsia="Arial" w:hAnsi="Arial"/>
                <w:b w:val="false"/>
                <w:bCs w:val="false"/>
                <w:sz w:val="18"/>
                <w:szCs w:val="18"/>
              </w:rPr>
              <w:t xml:space="preserve">12,000</w:t>
            </w:r>
          </w:p>
        </w:tc>
        <w:tc>
          <w:tcPr>
            <w:tcW w:type="dxa" w:w="1200"/>
            <w:tcBorders>
              <w:top w:val="single" w:color="BFBFBF" w:sz="4"/>
              <w:left w:val="single" w:color="BFBFBF" w:sz="4"/>
              <w:bottom w:val="single" w:color="BFBFBF" w:sz="4"/>
              <w:right w:val="single" w:color="BFBFBF" w:sz="4"/>
            </w:tcBorders>
            <w:shd w:fill="F5F7FA" w:color="auto" w:val="clear"/>
            <w:tcMar>
              <w:top w:type="dxa" w:w="60"/>
              <w:left w:type="dxa" w:w="90"/>
              <w:bottom w:type="dxa" w:w="60"/>
              <w:right w:type="dxa" w:w="90"/>
            </w:tcMar>
          </w:tcPr>
          <w:p>
            <w:pPr>
              <w:jc w:val="left"/>
            </w:pPr>
            <w:r>
              <w:rPr>
                <w:rFonts w:ascii="Arial" w:cs="Arial" w:eastAsia="Arial" w:hAnsi="Arial"/>
                <w:b w:val="false"/>
                <w:bCs w:val="false"/>
                <w:sz w:val="18"/>
                <w:szCs w:val="18"/>
              </w:rPr>
              <w:t xml:space="preserve">11</w:t>
            </w:r>
          </w:p>
        </w:tc>
        <w:tc>
          <w:tcPr>
            <w:tcW w:type="dxa" w:w="2900"/>
            <w:tcBorders>
              <w:top w:val="single" w:color="BFBFBF" w:sz="4"/>
              <w:left w:val="single" w:color="BFBFBF" w:sz="4"/>
              <w:bottom w:val="single" w:color="BFBFBF" w:sz="4"/>
              <w:right w:val="single" w:color="BFBFBF" w:sz="4"/>
            </w:tcBorders>
            <w:shd w:fill="F5F7FA" w:color="auto" w:val="clear"/>
            <w:tcMar>
              <w:top w:type="dxa" w:w="60"/>
              <w:left w:type="dxa" w:w="90"/>
              <w:bottom w:type="dxa" w:w="60"/>
              <w:right w:type="dxa" w:w="90"/>
            </w:tcMar>
          </w:tcPr>
          <w:p>
            <w:pPr>
              <w:jc w:val="left"/>
            </w:pPr>
            <w:r>
              <w:rPr>
                <w:rFonts w:ascii="Arial" w:cs="Arial" w:eastAsia="Arial" w:hAnsi="Arial"/>
                <w:b w:val="false"/>
                <w:bCs w:val="false"/>
                <w:sz w:val="18"/>
                <w:szCs w:val="18"/>
              </w:rPr>
              <w:t xml:space="preserve">Transaction_ID (no duplicates)</w:t>
            </w:r>
          </w:p>
        </w:tc>
        <w:tc>
          <w:tcPr>
            <w:tcW w:type="dxa" w:w="2138"/>
            <w:tcBorders>
              <w:top w:val="single" w:color="BFBFBF" w:sz="4"/>
              <w:left w:val="single" w:color="BFBFBF" w:sz="4"/>
              <w:bottom w:val="single" w:color="BFBFBF" w:sz="4"/>
              <w:right w:val="single" w:color="BFBFBF" w:sz="4"/>
            </w:tcBorders>
            <w:shd w:fill="F5F7FA" w:color="auto" w:val="clear"/>
            <w:tcMar>
              <w:top w:type="dxa" w:w="60"/>
              <w:left w:type="dxa" w:w="90"/>
              <w:bottom w:type="dxa" w:w="60"/>
              <w:right w:type="dxa" w:w="90"/>
            </w:tcMar>
          </w:tcPr>
          <w:p>
            <w:pPr>
              <w:jc w:val="left"/>
            </w:pPr>
            <w:r>
              <w:rPr>
                <w:rFonts w:ascii="Arial" w:cs="Arial" w:eastAsia="Arial" w:hAnsi="Arial"/>
                <w:b w:val="false"/>
                <w:bCs w:val="false"/>
                <w:sz w:val="18"/>
                <w:szCs w:val="18"/>
              </w:rPr>
              <w:t xml:space="preserve">One row per transaction</w:t>
            </w:r>
          </w:p>
        </w:tc>
      </w:tr>
    </w:tbl>
    <w:p>
      <w:pPr>
        <w:spacing w:after="120"/>
      </w:pPr>
    </w:p>
    <w:p>
      <w:pPr>
        <w:pStyle w:val="Heading2"/>
      </w:pPr>
      <w:r>
        <w:rPr>
          <w:rFonts w:ascii="Arial" w:cs="Arial" w:eastAsia="Arial" w:hAnsi="Arial"/>
        </w:rPr>
        <w:t xml:space="preserve">3.2 Customer data: field dictionary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1200"/>
        <w:gridCol w:w="2100"/>
        <w:gridCol w:w="3838"/>
      </w:tblGrid>
      <w:tr>
        <w:trPr>
          <w:tblHeader/>
        </w:trPr>
        <w:tc>
          <w:tcPr>
            <w:tcW w:type="dxa" w:w="25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jc w:val="left"/>
            </w:pPr>
            <w:r>
              <w:rPr>
                <w:rFonts w:ascii="Arial" w:cs="Arial" w:eastAsia="Arial" w:hAnsi="Arial"/>
                <w:b/>
                <w:bCs/>
                <w:color w:val="FFFFFF"/>
                <w:sz w:val="17"/>
                <w:szCs w:val="17"/>
              </w:rPr>
              <w:t xml:space="preserve">Field</w:t>
            </w:r>
          </w:p>
        </w:tc>
        <w:tc>
          <w:tcPr>
            <w:tcW w:type="dxa" w:w="12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jc w:val="left"/>
            </w:pPr>
            <w:r>
              <w:rPr>
                <w:rFonts w:ascii="Arial" w:cs="Arial" w:eastAsia="Arial" w:hAnsi="Arial"/>
                <w:b/>
                <w:bCs/>
                <w:color w:val="FFFFFF"/>
                <w:sz w:val="17"/>
                <w:szCs w:val="17"/>
              </w:rPr>
              <w:t xml:space="preserve">Data type</w:t>
            </w:r>
          </w:p>
        </w:tc>
        <w:tc>
          <w:tcPr>
            <w:tcW w:type="dxa" w:w="21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jc w:val="left"/>
            </w:pPr>
            <w:r>
              <w:rPr>
                <w:rFonts w:ascii="Arial" w:cs="Arial" w:eastAsia="Arial" w:hAnsi="Arial"/>
                <w:b/>
                <w:bCs/>
                <w:color w:val="FFFFFF"/>
                <w:sz w:val="17"/>
                <w:szCs w:val="17"/>
              </w:rPr>
              <w:t xml:space="preserve">Category</w:t>
            </w:r>
          </w:p>
        </w:tc>
        <w:tc>
          <w:tcPr>
            <w:tcW w:type="dxa" w:w="3838"/>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jc w:val="left"/>
            </w:pPr>
            <w:r>
              <w:rPr>
                <w:rFonts w:ascii="Arial" w:cs="Arial" w:eastAsia="Arial" w:hAnsi="Arial"/>
                <w:b/>
                <w:bCs/>
                <w:color w:val="FFFFFF"/>
                <w:sz w:val="17"/>
                <w:szCs w:val="17"/>
              </w:rPr>
              <w:t xml:space="preserve">Values / range</w:t>
            </w:r>
          </w:p>
        </w:tc>
      </w:tr>
      <w:tr>
        <w:trPr>
          <w:cantSplit/>
        </w:trPr>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Customer_ID</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Text</w:t>
            </w:r>
          </w:p>
        </w:tc>
        <w:tc>
          <w:tcPr>
            <w:tcW w:type="dxa" w:w="21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Identifier (key)</w:t>
            </w:r>
          </w:p>
        </w:tc>
        <w:tc>
          <w:tcPr>
            <w:tcW w:type="dxa" w:w="3838"/>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1,500 unique IDs</w:t>
            </w:r>
          </w:p>
        </w:tc>
      </w:tr>
      <w:tr>
        <w:trPr>
          <w:cantSplit/>
        </w:trPr>
        <w:tc>
          <w:tcPr>
            <w:tcW w:type="dxa" w:w="2500"/>
            <w:tcBorders>
              <w:top w:val="single" w:color="BFBFBF" w:sz="4"/>
              <w:left w:val="single" w:color="BFBFBF" w:sz="4"/>
              <w:bottom w:val="single" w:color="BFBFBF" w:sz="4"/>
              <w:right w:val="single" w:color="BFBFBF" w:sz="4"/>
            </w:tcBorders>
            <w:shd w:fill="F5F7FA" w:color="auto" w:val="clear"/>
            <w:tcMar>
              <w:top w:type="dxa" w:w="60"/>
              <w:left w:type="dxa" w:w="90"/>
              <w:bottom w:type="dxa" w:w="60"/>
              <w:right w:type="dxa" w:w="90"/>
            </w:tcMar>
          </w:tcPr>
          <w:p>
            <w:pPr>
              <w:jc w:val="left"/>
            </w:pPr>
            <w:r>
              <w:rPr>
                <w:rFonts w:ascii="Arial" w:cs="Arial" w:eastAsia="Arial" w:hAnsi="Arial"/>
                <w:b w:val="false"/>
                <w:bCs w:val="false"/>
                <w:sz w:val="17"/>
                <w:szCs w:val="17"/>
              </w:rPr>
              <w:t xml:space="preserve">Customer_Name</w:t>
            </w:r>
          </w:p>
        </w:tc>
        <w:tc>
          <w:tcPr>
            <w:tcW w:type="dxa" w:w="1200"/>
            <w:tcBorders>
              <w:top w:val="single" w:color="BFBFBF" w:sz="4"/>
              <w:left w:val="single" w:color="BFBFBF" w:sz="4"/>
              <w:bottom w:val="single" w:color="BFBFBF" w:sz="4"/>
              <w:right w:val="single" w:color="BFBFBF" w:sz="4"/>
            </w:tcBorders>
            <w:shd w:fill="F5F7FA" w:color="auto" w:val="clear"/>
            <w:tcMar>
              <w:top w:type="dxa" w:w="60"/>
              <w:left w:type="dxa" w:w="90"/>
              <w:bottom w:type="dxa" w:w="60"/>
              <w:right w:type="dxa" w:w="90"/>
            </w:tcMar>
          </w:tcPr>
          <w:p>
            <w:pPr>
              <w:jc w:val="left"/>
            </w:pPr>
            <w:r>
              <w:rPr>
                <w:rFonts w:ascii="Arial" w:cs="Arial" w:eastAsia="Arial" w:hAnsi="Arial"/>
                <w:b w:val="false"/>
                <w:bCs w:val="false"/>
                <w:sz w:val="17"/>
                <w:szCs w:val="17"/>
              </w:rPr>
              <w:t xml:space="preserve">Text</w:t>
            </w:r>
          </w:p>
        </w:tc>
        <w:tc>
          <w:tcPr>
            <w:tcW w:type="dxa" w:w="2100"/>
            <w:tcBorders>
              <w:top w:val="single" w:color="BFBFBF" w:sz="4"/>
              <w:left w:val="single" w:color="BFBFBF" w:sz="4"/>
              <w:bottom w:val="single" w:color="BFBFBF" w:sz="4"/>
              <w:right w:val="single" w:color="BFBFBF" w:sz="4"/>
            </w:tcBorders>
            <w:shd w:fill="F5F7FA" w:color="auto" w:val="clear"/>
            <w:tcMar>
              <w:top w:type="dxa" w:w="60"/>
              <w:left w:type="dxa" w:w="90"/>
              <w:bottom w:type="dxa" w:w="60"/>
              <w:right w:type="dxa" w:w="90"/>
            </w:tcMar>
          </w:tcPr>
          <w:p>
            <w:pPr>
              <w:jc w:val="left"/>
            </w:pPr>
            <w:r>
              <w:rPr>
                <w:rFonts w:ascii="Arial" w:cs="Arial" w:eastAsia="Arial" w:hAnsi="Arial"/>
                <w:b w:val="false"/>
                <w:bCs w:val="false"/>
                <w:sz w:val="17"/>
                <w:szCs w:val="17"/>
              </w:rPr>
              <w:t xml:space="preserve">Identifier (personal data)</w:t>
            </w:r>
          </w:p>
        </w:tc>
        <w:tc>
          <w:tcPr>
            <w:tcW w:type="dxa" w:w="3838"/>
            <w:tcBorders>
              <w:top w:val="single" w:color="BFBFBF" w:sz="4"/>
              <w:left w:val="single" w:color="BFBFBF" w:sz="4"/>
              <w:bottom w:val="single" w:color="BFBFBF" w:sz="4"/>
              <w:right w:val="single" w:color="BFBFBF" w:sz="4"/>
            </w:tcBorders>
            <w:shd w:fill="F5F7FA" w:color="auto" w:val="clear"/>
            <w:tcMar>
              <w:top w:type="dxa" w:w="60"/>
              <w:left w:type="dxa" w:w="90"/>
              <w:bottom w:type="dxa" w:w="60"/>
              <w:right w:type="dxa" w:w="90"/>
            </w:tcMar>
          </w:tcPr>
          <w:p>
            <w:pPr>
              <w:jc w:val="left"/>
            </w:pPr>
            <w:r>
              <w:rPr>
                <w:rFonts w:ascii="Arial" w:cs="Arial" w:eastAsia="Arial" w:hAnsi="Arial"/>
                <w:b w:val="false"/>
                <w:bCs w:val="false"/>
                <w:sz w:val="17"/>
                <w:szCs w:val="17"/>
              </w:rPr>
              <w:t xml:space="preserve">Free text</w:t>
            </w:r>
          </w:p>
        </w:tc>
      </w:tr>
      <w:tr>
        <w:trPr>
          <w:cantSplit/>
        </w:trPr>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Age</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Integer</w:t>
            </w:r>
          </w:p>
        </w:tc>
        <w:tc>
          <w:tcPr>
            <w:tcW w:type="dxa" w:w="21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Numerical</w:t>
            </w:r>
          </w:p>
        </w:tc>
        <w:tc>
          <w:tcPr>
            <w:tcW w:type="dxa" w:w="3838"/>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18 to 65 (mean 41.6)</w:t>
            </w:r>
          </w:p>
        </w:tc>
      </w:tr>
      <w:tr>
        <w:trPr>
          <w:cantSplit/>
        </w:trPr>
        <w:tc>
          <w:tcPr>
            <w:tcW w:type="dxa" w:w="2500"/>
            <w:tcBorders>
              <w:top w:val="single" w:color="BFBFBF" w:sz="4"/>
              <w:left w:val="single" w:color="BFBFBF" w:sz="4"/>
              <w:bottom w:val="single" w:color="BFBFBF" w:sz="4"/>
              <w:right w:val="single" w:color="BFBFBF" w:sz="4"/>
            </w:tcBorders>
            <w:shd w:fill="F5F7FA" w:color="auto" w:val="clear"/>
            <w:tcMar>
              <w:top w:type="dxa" w:w="60"/>
              <w:left w:type="dxa" w:w="90"/>
              <w:bottom w:type="dxa" w:w="60"/>
              <w:right w:type="dxa" w:w="90"/>
            </w:tcMar>
          </w:tcPr>
          <w:p>
            <w:pPr>
              <w:jc w:val="left"/>
            </w:pPr>
            <w:r>
              <w:rPr>
                <w:rFonts w:ascii="Arial" w:cs="Arial" w:eastAsia="Arial" w:hAnsi="Arial"/>
                <w:b w:val="false"/>
                <w:bCs w:val="false"/>
                <w:sz w:val="17"/>
                <w:szCs w:val="17"/>
              </w:rPr>
              <w:t xml:space="preserve">Gender</w:t>
            </w:r>
          </w:p>
        </w:tc>
        <w:tc>
          <w:tcPr>
            <w:tcW w:type="dxa" w:w="1200"/>
            <w:tcBorders>
              <w:top w:val="single" w:color="BFBFBF" w:sz="4"/>
              <w:left w:val="single" w:color="BFBFBF" w:sz="4"/>
              <w:bottom w:val="single" w:color="BFBFBF" w:sz="4"/>
              <w:right w:val="single" w:color="BFBFBF" w:sz="4"/>
            </w:tcBorders>
            <w:shd w:fill="F5F7FA" w:color="auto" w:val="clear"/>
            <w:tcMar>
              <w:top w:type="dxa" w:w="60"/>
              <w:left w:type="dxa" w:w="90"/>
              <w:bottom w:type="dxa" w:w="60"/>
              <w:right w:type="dxa" w:w="90"/>
            </w:tcMar>
          </w:tcPr>
          <w:p>
            <w:pPr>
              <w:jc w:val="left"/>
            </w:pPr>
            <w:r>
              <w:rPr>
                <w:rFonts w:ascii="Arial" w:cs="Arial" w:eastAsia="Arial" w:hAnsi="Arial"/>
                <w:b w:val="false"/>
                <w:bCs w:val="false"/>
                <w:sz w:val="17"/>
                <w:szCs w:val="17"/>
              </w:rPr>
              <w:t xml:space="preserve">Text</w:t>
            </w:r>
          </w:p>
        </w:tc>
        <w:tc>
          <w:tcPr>
            <w:tcW w:type="dxa" w:w="2100"/>
            <w:tcBorders>
              <w:top w:val="single" w:color="BFBFBF" w:sz="4"/>
              <w:left w:val="single" w:color="BFBFBF" w:sz="4"/>
              <w:bottom w:val="single" w:color="BFBFBF" w:sz="4"/>
              <w:right w:val="single" w:color="BFBFBF" w:sz="4"/>
            </w:tcBorders>
            <w:shd w:fill="F5F7FA" w:color="auto" w:val="clear"/>
            <w:tcMar>
              <w:top w:type="dxa" w:w="60"/>
              <w:left w:type="dxa" w:w="90"/>
              <w:bottom w:type="dxa" w:w="60"/>
              <w:right w:type="dxa" w:w="90"/>
            </w:tcMar>
          </w:tcPr>
          <w:p>
            <w:pPr>
              <w:jc w:val="left"/>
            </w:pPr>
            <w:r>
              <w:rPr>
                <w:rFonts w:ascii="Arial" w:cs="Arial" w:eastAsia="Arial" w:hAnsi="Arial"/>
                <w:b w:val="false"/>
                <w:bCs w:val="false"/>
                <w:sz w:val="17"/>
                <w:szCs w:val="17"/>
              </w:rPr>
              <w:t xml:space="preserve">Categorical</w:t>
            </w:r>
          </w:p>
        </w:tc>
        <w:tc>
          <w:tcPr>
            <w:tcW w:type="dxa" w:w="3838"/>
            <w:tcBorders>
              <w:top w:val="single" w:color="BFBFBF" w:sz="4"/>
              <w:left w:val="single" w:color="BFBFBF" w:sz="4"/>
              <w:bottom w:val="single" w:color="BFBFBF" w:sz="4"/>
              <w:right w:val="single" w:color="BFBFBF" w:sz="4"/>
            </w:tcBorders>
            <w:shd w:fill="F5F7FA" w:color="auto" w:val="clear"/>
            <w:tcMar>
              <w:top w:type="dxa" w:w="60"/>
              <w:left w:type="dxa" w:w="90"/>
              <w:bottom w:type="dxa" w:w="60"/>
              <w:right w:type="dxa" w:w="90"/>
            </w:tcMar>
          </w:tcPr>
          <w:p>
            <w:pPr>
              <w:jc w:val="left"/>
            </w:pPr>
            <w:r>
              <w:rPr>
                <w:rFonts w:ascii="Arial" w:cs="Arial" w:eastAsia="Arial" w:hAnsi="Arial"/>
                <w:b w:val="false"/>
                <w:bCs w:val="false"/>
                <w:sz w:val="17"/>
                <w:szCs w:val="17"/>
              </w:rPr>
              <w:t xml:space="preserve">Male 727, Female 722, Prefer not to say 51</w:t>
            </w:r>
          </w:p>
        </w:tc>
      </w:tr>
      <w:tr>
        <w:trPr>
          <w:cantSplit/>
        </w:trPr>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City</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Text</w:t>
            </w:r>
          </w:p>
        </w:tc>
        <w:tc>
          <w:tcPr>
            <w:tcW w:type="dxa" w:w="21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Categorical</w:t>
            </w:r>
          </w:p>
        </w:tc>
        <w:tc>
          <w:tcPr>
            <w:tcW w:type="dxa" w:w="3838"/>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Lagos 488, Abuja 223, Port Harcourt 172, Kano 159, Ibadan 148, Enugu 108, Kaduna 103, Benin City 99</w:t>
            </w:r>
          </w:p>
        </w:tc>
      </w:tr>
      <w:tr>
        <w:trPr>
          <w:cantSplit/>
        </w:trPr>
        <w:tc>
          <w:tcPr>
            <w:tcW w:type="dxa" w:w="2500"/>
            <w:tcBorders>
              <w:top w:val="single" w:color="BFBFBF" w:sz="4"/>
              <w:left w:val="single" w:color="BFBFBF" w:sz="4"/>
              <w:bottom w:val="single" w:color="BFBFBF" w:sz="4"/>
              <w:right w:val="single" w:color="BFBFBF" w:sz="4"/>
            </w:tcBorders>
            <w:shd w:fill="F5F7FA" w:color="auto" w:val="clear"/>
            <w:tcMar>
              <w:top w:type="dxa" w:w="60"/>
              <w:left w:type="dxa" w:w="90"/>
              <w:bottom w:type="dxa" w:w="60"/>
              <w:right w:type="dxa" w:w="90"/>
            </w:tcMar>
          </w:tcPr>
          <w:p>
            <w:pPr>
              <w:jc w:val="left"/>
            </w:pPr>
            <w:r>
              <w:rPr>
                <w:rFonts w:ascii="Arial" w:cs="Arial" w:eastAsia="Arial" w:hAnsi="Arial"/>
                <w:b w:val="false"/>
                <w:bCs w:val="false"/>
                <w:sz w:val="17"/>
                <w:szCs w:val="17"/>
              </w:rPr>
              <w:t xml:space="preserve">Customer_Segment</w:t>
            </w:r>
          </w:p>
        </w:tc>
        <w:tc>
          <w:tcPr>
            <w:tcW w:type="dxa" w:w="1200"/>
            <w:tcBorders>
              <w:top w:val="single" w:color="BFBFBF" w:sz="4"/>
              <w:left w:val="single" w:color="BFBFBF" w:sz="4"/>
              <w:bottom w:val="single" w:color="BFBFBF" w:sz="4"/>
              <w:right w:val="single" w:color="BFBFBF" w:sz="4"/>
            </w:tcBorders>
            <w:shd w:fill="F5F7FA" w:color="auto" w:val="clear"/>
            <w:tcMar>
              <w:top w:type="dxa" w:w="60"/>
              <w:left w:type="dxa" w:w="90"/>
              <w:bottom w:type="dxa" w:w="60"/>
              <w:right w:type="dxa" w:w="90"/>
            </w:tcMar>
          </w:tcPr>
          <w:p>
            <w:pPr>
              <w:jc w:val="left"/>
            </w:pPr>
            <w:r>
              <w:rPr>
                <w:rFonts w:ascii="Arial" w:cs="Arial" w:eastAsia="Arial" w:hAnsi="Arial"/>
                <w:b w:val="false"/>
                <w:bCs w:val="false"/>
                <w:sz w:val="17"/>
                <w:szCs w:val="17"/>
              </w:rPr>
              <w:t xml:space="preserve">Text</w:t>
            </w:r>
          </w:p>
        </w:tc>
        <w:tc>
          <w:tcPr>
            <w:tcW w:type="dxa" w:w="2100"/>
            <w:tcBorders>
              <w:top w:val="single" w:color="BFBFBF" w:sz="4"/>
              <w:left w:val="single" w:color="BFBFBF" w:sz="4"/>
              <w:bottom w:val="single" w:color="BFBFBF" w:sz="4"/>
              <w:right w:val="single" w:color="BFBFBF" w:sz="4"/>
            </w:tcBorders>
            <w:shd w:fill="F5F7FA" w:color="auto" w:val="clear"/>
            <w:tcMar>
              <w:top w:type="dxa" w:w="60"/>
              <w:left w:type="dxa" w:w="90"/>
              <w:bottom w:type="dxa" w:w="60"/>
              <w:right w:type="dxa" w:w="90"/>
            </w:tcMar>
          </w:tcPr>
          <w:p>
            <w:pPr>
              <w:jc w:val="left"/>
            </w:pPr>
            <w:r>
              <w:rPr>
                <w:rFonts w:ascii="Arial" w:cs="Arial" w:eastAsia="Arial" w:hAnsi="Arial"/>
                <w:b w:val="false"/>
                <w:bCs w:val="false"/>
                <w:sz w:val="17"/>
                <w:szCs w:val="17"/>
              </w:rPr>
              <w:t xml:space="preserve">Categorical</w:t>
            </w:r>
          </w:p>
        </w:tc>
        <w:tc>
          <w:tcPr>
            <w:tcW w:type="dxa" w:w="3838"/>
            <w:tcBorders>
              <w:top w:val="single" w:color="BFBFBF" w:sz="4"/>
              <w:left w:val="single" w:color="BFBFBF" w:sz="4"/>
              <w:bottom w:val="single" w:color="BFBFBF" w:sz="4"/>
              <w:right w:val="single" w:color="BFBFBF" w:sz="4"/>
            </w:tcBorders>
            <w:shd w:fill="F5F7FA" w:color="auto" w:val="clear"/>
            <w:tcMar>
              <w:top w:type="dxa" w:w="60"/>
              <w:left w:type="dxa" w:w="90"/>
              <w:bottom w:type="dxa" w:w="60"/>
              <w:right w:type="dxa" w:w="90"/>
            </w:tcMar>
          </w:tcPr>
          <w:p>
            <w:pPr>
              <w:jc w:val="left"/>
            </w:pPr>
            <w:r>
              <w:rPr>
                <w:rFonts w:ascii="Arial" w:cs="Arial" w:eastAsia="Arial" w:hAnsi="Arial"/>
                <w:b w:val="false"/>
                <w:bCs w:val="false"/>
                <w:sz w:val="17"/>
                <w:szCs w:val="17"/>
              </w:rPr>
              <w:t xml:space="preserve">Everyday 711, Premium 295, Student 278, SME 216</w:t>
            </w:r>
          </w:p>
        </w:tc>
      </w:tr>
      <w:tr>
        <w:trPr>
          <w:cantSplit/>
        </w:trPr>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Account_Type</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Text</w:t>
            </w:r>
          </w:p>
        </w:tc>
        <w:tc>
          <w:tcPr>
            <w:tcW w:type="dxa" w:w="21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Categorical</w:t>
            </w:r>
          </w:p>
        </w:tc>
        <w:tc>
          <w:tcPr>
            <w:tcW w:type="dxa" w:w="3838"/>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Savings 893, Current 378, Premium 229</w:t>
            </w:r>
          </w:p>
        </w:tc>
      </w:tr>
      <w:tr>
        <w:trPr>
          <w:cantSplit/>
        </w:trPr>
        <w:tc>
          <w:tcPr>
            <w:tcW w:type="dxa" w:w="2500"/>
            <w:tcBorders>
              <w:top w:val="single" w:color="BFBFBF" w:sz="4"/>
              <w:left w:val="single" w:color="BFBFBF" w:sz="4"/>
              <w:bottom w:val="single" w:color="BFBFBF" w:sz="4"/>
              <w:right w:val="single" w:color="BFBFBF" w:sz="4"/>
            </w:tcBorders>
            <w:shd w:fill="F5F7FA" w:color="auto" w:val="clear"/>
            <w:tcMar>
              <w:top w:type="dxa" w:w="60"/>
              <w:left w:type="dxa" w:w="90"/>
              <w:bottom w:type="dxa" w:w="60"/>
              <w:right w:type="dxa" w:w="90"/>
            </w:tcMar>
          </w:tcPr>
          <w:p>
            <w:pPr>
              <w:jc w:val="left"/>
            </w:pPr>
            <w:r>
              <w:rPr>
                <w:rFonts w:ascii="Arial" w:cs="Arial" w:eastAsia="Arial" w:hAnsi="Arial"/>
                <w:b w:val="false"/>
                <w:bCs w:val="false"/>
                <w:sz w:val="17"/>
                <w:szCs w:val="17"/>
              </w:rPr>
              <w:t xml:space="preserve">Tenure_Months</w:t>
            </w:r>
          </w:p>
        </w:tc>
        <w:tc>
          <w:tcPr>
            <w:tcW w:type="dxa" w:w="1200"/>
            <w:tcBorders>
              <w:top w:val="single" w:color="BFBFBF" w:sz="4"/>
              <w:left w:val="single" w:color="BFBFBF" w:sz="4"/>
              <w:bottom w:val="single" w:color="BFBFBF" w:sz="4"/>
              <w:right w:val="single" w:color="BFBFBF" w:sz="4"/>
            </w:tcBorders>
            <w:shd w:fill="F5F7FA" w:color="auto" w:val="clear"/>
            <w:tcMar>
              <w:top w:type="dxa" w:w="60"/>
              <w:left w:type="dxa" w:w="90"/>
              <w:bottom w:type="dxa" w:w="60"/>
              <w:right w:type="dxa" w:w="90"/>
            </w:tcMar>
          </w:tcPr>
          <w:p>
            <w:pPr>
              <w:jc w:val="left"/>
            </w:pPr>
            <w:r>
              <w:rPr>
                <w:rFonts w:ascii="Arial" w:cs="Arial" w:eastAsia="Arial" w:hAnsi="Arial"/>
                <w:b w:val="false"/>
                <w:bCs w:val="false"/>
                <w:sz w:val="17"/>
                <w:szCs w:val="17"/>
              </w:rPr>
              <w:t xml:space="preserve">Integer</w:t>
            </w:r>
          </w:p>
        </w:tc>
        <w:tc>
          <w:tcPr>
            <w:tcW w:type="dxa" w:w="2100"/>
            <w:tcBorders>
              <w:top w:val="single" w:color="BFBFBF" w:sz="4"/>
              <w:left w:val="single" w:color="BFBFBF" w:sz="4"/>
              <w:bottom w:val="single" w:color="BFBFBF" w:sz="4"/>
              <w:right w:val="single" w:color="BFBFBF" w:sz="4"/>
            </w:tcBorders>
            <w:shd w:fill="F5F7FA" w:color="auto" w:val="clear"/>
            <w:tcMar>
              <w:top w:type="dxa" w:w="60"/>
              <w:left w:type="dxa" w:w="90"/>
              <w:bottom w:type="dxa" w:w="60"/>
              <w:right w:type="dxa" w:w="90"/>
            </w:tcMar>
          </w:tcPr>
          <w:p>
            <w:pPr>
              <w:jc w:val="left"/>
            </w:pPr>
            <w:r>
              <w:rPr>
                <w:rFonts w:ascii="Arial" w:cs="Arial" w:eastAsia="Arial" w:hAnsi="Arial"/>
                <w:b w:val="false"/>
                <w:bCs w:val="false"/>
                <w:sz w:val="17"/>
                <w:szCs w:val="17"/>
              </w:rPr>
              <w:t xml:space="preserve">Numerical</w:t>
            </w:r>
          </w:p>
        </w:tc>
        <w:tc>
          <w:tcPr>
            <w:tcW w:type="dxa" w:w="3838"/>
            <w:tcBorders>
              <w:top w:val="single" w:color="BFBFBF" w:sz="4"/>
              <w:left w:val="single" w:color="BFBFBF" w:sz="4"/>
              <w:bottom w:val="single" w:color="BFBFBF" w:sz="4"/>
              <w:right w:val="single" w:color="BFBFBF" w:sz="4"/>
            </w:tcBorders>
            <w:shd w:fill="F5F7FA" w:color="auto" w:val="clear"/>
            <w:tcMar>
              <w:top w:type="dxa" w:w="60"/>
              <w:left w:type="dxa" w:w="90"/>
              <w:bottom w:type="dxa" w:w="60"/>
              <w:right w:type="dxa" w:w="90"/>
            </w:tcMar>
          </w:tcPr>
          <w:p>
            <w:pPr>
              <w:jc w:val="left"/>
            </w:pPr>
            <w:r>
              <w:rPr>
                <w:rFonts w:ascii="Arial" w:cs="Arial" w:eastAsia="Arial" w:hAnsi="Arial"/>
                <w:b w:val="false"/>
                <w:bCs w:val="false"/>
                <w:sz w:val="17"/>
                <w:szCs w:val="17"/>
              </w:rPr>
              <w:t xml:space="preserve">1 to 96 (mean 49.9)</w:t>
            </w:r>
          </w:p>
        </w:tc>
      </w:tr>
      <w:tr>
        <w:trPr>
          <w:cantSplit/>
        </w:trPr>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Digital_Engagement_Score</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Decimal</w:t>
            </w:r>
          </w:p>
        </w:tc>
        <w:tc>
          <w:tcPr>
            <w:tcW w:type="dxa" w:w="21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Numerical</w:t>
            </w:r>
          </w:p>
        </w:tc>
        <w:tc>
          <w:tcPr>
            <w:tcW w:type="dxa" w:w="3838"/>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16.7 to 100 (mean 68.0)</w:t>
            </w:r>
          </w:p>
        </w:tc>
      </w:tr>
      <w:tr>
        <w:trPr>
          <w:cantSplit/>
        </w:trPr>
        <w:tc>
          <w:tcPr>
            <w:tcW w:type="dxa" w:w="2500"/>
            <w:tcBorders>
              <w:top w:val="single" w:color="BFBFBF" w:sz="4"/>
              <w:left w:val="single" w:color="BFBFBF" w:sz="4"/>
              <w:bottom w:val="single" w:color="BFBFBF" w:sz="4"/>
              <w:right w:val="single" w:color="BFBFBF" w:sz="4"/>
            </w:tcBorders>
            <w:shd w:fill="F5F7FA" w:color="auto" w:val="clear"/>
            <w:tcMar>
              <w:top w:type="dxa" w:w="60"/>
              <w:left w:type="dxa" w:w="90"/>
              <w:bottom w:type="dxa" w:w="60"/>
              <w:right w:type="dxa" w:w="90"/>
            </w:tcMar>
          </w:tcPr>
          <w:p>
            <w:pPr>
              <w:jc w:val="left"/>
            </w:pPr>
            <w:r>
              <w:rPr>
                <w:rFonts w:ascii="Arial" w:cs="Arial" w:eastAsia="Arial" w:hAnsi="Arial"/>
                <w:b w:val="false"/>
                <w:bCs w:val="false"/>
                <w:sz w:val="17"/>
                <w:szCs w:val="17"/>
              </w:rPr>
              <w:t xml:space="preserve">Monthly_Income_Band</w:t>
            </w:r>
          </w:p>
        </w:tc>
        <w:tc>
          <w:tcPr>
            <w:tcW w:type="dxa" w:w="1200"/>
            <w:tcBorders>
              <w:top w:val="single" w:color="BFBFBF" w:sz="4"/>
              <w:left w:val="single" w:color="BFBFBF" w:sz="4"/>
              <w:bottom w:val="single" w:color="BFBFBF" w:sz="4"/>
              <w:right w:val="single" w:color="BFBFBF" w:sz="4"/>
            </w:tcBorders>
            <w:shd w:fill="F5F7FA" w:color="auto" w:val="clear"/>
            <w:tcMar>
              <w:top w:type="dxa" w:w="60"/>
              <w:left w:type="dxa" w:w="90"/>
              <w:bottom w:type="dxa" w:w="60"/>
              <w:right w:type="dxa" w:w="90"/>
            </w:tcMar>
          </w:tcPr>
          <w:p>
            <w:pPr>
              <w:jc w:val="left"/>
            </w:pPr>
            <w:r>
              <w:rPr>
                <w:rFonts w:ascii="Arial" w:cs="Arial" w:eastAsia="Arial" w:hAnsi="Arial"/>
                <w:b w:val="false"/>
                <w:bCs w:val="false"/>
                <w:sz w:val="17"/>
                <w:szCs w:val="17"/>
              </w:rPr>
              <w:t xml:space="preserve">Text</w:t>
            </w:r>
          </w:p>
        </w:tc>
        <w:tc>
          <w:tcPr>
            <w:tcW w:type="dxa" w:w="2100"/>
            <w:tcBorders>
              <w:top w:val="single" w:color="BFBFBF" w:sz="4"/>
              <w:left w:val="single" w:color="BFBFBF" w:sz="4"/>
              <w:bottom w:val="single" w:color="BFBFBF" w:sz="4"/>
              <w:right w:val="single" w:color="BFBFBF" w:sz="4"/>
            </w:tcBorders>
            <w:shd w:fill="F5F7FA" w:color="auto" w:val="clear"/>
            <w:tcMar>
              <w:top w:type="dxa" w:w="60"/>
              <w:left w:type="dxa" w:w="90"/>
              <w:bottom w:type="dxa" w:w="60"/>
              <w:right w:type="dxa" w:w="90"/>
            </w:tcMar>
          </w:tcPr>
          <w:p>
            <w:pPr>
              <w:jc w:val="left"/>
            </w:pPr>
            <w:r>
              <w:rPr>
                <w:rFonts w:ascii="Arial" w:cs="Arial" w:eastAsia="Arial" w:hAnsi="Arial"/>
                <w:b w:val="false"/>
                <w:bCs w:val="false"/>
                <w:sz w:val="17"/>
                <w:szCs w:val="17"/>
              </w:rPr>
              <w:t xml:space="preserve">Categorical (ordered)</w:t>
            </w:r>
          </w:p>
        </w:tc>
        <w:tc>
          <w:tcPr>
            <w:tcW w:type="dxa" w:w="3838"/>
            <w:tcBorders>
              <w:top w:val="single" w:color="BFBFBF" w:sz="4"/>
              <w:left w:val="single" w:color="BFBFBF" w:sz="4"/>
              <w:bottom w:val="single" w:color="BFBFBF" w:sz="4"/>
              <w:right w:val="single" w:color="BFBFBF" w:sz="4"/>
            </w:tcBorders>
            <w:shd w:fill="F5F7FA" w:color="auto" w:val="clear"/>
            <w:tcMar>
              <w:top w:type="dxa" w:w="60"/>
              <w:left w:type="dxa" w:w="90"/>
              <w:bottom w:type="dxa" w:w="60"/>
              <w:right w:type="dxa" w:w="90"/>
            </w:tcMar>
          </w:tcPr>
          <w:p>
            <w:pPr>
              <w:jc w:val="left"/>
            </w:pPr>
            <w:r>
              <w:rPr>
                <w:rFonts w:ascii="Arial" w:cs="Arial" w:eastAsia="Arial" w:hAnsi="Arial"/>
                <w:b w:val="false"/>
                <w:bCs w:val="false"/>
                <w:sz w:val="17"/>
                <w:szCs w:val="17"/>
              </w:rPr>
              <w:t xml:space="preserve">Below 100k 265, 100k-249k 430, 250k-499k 416, 500k-999k 255, 1m+ 134</w:t>
            </w:r>
          </w:p>
        </w:tc>
      </w:tr>
      <w:tr>
        <w:trPr>
          <w:cantSplit/>
        </w:trPr>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Preferred_Channel</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Text</w:t>
            </w:r>
          </w:p>
        </w:tc>
        <w:tc>
          <w:tcPr>
            <w:tcW w:type="dxa" w:w="21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Categorical</w:t>
            </w:r>
          </w:p>
        </w:tc>
        <w:tc>
          <w:tcPr>
            <w:tcW w:type="dxa" w:w="3838"/>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Mobile App 924, Web 357, USSD 219</w:t>
            </w:r>
          </w:p>
        </w:tc>
      </w:tr>
      <w:tr>
        <w:trPr>
          <w:cantSplit/>
        </w:trPr>
        <w:tc>
          <w:tcPr>
            <w:tcW w:type="dxa" w:w="2500"/>
            <w:tcBorders>
              <w:top w:val="single" w:color="BFBFBF" w:sz="4"/>
              <w:left w:val="single" w:color="BFBFBF" w:sz="4"/>
              <w:bottom w:val="single" w:color="BFBFBF" w:sz="4"/>
              <w:right w:val="single" w:color="BFBFBF" w:sz="4"/>
            </w:tcBorders>
            <w:shd w:fill="F5F7FA" w:color="auto" w:val="clear"/>
            <w:tcMar>
              <w:top w:type="dxa" w:w="60"/>
              <w:left w:type="dxa" w:w="90"/>
              <w:bottom w:type="dxa" w:w="60"/>
              <w:right w:type="dxa" w:w="90"/>
            </w:tcMar>
          </w:tcPr>
          <w:p>
            <w:pPr>
              <w:jc w:val="left"/>
            </w:pPr>
            <w:r>
              <w:rPr>
                <w:rFonts w:ascii="Arial" w:cs="Arial" w:eastAsia="Arial" w:hAnsi="Arial"/>
                <w:b w:val="false"/>
                <w:bCs w:val="false"/>
                <w:sz w:val="17"/>
                <w:szCs w:val="17"/>
              </w:rPr>
              <w:t xml:space="preserve">Account_Status</w:t>
            </w:r>
          </w:p>
        </w:tc>
        <w:tc>
          <w:tcPr>
            <w:tcW w:type="dxa" w:w="1200"/>
            <w:tcBorders>
              <w:top w:val="single" w:color="BFBFBF" w:sz="4"/>
              <w:left w:val="single" w:color="BFBFBF" w:sz="4"/>
              <w:bottom w:val="single" w:color="BFBFBF" w:sz="4"/>
              <w:right w:val="single" w:color="BFBFBF" w:sz="4"/>
            </w:tcBorders>
            <w:shd w:fill="F5F7FA" w:color="auto" w:val="clear"/>
            <w:tcMar>
              <w:top w:type="dxa" w:w="60"/>
              <w:left w:type="dxa" w:w="90"/>
              <w:bottom w:type="dxa" w:w="60"/>
              <w:right w:type="dxa" w:w="90"/>
            </w:tcMar>
          </w:tcPr>
          <w:p>
            <w:pPr>
              <w:jc w:val="left"/>
            </w:pPr>
            <w:r>
              <w:rPr>
                <w:rFonts w:ascii="Arial" w:cs="Arial" w:eastAsia="Arial" w:hAnsi="Arial"/>
                <w:b w:val="false"/>
                <w:bCs w:val="false"/>
                <w:sz w:val="17"/>
                <w:szCs w:val="17"/>
              </w:rPr>
              <w:t xml:space="preserve">Text</w:t>
            </w:r>
          </w:p>
        </w:tc>
        <w:tc>
          <w:tcPr>
            <w:tcW w:type="dxa" w:w="2100"/>
            <w:tcBorders>
              <w:top w:val="single" w:color="BFBFBF" w:sz="4"/>
              <w:left w:val="single" w:color="BFBFBF" w:sz="4"/>
              <w:bottom w:val="single" w:color="BFBFBF" w:sz="4"/>
              <w:right w:val="single" w:color="BFBFBF" w:sz="4"/>
            </w:tcBorders>
            <w:shd w:fill="F5F7FA" w:color="auto" w:val="clear"/>
            <w:tcMar>
              <w:top w:type="dxa" w:w="60"/>
              <w:left w:type="dxa" w:w="90"/>
              <w:bottom w:type="dxa" w:w="60"/>
              <w:right w:type="dxa" w:w="90"/>
            </w:tcMar>
          </w:tcPr>
          <w:p>
            <w:pPr>
              <w:jc w:val="left"/>
            </w:pPr>
            <w:r>
              <w:rPr>
                <w:rFonts w:ascii="Arial" w:cs="Arial" w:eastAsia="Arial" w:hAnsi="Arial"/>
                <w:b w:val="false"/>
                <w:bCs w:val="false"/>
                <w:sz w:val="17"/>
                <w:szCs w:val="17"/>
              </w:rPr>
              <w:t xml:space="preserve">Categorical</w:t>
            </w:r>
          </w:p>
        </w:tc>
        <w:tc>
          <w:tcPr>
            <w:tcW w:type="dxa" w:w="3838"/>
            <w:tcBorders>
              <w:top w:val="single" w:color="BFBFBF" w:sz="4"/>
              <w:left w:val="single" w:color="BFBFBF" w:sz="4"/>
              <w:bottom w:val="single" w:color="BFBFBF" w:sz="4"/>
              <w:right w:val="single" w:color="BFBFBF" w:sz="4"/>
            </w:tcBorders>
            <w:shd w:fill="F5F7FA" w:color="auto" w:val="clear"/>
            <w:tcMar>
              <w:top w:type="dxa" w:w="60"/>
              <w:left w:type="dxa" w:w="90"/>
              <w:bottom w:type="dxa" w:w="60"/>
              <w:right w:type="dxa" w:w="90"/>
            </w:tcMar>
          </w:tcPr>
          <w:p>
            <w:pPr>
              <w:jc w:val="left"/>
            </w:pPr>
            <w:r>
              <w:rPr>
                <w:rFonts w:ascii="Arial" w:cs="Arial" w:eastAsia="Arial" w:hAnsi="Arial"/>
                <w:b w:val="false"/>
                <w:bCs w:val="false"/>
                <w:sz w:val="17"/>
                <w:szCs w:val="17"/>
              </w:rPr>
              <w:t xml:space="preserve">Active 1,367, Dormant 107, Restricted 26</w:t>
            </w:r>
          </w:p>
        </w:tc>
      </w:tr>
    </w:tbl>
    <w:p>
      <w:pPr>
        <w:spacing w:after="120"/>
      </w:pPr>
    </w:p>
    <w:p>
      <w:pPr>
        <w:pStyle w:val="Heading2"/>
      </w:pPr>
      <w:r>
        <w:rPr>
          <w:rFonts w:ascii="Arial" w:cs="Arial" w:eastAsia="Arial" w:hAnsi="Arial"/>
        </w:rPr>
        <w:t xml:space="preserve">3.3 Transaction data: field dictionary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1900"/>
        <w:gridCol w:w="3738"/>
      </w:tblGrid>
      <w:tr>
        <w:trPr>
          <w:tblHeader/>
        </w:trPr>
        <w:tc>
          <w:tcPr>
            <w:tcW w:type="dxa" w:w="25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jc w:val="left"/>
            </w:pPr>
            <w:r>
              <w:rPr>
                <w:rFonts w:ascii="Arial" w:cs="Arial" w:eastAsia="Arial" w:hAnsi="Arial"/>
                <w:b/>
                <w:bCs/>
                <w:color w:val="FFFFFF"/>
                <w:sz w:val="17"/>
                <w:szCs w:val="17"/>
              </w:rPr>
              <w:t xml:space="preserve">Field</w:t>
            </w:r>
          </w:p>
        </w:tc>
        <w:tc>
          <w:tcPr>
            <w:tcW w:type="dxa" w:w="15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jc w:val="left"/>
            </w:pPr>
            <w:r>
              <w:rPr>
                <w:rFonts w:ascii="Arial" w:cs="Arial" w:eastAsia="Arial" w:hAnsi="Arial"/>
                <w:b/>
                <w:bCs/>
                <w:color w:val="FFFFFF"/>
                <w:sz w:val="17"/>
                <w:szCs w:val="17"/>
              </w:rPr>
              <w:t xml:space="preserve">Data type</w:t>
            </w:r>
          </w:p>
        </w:tc>
        <w:tc>
          <w:tcPr>
            <w:tcW w:type="dxa" w:w="19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jc w:val="left"/>
            </w:pPr>
            <w:r>
              <w:rPr>
                <w:rFonts w:ascii="Arial" w:cs="Arial" w:eastAsia="Arial" w:hAnsi="Arial"/>
                <w:b/>
                <w:bCs/>
                <w:color w:val="FFFFFF"/>
                <w:sz w:val="17"/>
                <w:szCs w:val="17"/>
              </w:rPr>
              <w:t xml:space="preserve">Category</w:t>
            </w:r>
          </w:p>
        </w:tc>
        <w:tc>
          <w:tcPr>
            <w:tcW w:type="dxa" w:w="3738"/>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jc w:val="left"/>
            </w:pPr>
            <w:r>
              <w:rPr>
                <w:rFonts w:ascii="Arial" w:cs="Arial" w:eastAsia="Arial" w:hAnsi="Arial"/>
                <w:b/>
                <w:bCs/>
                <w:color w:val="FFFFFF"/>
                <w:sz w:val="17"/>
                <w:szCs w:val="17"/>
              </w:rPr>
              <w:t xml:space="preserve">Values / range</w:t>
            </w:r>
          </w:p>
        </w:tc>
      </w:tr>
      <w:tr>
        <w:trPr>
          <w:cantSplit/>
        </w:trPr>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Transaction_ID</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Text</w:t>
            </w:r>
          </w:p>
        </w:tc>
        <w:tc>
          <w:tcPr>
            <w:tcW w:type="dxa" w:w="19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Identifier (key)</w:t>
            </w:r>
          </w:p>
        </w:tc>
        <w:tc>
          <w:tcPr>
            <w:tcW w:type="dxa" w:w="3738"/>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12,000 unique IDs</w:t>
            </w:r>
          </w:p>
        </w:tc>
      </w:tr>
      <w:tr>
        <w:trPr>
          <w:cantSplit/>
        </w:trPr>
        <w:tc>
          <w:tcPr>
            <w:tcW w:type="dxa" w:w="2500"/>
            <w:tcBorders>
              <w:top w:val="single" w:color="BFBFBF" w:sz="4"/>
              <w:left w:val="single" w:color="BFBFBF" w:sz="4"/>
              <w:bottom w:val="single" w:color="BFBFBF" w:sz="4"/>
              <w:right w:val="single" w:color="BFBFBF" w:sz="4"/>
            </w:tcBorders>
            <w:shd w:fill="F5F7FA" w:color="auto" w:val="clear"/>
            <w:tcMar>
              <w:top w:type="dxa" w:w="60"/>
              <w:left w:type="dxa" w:w="90"/>
              <w:bottom w:type="dxa" w:w="60"/>
              <w:right w:type="dxa" w:w="90"/>
            </w:tcMar>
          </w:tcPr>
          <w:p>
            <w:pPr>
              <w:jc w:val="left"/>
            </w:pPr>
            <w:r>
              <w:rPr>
                <w:rFonts w:ascii="Arial" w:cs="Arial" w:eastAsia="Arial" w:hAnsi="Arial"/>
                <w:b w:val="false"/>
                <w:bCs w:val="false"/>
                <w:sz w:val="17"/>
                <w:szCs w:val="17"/>
              </w:rPr>
              <w:t xml:space="preserve">Customer_ID</w:t>
            </w:r>
          </w:p>
        </w:tc>
        <w:tc>
          <w:tcPr>
            <w:tcW w:type="dxa" w:w="1500"/>
            <w:tcBorders>
              <w:top w:val="single" w:color="BFBFBF" w:sz="4"/>
              <w:left w:val="single" w:color="BFBFBF" w:sz="4"/>
              <w:bottom w:val="single" w:color="BFBFBF" w:sz="4"/>
              <w:right w:val="single" w:color="BFBFBF" w:sz="4"/>
            </w:tcBorders>
            <w:shd w:fill="F5F7FA" w:color="auto" w:val="clear"/>
            <w:tcMar>
              <w:top w:type="dxa" w:w="60"/>
              <w:left w:type="dxa" w:w="90"/>
              <w:bottom w:type="dxa" w:w="60"/>
              <w:right w:type="dxa" w:w="90"/>
            </w:tcMar>
          </w:tcPr>
          <w:p>
            <w:pPr>
              <w:jc w:val="left"/>
            </w:pPr>
            <w:r>
              <w:rPr>
                <w:rFonts w:ascii="Arial" w:cs="Arial" w:eastAsia="Arial" w:hAnsi="Arial"/>
                <w:b w:val="false"/>
                <w:bCs w:val="false"/>
                <w:sz w:val="17"/>
                <w:szCs w:val="17"/>
              </w:rPr>
              <w:t xml:space="preserve">Text</w:t>
            </w:r>
          </w:p>
        </w:tc>
        <w:tc>
          <w:tcPr>
            <w:tcW w:type="dxa" w:w="1900"/>
            <w:tcBorders>
              <w:top w:val="single" w:color="BFBFBF" w:sz="4"/>
              <w:left w:val="single" w:color="BFBFBF" w:sz="4"/>
              <w:bottom w:val="single" w:color="BFBFBF" w:sz="4"/>
              <w:right w:val="single" w:color="BFBFBF" w:sz="4"/>
            </w:tcBorders>
            <w:shd w:fill="F5F7FA" w:color="auto" w:val="clear"/>
            <w:tcMar>
              <w:top w:type="dxa" w:w="60"/>
              <w:left w:type="dxa" w:w="90"/>
              <w:bottom w:type="dxa" w:w="60"/>
              <w:right w:type="dxa" w:w="90"/>
            </w:tcMar>
          </w:tcPr>
          <w:p>
            <w:pPr>
              <w:jc w:val="left"/>
            </w:pPr>
            <w:r>
              <w:rPr>
                <w:rFonts w:ascii="Arial" w:cs="Arial" w:eastAsia="Arial" w:hAnsi="Arial"/>
                <w:b w:val="false"/>
                <w:bCs w:val="false"/>
                <w:sz w:val="17"/>
                <w:szCs w:val="17"/>
              </w:rPr>
              <w:t xml:space="preserve">Identifier (foreign key)</w:t>
            </w:r>
          </w:p>
        </w:tc>
        <w:tc>
          <w:tcPr>
            <w:tcW w:type="dxa" w:w="3738"/>
            <w:tcBorders>
              <w:top w:val="single" w:color="BFBFBF" w:sz="4"/>
              <w:left w:val="single" w:color="BFBFBF" w:sz="4"/>
              <w:bottom w:val="single" w:color="BFBFBF" w:sz="4"/>
              <w:right w:val="single" w:color="BFBFBF" w:sz="4"/>
            </w:tcBorders>
            <w:shd w:fill="F5F7FA" w:color="auto" w:val="clear"/>
            <w:tcMar>
              <w:top w:type="dxa" w:w="60"/>
              <w:left w:type="dxa" w:w="90"/>
              <w:bottom w:type="dxa" w:w="60"/>
              <w:right w:type="dxa" w:w="90"/>
            </w:tcMar>
          </w:tcPr>
          <w:p>
            <w:pPr>
              <w:jc w:val="left"/>
            </w:pPr>
            <w:r>
              <w:rPr>
                <w:rFonts w:ascii="Arial" w:cs="Arial" w:eastAsia="Arial" w:hAnsi="Arial"/>
                <w:b w:val="false"/>
                <w:bCs w:val="false"/>
                <w:sz w:val="17"/>
                <w:szCs w:val="17"/>
              </w:rPr>
              <w:t xml:space="preserve">Links to customer data</w:t>
            </w:r>
          </w:p>
        </w:tc>
      </w:tr>
      <w:tr>
        <w:trPr>
          <w:cantSplit/>
        </w:trPr>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Transaction_DateTime</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Text (M/D/YYYY H:mm)</w:t>
            </w:r>
          </w:p>
        </w:tc>
        <w:tc>
          <w:tcPr>
            <w:tcW w:type="dxa" w:w="19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Date/time</w:t>
            </w:r>
          </w:p>
        </w:tc>
        <w:tc>
          <w:tcPr>
            <w:tcW w:type="dxa" w:w="3738"/>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1 Jan 2026 00:00 to 31 Mar 2026 23:59</w:t>
            </w:r>
          </w:p>
        </w:tc>
      </w:tr>
      <w:tr>
        <w:trPr>
          <w:cantSplit/>
        </w:trPr>
        <w:tc>
          <w:tcPr>
            <w:tcW w:type="dxa" w:w="2500"/>
            <w:tcBorders>
              <w:top w:val="single" w:color="BFBFBF" w:sz="4"/>
              <w:left w:val="single" w:color="BFBFBF" w:sz="4"/>
              <w:bottom w:val="single" w:color="BFBFBF" w:sz="4"/>
              <w:right w:val="single" w:color="BFBFBF" w:sz="4"/>
            </w:tcBorders>
            <w:shd w:fill="F5F7FA" w:color="auto" w:val="clear"/>
            <w:tcMar>
              <w:top w:type="dxa" w:w="60"/>
              <w:left w:type="dxa" w:w="90"/>
              <w:bottom w:type="dxa" w:w="60"/>
              <w:right w:type="dxa" w:w="90"/>
            </w:tcMar>
          </w:tcPr>
          <w:p>
            <w:pPr>
              <w:jc w:val="left"/>
            </w:pPr>
            <w:r>
              <w:rPr>
                <w:rFonts w:ascii="Arial" w:cs="Arial" w:eastAsia="Arial" w:hAnsi="Arial"/>
                <w:b w:val="false"/>
                <w:bCs w:val="false"/>
                <w:sz w:val="17"/>
                <w:szCs w:val="17"/>
              </w:rPr>
              <w:t xml:space="preserve">Transaction_Type</w:t>
            </w:r>
          </w:p>
        </w:tc>
        <w:tc>
          <w:tcPr>
            <w:tcW w:type="dxa" w:w="1500"/>
            <w:tcBorders>
              <w:top w:val="single" w:color="BFBFBF" w:sz="4"/>
              <w:left w:val="single" w:color="BFBFBF" w:sz="4"/>
              <w:bottom w:val="single" w:color="BFBFBF" w:sz="4"/>
              <w:right w:val="single" w:color="BFBFBF" w:sz="4"/>
            </w:tcBorders>
            <w:shd w:fill="F5F7FA" w:color="auto" w:val="clear"/>
            <w:tcMar>
              <w:top w:type="dxa" w:w="60"/>
              <w:left w:type="dxa" w:w="90"/>
              <w:bottom w:type="dxa" w:w="60"/>
              <w:right w:type="dxa" w:w="90"/>
            </w:tcMar>
          </w:tcPr>
          <w:p>
            <w:pPr>
              <w:jc w:val="left"/>
            </w:pPr>
            <w:r>
              <w:rPr>
                <w:rFonts w:ascii="Arial" w:cs="Arial" w:eastAsia="Arial" w:hAnsi="Arial"/>
                <w:b w:val="false"/>
                <w:bCs w:val="false"/>
                <w:sz w:val="17"/>
                <w:szCs w:val="17"/>
              </w:rPr>
              <w:t xml:space="preserve">Text</w:t>
            </w:r>
          </w:p>
        </w:tc>
        <w:tc>
          <w:tcPr>
            <w:tcW w:type="dxa" w:w="1900"/>
            <w:tcBorders>
              <w:top w:val="single" w:color="BFBFBF" w:sz="4"/>
              <w:left w:val="single" w:color="BFBFBF" w:sz="4"/>
              <w:bottom w:val="single" w:color="BFBFBF" w:sz="4"/>
              <w:right w:val="single" w:color="BFBFBF" w:sz="4"/>
            </w:tcBorders>
            <w:shd w:fill="F5F7FA" w:color="auto" w:val="clear"/>
            <w:tcMar>
              <w:top w:type="dxa" w:w="60"/>
              <w:left w:type="dxa" w:w="90"/>
              <w:bottom w:type="dxa" w:w="60"/>
              <w:right w:type="dxa" w:w="90"/>
            </w:tcMar>
          </w:tcPr>
          <w:p>
            <w:pPr>
              <w:jc w:val="left"/>
            </w:pPr>
            <w:r>
              <w:rPr>
                <w:rFonts w:ascii="Arial" w:cs="Arial" w:eastAsia="Arial" w:hAnsi="Arial"/>
                <w:b w:val="false"/>
                <w:bCs w:val="false"/>
                <w:sz w:val="17"/>
                <w:szCs w:val="17"/>
              </w:rPr>
              <w:t xml:space="preserve">Categorical</w:t>
            </w:r>
          </w:p>
        </w:tc>
        <w:tc>
          <w:tcPr>
            <w:tcW w:type="dxa" w:w="3738"/>
            <w:tcBorders>
              <w:top w:val="single" w:color="BFBFBF" w:sz="4"/>
              <w:left w:val="single" w:color="BFBFBF" w:sz="4"/>
              <w:bottom w:val="single" w:color="BFBFBF" w:sz="4"/>
              <w:right w:val="single" w:color="BFBFBF" w:sz="4"/>
            </w:tcBorders>
            <w:shd w:fill="F5F7FA" w:color="auto" w:val="clear"/>
            <w:tcMar>
              <w:top w:type="dxa" w:w="60"/>
              <w:left w:type="dxa" w:w="90"/>
              <w:bottom w:type="dxa" w:w="60"/>
              <w:right w:type="dxa" w:w="90"/>
            </w:tcMar>
          </w:tcPr>
          <w:p>
            <w:pPr>
              <w:jc w:val="left"/>
            </w:pPr>
            <w:r>
              <w:rPr>
                <w:rFonts w:ascii="Arial" w:cs="Arial" w:eastAsia="Arial" w:hAnsi="Arial"/>
                <w:b w:val="false"/>
                <w:bCs w:val="false"/>
                <w:sz w:val="17"/>
                <w:szCs w:val="17"/>
              </w:rPr>
              <w:t xml:space="preserve">Transfer 3,549, Card Purchase 3,033, Bill Payment 1,475, Cash Withdrawal 1,430, Deposit 1,328, Airtime/Data 1,185</w:t>
            </w:r>
          </w:p>
        </w:tc>
      </w:tr>
      <w:tr>
        <w:trPr>
          <w:cantSplit/>
        </w:trPr>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Amount_NGN</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Decimal</w:t>
            </w:r>
          </w:p>
        </w:tc>
        <w:tc>
          <w:tcPr>
            <w:tcW w:type="dxa" w:w="19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Numerical</w:t>
            </w:r>
          </w:p>
        </w:tc>
        <w:tc>
          <w:tcPr>
            <w:tcW w:type="dxa" w:w="3738"/>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₦100.17 to ₦693,454.45 (median ₦10,306; mean ₦46,706)</w:t>
            </w:r>
          </w:p>
        </w:tc>
      </w:tr>
      <w:tr>
        <w:trPr>
          <w:cantSplit/>
        </w:trPr>
        <w:tc>
          <w:tcPr>
            <w:tcW w:type="dxa" w:w="2500"/>
            <w:tcBorders>
              <w:top w:val="single" w:color="BFBFBF" w:sz="4"/>
              <w:left w:val="single" w:color="BFBFBF" w:sz="4"/>
              <w:bottom w:val="single" w:color="BFBFBF" w:sz="4"/>
              <w:right w:val="single" w:color="BFBFBF" w:sz="4"/>
            </w:tcBorders>
            <w:shd w:fill="F5F7FA" w:color="auto" w:val="clear"/>
            <w:tcMar>
              <w:top w:type="dxa" w:w="60"/>
              <w:left w:type="dxa" w:w="90"/>
              <w:bottom w:type="dxa" w:w="60"/>
              <w:right w:type="dxa" w:w="90"/>
            </w:tcMar>
          </w:tcPr>
          <w:p>
            <w:pPr>
              <w:jc w:val="left"/>
            </w:pPr>
            <w:r>
              <w:rPr>
                <w:rFonts w:ascii="Arial" w:cs="Arial" w:eastAsia="Arial" w:hAnsi="Arial"/>
                <w:b w:val="false"/>
                <w:bCs w:val="false"/>
                <w:sz w:val="17"/>
                <w:szCs w:val="17"/>
              </w:rPr>
              <w:t xml:space="preserve">Channel</w:t>
            </w:r>
          </w:p>
        </w:tc>
        <w:tc>
          <w:tcPr>
            <w:tcW w:type="dxa" w:w="1500"/>
            <w:tcBorders>
              <w:top w:val="single" w:color="BFBFBF" w:sz="4"/>
              <w:left w:val="single" w:color="BFBFBF" w:sz="4"/>
              <w:bottom w:val="single" w:color="BFBFBF" w:sz="4"/>
              <w:right w:val="single" w:color="BFBFBF" w:sz="4"/>
            </w:tcBorders>
            <w:shd w:fill="F5F7FA" w:color="auto" w:val="clear"/>
            <w:tcMar>
              <w:top w:type="dxa" w:w="60"/>
              <w:left w:type="dxa" w:w="90"/>
              <w:bottom w:type="dxa" w:w="60"/>
              <w:right w:type="dxa" w:w="90"/>
            </w:tcMar>
          </w:tcPr>
          <w:p>
            <w:pPr>
              <w:jc w:val="left"/>
            </w:pPr>
            <w:r>
              <w:rPr>
                <w:rFonts w:ascii="Arial" w:cs="Arial" w:eastAsia="Arial" w:hAnsi="Arial"/>
                <w:b w:val="false"/>
                <w:bCs w:val="false"/>
                <w:sz w:val="17"/>
                <w:szCs w:val="17"/>
              </w:rPr>
              <w:t xml:space="preserve">Text</w:t>
            </w:r>
          </w:p>
        </w:tc>
        <w:tc>
          <w:tcPr>
            <w:tcW w:type="dxa" w:w="1900"/>
            <w:tcBorders>
              <w:top w:val="single" w:color="BFBFBF" w:sz="4"/>
              <w:left w:val="single" w:color="BFBFBF" w:sz="4"/>
              <w:bottom w:val="single" w:color="BFBFBF" w:sz="4"/>
              <w:right w:val="single" w:color="BFBFBF" w:sz="4"/>
            </w:tcBorders>
            <w:shd w:fill="F5F7FA" w:color="auto" w:val="clear"/>
            <w:tcMar>
              <w:top w:type="dxa" w:w="60"/>
              <w:left w:type="dxa" w:w="90"/>
              <w:bottom w:type="dxa" w:w="60"/>
              <w:right w:type="dxa" w:w="90"/>
            </w:tcMar>
          </w:tcPr>
          <w:p>
            <w:pPr>
              <w:jc w:val="left"/>
            </w:pPr>
            <w:r>
              <w:rPr>
                <w:rFonts w:ascii="Arial" w:cs="Arial" w:eastAsia="Arial" w:hAnsi="Arial"/>
                <w:b w:val="false"/>
                <w:bCs w:val="false"/>
                <w:sz w:val="17"/>
                <w:szCs w:val="17"/>
              </w:rPr>
              <w:t xml:space="preserve">Categorical</w:t>
            </w:r>
          </w:p>
        </w:tc>
        <w:tc>
          <w:tcPr>
            <w:tcW w:type="dxa" w:w="3738"/>
            <w:tcBorders>
              <w:top w:val="single" w:color="BFBFBF" w:sz="4"/>
              <w:left w:val="single" w:color="BFBFBF" w:sz="4"/>
              <w:bottom w:val="single" w:color="BFBFBF" w:sz="4"/>
              <w:right w:val="single" w:color="BFBFBF" w:sz="4"/>
            </w:tcBorders>
            <w:shd w:fill="F5F7FA" w:color="auto" w:val="clear"/>
            <w:tcMar>
              <w:top w:type="dxa" w:w="60"/>
              <w:left w:type="dxa" w:w="90"/>
              <w:bottom w:type="dxa" w:w="60"/>
              <w:right w:type="dxa" w:w="90"/>
            </w:tcMar>
          </w:tcPr>
          <w:p>
            <w:pPr>
              <w:jc w:val="left"/>
            </w:pPr>
            <w:r>
              <w:rPr>
                <w:rFonts w:ascii="Arial" w:cs="Arial" w:eastAsia="Arial" w:hAnsi="Arial"/>
                <w:b w:val="false"/>
                <w:bCs w:val="false"/>
                <w:sz w:val="17"/>
                <w:szCs w:val="17"/>
              </w:rPr>
              <w:t xml:space="preserve">Mobile App 5,102, POS 2,393, Web 1,869, ATM 1,747, USSD 889</w:t>
            </w:r>
          </w:p>
        </w:tc>
      </w:tr>
      <w:tr>
        <w:trPr>
          <w:cantSplit/>
        </w:trPr>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Device_Type</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Text</w:t>
            </w:r>
          </w:p>
        </w:tc>
        <w:tc>
          <w:tcPr>
            <w:tcW w:type="dxa" w:w="19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Categorical</w:t>
            </w:r>
          </w:p>
        </w:tc>
        <w:tc>
          <w:tcPr>
            <w:tcW w:type="dxa" w:w="3738"/>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Android 4,797, iOS 2,920, POS Terminal 1,571, Web Browser 1,447, ATM Terminal 1,169; 96 missing</w:t>
            </w:r>
          </w:p>
        </w:tc>
      </w:tr>
      <w:tr>
        <w:trPr>
          <w:cantSplit/>
        </w:trPr>
        <w:tc>
          <w:tcPr>
            <w:tcW w:type="dxa" w:w="2500"/>
            <w:tcBorders>
              <w:top w:val="single" w:color="BFBFBF" w:sz="4"/>
              <w:left w:val="single" w:color="BFBFBF" w:sz="4"/>
              <w:bottom w:val="single" w:color="BFBFBF" w:sz="4"/>
              <w:right w:val="single" w:color="BFBFBF" w:sz="4"/>
            </w:tcBorders>
            <w:shd w:fill="F5F7FA" w:color="auto" w:val="clear"/>
            <w:tcMar>
              <w:top w:type="dxa" w:w="60"/>
              <w:left w:type="dxa" w:w="90"/>
              <w:bottom w:type="dxa" w:w="60"/>
              <w:right w:type="dxa" w:w="90"/>
            </w:tcMar>
          </w:tcPr>
          <w:p>
            <w:pPr>
              <w:jc w:val="left"/>
            </w:pPr>
            <w:r>
              <w:rPr>
                <w:rFonts w:ascii="Arial" w:cs="Arial" w:eastAsia="Arial" w:hAnsi="Arial"/>
                <w:b w:val="false"/>
                <w:bCs w:val="false"/>
                <w:sz w:val="17"/>
                <w:szCs w:val="17"/>
              </w:rPr>
              <w:t xml:space="preserve">Location</w:t>
            </w:r>
          </w:p>
        </w:tc>
        <w:tc>
          <w:tcPr>
            <w:tcW w:type="dxa" w:w="1500"/>
            <w:tcBorders>
              <w:top w:val="single" w:color="BFBFBF" w:sz="4"/>
              <w:left w:val="single" w:color="BFBFBF" w:sz="4"/>
              <w:bottom w:val="single" w:color="BFBFBF" w:sz="4"/>
              <w:right w:val="single" w:color="BFBFBF" w:sz="4"/>
            </w:tcBorders>
            <w:shd w:fill="F5F7FA" w:color="auto" w:val="clear"/>
            <w:tcMar>
              <w:top w:type="dxa" w:w="60"/>
              <w:left w:type="dxa" w:w="90"/>
              <w:bottom w:type="dxa" w:w="60"/>
              <w:right w:type="dxa" w:w="90"/>
            </w:tcMar>
          </w:tcPr>
          <w:p>
            <w:pPr>
              <w:jc w:val="left"/>
            </w:pPr>
            <w:r>
              <w:rPr>
                <w:rFonts w:ascii="Arial" w:cs="Arial" w:eastAsia="Arial" w:hAnsi="Arial"/>
                <w:b w:val="false"/>
                <w:bCs w:val="false"/>
                <w:sz w:val="17"/>
                <w:szCs w:val="17"/>
              </w:rPr>
              <w:t xml:space="preserve">Text</w:t>
            </w:r>
          </w:p>
        </w:tc>
        <w:tc>
          <w:tcPr>
            <w:tcW w:type="dxa" w:w="1900"/>
            <w:tcBorders>
              <w:top w:val="single" w:color="BFBFBF" w:sz="4"/>
              <w:left w:val="single" w:color="BFBFBF" w:sz="4"/>
              <w:bottom w:val="single" w:color="BFBFBF" w:sz="4"/>
              <w:right w:val="single" w:color="BFBFBF" w:sz="4"/>
            </w:tcBorders>
            <w:shd w:fill="F5F7FA" w:color="auto" w:val="clear"/>
            <w:tcMar>
              <w:top w:type="dxa" w:w="60"/>
              <w:left w:type="dxa" w:w="90"/>
              <w:bottom w:type="dxa" w:w="60"/>
              <w:right w:type="dxa" w:w="90"/>
            </w:tcMar>
          </w:tcPr>
          <w:p>
            <w:pPr>
              <w:jc w:val="left"/>
            </w:pPr>
            <w:r>
              <w:rPr>
                <w:rFonts w:ascii="Arial" w:cs="Arial" w:eastAsia="Arial" w:hAnsi="Arial"/>
                <w:b w:val="false"/>
                <w:bCs w:val="false"/>
                <w:sz w:val="17"/>
                <w:szCs w:val="17"/>
              </w:rPr>
              <w:t xml:space="preserve">Categorical</w:t>
            </w:r>
          </w:p>
        </w:tc>
        <w:tc>
          <w:tcPr>
            <w:tcW w:type="dxa" w:w="3738"/>
            <w:tcBorders>
              <w:top w:val="single" w:color="BFBFBF" w:sz="4"/>
              <w:left w:val="single" w:color="BFBFBF" w:sz="4"/>
              <w:bottom w:val="single" w:color="BFBFBF" w:sz="4"/>
              <w:right w:val="single" w:color="BFBFBF" w:sz="4"/>
            </w:tcBorders>
            <w:shd w:fill="F5F7FA" w:color="auto" w:val="clear"/>
            <w:tcMar>
              <w:top w:type="dxa" w:w="60"/>
              <w:left w:type="dxa" w:w="90"/>
              <w:bottom w:type="dxa" w:w="60"/>
              <w:right w:type="dxa" w:w="90"/>
            </w:tcMar>
          </w:tcPr>
          <w:p>
            <w:pPr>
              <w:jc w:val="left"/>
            </w:pPr>
            <w:r>
              <w:rPr>
                <w:rFonts w:ascii="Arial" w:cs="Arial" w:eastAsia="Arial" w:hAnsi="Arial"/>
                <w:b w:val="false"/>
                <w:bCs w:val="false"/>
                <w:sz w:val="17"/>
                <w:szCs w:val="17"/>
              </w:rPr>
              <w:t xml:space="preserve">8 cities, 1,431 to 1,550 each; 96 missing</w:t>
            </w:r>
          </w:p>
        </w:tc>
      </w:tr>
      <w:tr>
        <w:trPr>
          <w:cantSplit/>
        </w:trPr>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International_Transaction</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Text</w:t>
            </w:r>
          </w:p>
        </w:tc>
        <w:tc>
          <w:tcPr>
            <w:tcW w:type="dxa" w:w="19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Categorical (Yes/No)</w:t>
            </w:r>
          </w:p>
        </w:tc>
        <w:tc>
          <w:tcPr>
            <w:tcW w:type="dxa" w:w="3738"/>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No 11,520, Yes 480</w:t>
            </w:r>
          </w:p>
        </w:tc>
      </w:tr>
      <w:tr>
        <w:trPr>
          <w:cantSplit/>
        </w:trPr>
        <w:tc>
          <w:tcPr>
            <w:tcW w:type="dxa" w:w="2500"/>
            <w:tcBorders>
              <w:top w:val="single" w:color="BFBFBF" w:sz="4"/>
              <w:left w:val="single" w:color="BFBFBF" w:sz="4"/>
              <w:bottom w:val="single" w:color="BFBFBF" w:sz="4"/>
              <w:right w:val="single" w:color="BFBFBF" w:sz="4"/>
            </w:tcBorders>
            <w:shd w:fill="F5F7FA" w:color="auto" w:val="clear"/>
            <w:tcMar>
              <w:top w:type="dxa" w:w="60"/>
              <w:left w:type="dxa" w:w="90"/>
              <w:bottom w:type="dxa" w:w="60"/>
              <w:right w:type="dxa" w:w="90"/>
            </w:tcMar>
          </w:tcPr>
          <w:p>
            <w:pPr>
              <w:jc w:val="left"/>
            </w:pPr>
            <w:r>
              <w:rPr>
                <w:rFonts w:ascii="Arial" w:cs="Arial" w:eastAsia="Arial" w:hAnsi="Arial"/>
                <w:b w:val="false"/>
                <w:bCs w:val="false"/>
                <w:sz w:val="17"/>
                <w:szCs w:val="17"/>
              </w:rPr>
              <w:t xml:space="preserve">Transaction_Status</w:t>
            </w:r>
          </w:p>
        </w:tc>
        <w:tc>
          <w:tcPr>
            <w:tcW w:type="dxa" w:w="1500"/>
            <w:tcBorders>
              <w:top w:val="single" w:color="BFBFBF" w:sz="4"/>
              <w:left w:val="single" w:color="BFBFBF" w:sz="4"/>
              <w:bottom w:val="single" w:color="BFBFBF" w:sz="4"/>
              <w:right w:val="single" w:color="BFBFBF" w:sz="4"/>
            </w:tcBorders>
            <w:shd w:fill="F5F7FA" w:color="auto" w:val="clear"/>
            <w:tcMar>
              <w:top w:type="dxa" w:w="60"/>
              <w:left w:type="dxa" w:w="90"/>
              <w:bottom w:type="dxa" w:w="60"/>
              <w:right w:type="dxa" w:w="90"/>
            </w:tcMar>
          </w:tcPr>
          <w:p>
            <w:pPr>
              <w:jc w:val="left"/>
            </w:pPr>
            <w:r>
              <w:rPr>
                <w:rFonts w:ascii="Arial" w:cs="Arial" w:eastAsia="Arial" w:hAnsi="Arial"/>
                <w:b w:val="false"/>
                <w:bCs w:val="false"/>
                <w:sz w:val="17"/>
                <w:szCs w:val="17"/>
              </w:rPr>
              <w:t xml:space="preserve">Text</w:t>
            </w:r>
          </w:p>
        </w:tc>
        <w:tc>
          <w:tcPr>
            <w:tcW w:type="dxa" w:w="1900"/>
            <w:tcBorders>
              <w:top w:val="single" w:color="BFBFBF" w:sz="4"/>
              <w:left w:val="single" w:color="BFBFBF" w:sz="4"/>
              <w:bottom w:val="single" w:color="BFBFBF" w:sz="4"/>
              <w:right w:val="single" w:color="BFBFBF" w:sz="4"/>
            </w:tcBorders>
            <w:shd w:fill="F5F7FA" w:color="auto" w:val="clear"/>
            <w:tcMar>
              <w:top w:type="dxa" w:w="60"/>
              <w:left w:type="dxa" w:w="90"/>
              <w:bottom w:type="dxa" w:w="60"/>
              <w:right w:type="dxa" w:w="90"/>
            </w:tcMar>
          </w:tcPr>
          <w:p>
            <w:pPr>
              <w:jc w:val="left"/>
            </w:pPr>
            <w:r>
              <w:rPr>
                <w:rFonts w:ascii="Arial" w:cs="Arial" w:eastAsia="Arial" w:hAnsi="Arial"/>
                <w:b w:val="false"/>
                <w:bCs w:val="false"/>
                <w:sz w:val="17"/>
                <w:szCs w:val="17"/>
              </w:rPr>
              <w:t xml:space="preserve">Categorical</w:t>
            </w:r>
          </w:p>
        </w:tc>
        <w:tc>
          <w:tcPr>
            <w:tcW w:type="dxa" w:w="3738"/>
            <w:tcBorders>
              <w:top w:val="single" w:color="BFBFBF" w:sz="4"/>
              <w:left w:val="single" w:color="BFBFBF" w:sz="4"/>
              <w:bottom w:val="single" w:color="BFBFBF" w:sz="4"/>
              <w:right w:val="single" w:color="BFBFBF" w:sz="4"/>
            </w:tcBorders>
            <w:shd w:fill="F5F7FA" w:color="auto" w:val="clear"/>
            <w:tcMar>
              <w:top w:type="dxa" w:w="60"/>
              <w:left w:type="dxa" w:w="90"/>
              <w:bottom w:type="dxa" w:w="60"/>
              <w:right w:type="dxa" w:w="90"/>
            </w:tcMar>
          </w:tcPr>
          <w:p>
            <w:pPr>
              <w:jc w:val="left"/>
            </w:pPr>
            <w:r>
              <w:rPr>
                <w:rFonts w:ascii="Arial" w:cs="Arial" w:eastAsia="Arial" w:hAnsi="Arial"/>
                <w:b w:val="false"/>
                <w:bCs w:val="false"/>
                <w:sz w:val="17"/>
                <w:szCs w:val="17"/>
              </w:rPr>
              <w:t xml:space="preserve">Successful 10,856, Failed 630, Reversed 326, Pending 188</w:t>
            </w:r>
          </w:p>
        </w:tc>
      </w:tr>
      <w:tr>
        <w:trPr>
          <w:cantSplit/>
        </w:trPr>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Risk_Review_Flag</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Text</w:t>
            </w:r>
          </w:p>
        </w:tc>
        <w:tc>
          <w:tcPr>
            <w:tcW w:type="dxa" w:w="19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Categorical (Yes/No)</w:t>
            </w:r>
          </w:p>
        </w:tc>
        <w:tc>
          <w:tcPr>
            <w:tcW w:type="dxa" w:w="3738"/>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No 9,648, Yes 2,352 (19.6%)</w:t>
            </w:r>
          </w:p>
        </w:tc>
      </w:tr>
    </w:tbl>
    <w:p>
      <w:pPr>
        <w:spacing w:after="120"/>
      </w:pPr>
    </w:p>
    <w:p>
      <w:pPr>
        <w:pStyle w:val="Heading2"/>
      </w:pPr>
      <w:r>
        <w:rPr>
          <w:rFonts w:ascii="Arial" w:cs="Arial" w:eastAsia="Arial" w:hAnsi="Arial"/>
        </w:rPr>
        <w:t xml:space="preserve">3.4 Relationship between the datasets</w:t>
      </w:r>
    </w:p>
    <w:p>
      <w:pPr>
        <w:spacing w:after="120" w:before="0" w:line="280"/>
      </w:pPr>
      <w:r>
        <w:rPr>
          <w:rFonts w:ascii="Arial" w:cs="Arial" w:eastAsia="Arial" w:hAnsi="Arial"/>
          <w:sz w:val="21"/>
          <w:szCs w:val="21"/>
        </w:rPr>
        <w:t xml:space="preserve">The datasets have a one-to-many relationship: </w:t>
      </w:r>
      <w:r>
        <w:rPr>
          <w:rFonts w:ascii="Arial" w:cs="Arial" w:eastAsia="Arial" w:hAnsi="Arial"/>
          <w:b/>
          <w:bCs/>
          <w:sz w:val="21"/>
          <w:szCs w:val="21"/>
        </w:rPr>
        <w:t xml:space="preserve">one customer to many transactions</w:t>
      </w:r>
      <w:r>
        <w:rPr>
          <w:rFonts w:ascii="Arial" w:cs="Arial" w:eastAsia="Arial" w:hAnsi="Arial"/>
          <w:sz w:val="21"/>
          <w:szCs w:val="21"/>
        </w:rPr>
        <w:t xml:space="preserve">, joined on Customer_ID. Checks confirmed there are no orphan transactions (0 transactions without a matching customer) and no customers without transactions (0). Every customer has between 1 and 20 transactions, an average of 8.0.</w:t>
      </w:r>
    </w:p>
    <w:p>
      <w:pPr>
        <w:pStyle w:val="Heading2"/>
      </w:pPr>
      <w:r>
        <w:rPr>
          <w:rFonts w:ascii="Arial" w:cs="Arial" w:eastAsia="Arial" w:hAnsi="Arial"/>
        </w:rPr>
        <w:t xml:space="preserve">3.5 Missing values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00"/>
        <w:gridCol w:w="1700"/>
        <w:gridCol w:w="1000"/>
        <w:gridCol w:w="1300"/>
        <w:gridCol w:w="4238"/>
      </w:tblGrid>
      <w:tr>
        <w:trPr>
          <w:tblHeader/>
        </w:trPr>
        <w:tc>
          <w:tcPr>
            <w:tcW w:type="dxa" w:w="14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jc w:val="left"/>
            </w:pPr>
            <w:r>
              <w:rPr>
                <w:rFonts w:ascii="Arial" w:cs="Arial" w:eastAsia="Arial" w:hAnsi="Arial"/>
                <w:b/>
                <w:bCs/>
                <w:color w:val="FFFFFF"/>
                <w:sz w:val="17"/>
                <w:szCs w:val="17"/>
              </w:rPr>
              <w:t xml:space="preserve">Table</w:t>
            </w:r>
          </w:p>
        </w:tc>
        <w:tc>
          <w:tcPr>
            <w:tcW w:type="dxa" w:w="17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jc w:val="left"/>
            </w:pPr>
            <w:r>
              <w:rPr>
                <w:rFonts w:ascii="Arial" w:cs="Arial" w:eastAsia="Arial" w:hAnsi="Arial"/>
                <w:b/>
                <w:bCs/>
                <w:color w:val="FFFFFF"/>
                <w:sz w:val="17"/>
                <w:szCs w:val="17"/>
              </w:rPr>
              <w:t xml:space="preserve">Field</w:t>
            </w:r>
          </w:p>
        </w:tc>
        <w:tc>
          <w:tcPr>
            <w:tcW w:type="dxa" w:w="10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jc w:val="left"/>
            </w:pPr>
            <w:r>
              <w:rPr>
                <w:rFonts w:ascii="Arial" w:cs="Arial" w:eastAsia="Arial" w:hAnsi="Arial"/>
                <w:b/>
                <w:bCs/>
                <w:color w:val="FFFFFF"/>
                <w:sz w:val="17"/>
                <w:szCs w:val="17"/>
              </w:rPr>
              <w:t xml:space="preserve">Missing</w:t>
            </w:r>
          </w:p>
        </w:tc>
        <w:tc>
          <w:tcPr>
            <w:tcW w:type="dxa" w:w="13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jc w:val="left"/>
            </w:pPr>
            <w:r>
              <w:rPr>
                <w:rFonts w:ascii="Arial" w:cs="Arial" w:eastAsia="Arial" w:hAnsi="Arial"/>
                <w:b/>
                <w:bCs/>
                <w:color w:val="FFFFFF"/>
                <w:sz w:val="17"/>
                <w:szCs w:val="17"/>
              </w:rPr>
              <w:t xml:space="preserve">Share of rows</w:t>
            </w:r>
          </w:p>
        </w:tc>
        <w:tc>
          <w:tcPr>
            <w:tcW w:type="dxa" w:w="4238"/>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jc w:val="left"/>
            </w:pPr>
            <w:r>
              <w:rPr>
                <w:rFonts w:ascii="Arial" w:cs="Arial" w:eastAsia="Arial" w:hAnsi="Arial"/>
                <w:b/>
                <w:bCs/>
                <w:color w:val="FFFFFF"/>
                <w:sz w:val="17"/>
                <w:szCs w:val="17"/>
              </w:rPr>
              <w:t xml:space="preserve">Comment</w:t>
            </w:r>
          </w:p>
        </w:tc>
      </w:tr>
      <w:tr>
        <w:trPr>
          <w:cantSplit/>
        </w:trPr>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Transactions</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Device_Type</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96</w:t>
            </w:r>
          </w:p>
        </w:tc>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0.8%</w:t>
            </w:r>
          </w:p>
        </w:tc>
        <w:tc>
          <w:tcPr>
            <w:tcW w:type="dxa" w:w="4238"/>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Spread across all channels (e.g. 42 Mobile App, 23 POS, 14 Web, 11 ATM, 6 USSD)</w:t>
            </w:r>
          </w:p>
        </w:tc>
      </w:tr>
      <w:tr>
        <w:trPr>
          <w:cantSplit/>
        </w:trPr>
        <w:tc>
          <w:tcPr>
            <w:tcW w:type="dxa" w:w="1400"/>
            <w:tcBorders>
              <w:top w:val="single" w:color="BFBFBF" w:sz="4"/>
              <w:left w:val="single" w:color="BFBFBF" w:sz="4"/>
              <w:bottom w:val="single" w:color="BFBFBF" w:sz="4"/>
              <w:right w:val="single" w:color="BFBFBF" w:sz="4"/>
            </w:tcBorders>
            <w:shd w:fill="F5F7FA" w:color="auto" w:val="clear"/>
            <w:tcMar>
              <w:top w:type="dxa" w:w="60"/>
              <w:left w:type="dxa" w:w="90"/>
              <w:bottom w:type="dxa" w:w="60"/>
              <w:right w:type="dxa" w:w="90"/>
            </w:tcMar>
          </w:tcPr>
          <w:p>
            <w:pPr>
              <w:jc w:val="left"/>
            </w:pPr>
            <w:r>
              <w:rPr>
                <w:rFonts w:ascii="Arial" w:cs="Arial" w:eastAsia="Arial" w:hAnsi="Arial"/>
                <w:b w:val="false"/>
                <w:bCs w:val="false"/>
                <w:sz w:val="17"/>
                <w:szCs w:val="17"/>
              </w:rPr>
              <w:t xml:space="preserve">Transactions</w:t>
            </w:r>
          </w:p>
        </w:tc>
        <w:tc>
          <w:tcPr>
            <w:tcW w:type="dxa" w:w="1700"/>
            <w:tcBorders>
              <w:top w:val="single" w:color="BFBFBF" w:sz="4"/>
              <w:left w:val="single" w:color="BFBFBF" w:sz="4"/>
              <w:bottom w:val="single" w:color="BFBFBF" w:sz="4"/>
              <w:right w:val="single" w:color="BFBFBF" w:sz="4"/>
            </w:tcBorders>
            <w:shd w:fill="F5F7FA" w:color="auto" w:val="clear"/>
            <w:tcMar>
              <w:top w:type="dxa" w:w="60"/>
              <w:left w:type="dxa" w:w="90"/>
              <w:bottom w:type="dxa" w:w="60"/>
              <w:right w:type="dxa" w:w="90"/>
            </w:tcMar>
          </w:tcPr>
          <w:p>
            <w:pPr>
              <w:jc w:val="left"/>
            </w:pPr>
            <w:r>
              <w:rPr>
                <w:rFonts w:ascii="Arial" w:cs="Arial" w:eastAsia="Arial" w:hAnsi="Arial"/>
                <w:b w:val="false"/>
                <w:bCs w:val="false"/>
                <w:sz w:val="17"/>
                <w:szCs w:val="17"/>
              </w:rPr>
              <w:t xml:space="preserve">Location</w:t>
            </w:r>
          </w:p>
        </w:tc>
        <w:tc>
          <w:tcPr>
            <w:tcW w:type="dxa" w:w="1000"/>
            <w:tcBorders>
              <w:top w:val="single" w:color="BFBFBF" w:sz="4"/>
              <w:left w:val="single" w:color="BFBFBF" w:sz="4"/>
              <w:bottom w:val="single" w:color="BFBFBF" w:sz="4"/>
              <w:right w:val="single" w:color="BFBFBF" w:sz="4"/>
            </w:tcBorders>
            <w:shd w:fill="F5F7FA" w:color="auto" w:val="clear"/>
            <w:tcMar>
              <w:top w:type="dxa" w:w="60"/>
              <w:left w:type="dxa" w:w="90"/>
              <w:bottom w:type="dxa" w:w="60"/>
              <w:right w:type="dxa" w:w="90"/>
            </w:tcMar>
          </w:tcPr>
          <w:p>
            <w:pPr>
              <w:jc w:val="left"/>
            </w:pPr>
            <w:r>
              <w:rPr>
                <w:rFonts w:ascii="Arial" w:cs="Arial" w:eastAsia="Arial" w:hAnsi="Arial"/>
                <w:b w:val="false"/>
                <w:bCs w:val="false"/>
                <w:sz w:val="17"/>
                <w:szCs w:val="17"/>
              </w:rPr>
              <w:t xml:space="preserve">96</w:t>
            </w:r>
          </w:p>
        </w:tc>
        <w:tc>
          <w:tcPr>
            <w:tcW w:type="dxa" w:w="1300"/>
            <w:tcBorders>
              <w:top w:val="single" w:color="BFBFBF" w:sz="4"/>
              <w:left w:val="single" w:color="BFBFBF" w:sz="4"/>
              <w:bottom w:val="single" w:color="BFBFBF" w:sz="4"/>
              <w:right w:val="single" w:color="BFBFBF" w:sz="4"/>
            </w:tcBorders>
            <w:shd w:fill="F5F7FA" w:color="auto" w:val="clear"/>
            <w:tcMar>
              <w:top w:type="dxa" w:w="60"/>
              <w:left w:type="dxa" w:w="90"/>
              <w:bottom w:type="dxa" w:w="60"/>
              <w:right w:type="dxa" w:w="90"/>
            </w:tcMar>
          </w:tcPr>
          <w:p>
            <w:pPr>
              <w:jc w:val="left"/>
            </w:pPr>
            <w:r>
              <w:rPr>
                <w:rFonts w:ascii="Arial" w:cs="Arial" w:eastAsia="Arial" w:hAnsi="Arial"/>
                <w:b w:val="false"/>
                <w:bCs w:val="false"/>
                <w:sz w:val="17"/>
                <w:szCs w:val="17"/>
              </w:rPr>
              <w:t xml:space="preserve">0.8%</w:t>
            </w:r>
          </w:p>
        </w:tc>
        <w:tc>
          <w:tcPr>
            <w:tcW w:type="dxa" w:w="4238"/>
            <w:tcBorders>
              <w:top w:val="single" w:color="BFBFBF" w:sz="4"/>
              <w:left w:val="single" w:color="BFBFBF" w:sz="4"/>
              <w:bottom w:val="single" w:color="BFBFBF" w:sz="4"/>
              <w:right w:val="single" w:color="BFBFBF" w:sz="4"/>
            </w:tcBorders>
            <w:shd w:fill="F5F7FA" w:color="auto" w:val="clear"/>
            <w:tcMar>
              <w:top w:type="dxa" w:w="60"/>
              <w:left w:type="dxa" w:w="90"/>
              <w:bottom w:type="dxa" w:w="60"/>
              <w:right w:type="dxa" w:w="90"/>
            </w:tcMar>
          </w:tcPr>
          <w:p>
            <w:pPr>
              <w:jc w:val="left"/>
            </w:pPr>
            <w:r>
              <w:rPr>
                <w:rFonts w:ascii="Arial" w:cs="Arial" w:eastAsia="Arial" w:hAnsi="Arial"/>
                <w:b w:val="false"/>
                <w:bCs w:val="false"/>
                <w:sz w:val="17"/>
                <w:szCs w:val="17"/>
              </w:rPr>
              <w:t xml:space="preserve">Only 4 rows are missing both, so 188 rows (1.6%) have at least one missing</w:t>
            </w:r>
          </w:p>
        </w:tc>
      </w:tr>
      <w:tr>
        <w:trPr>
          <w:cantSplit/>
        </w:trPr>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Transactions</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All other fields</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0</w:t>
            </w:r>
          </w:p>
        </w:tc>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0%</w:t>
            </w:r>
          </w:p>
        </w:tc>
        <w:tc>
          <w:tcPr>
            <w:tcW w:type="dxa" w:w="4238"/>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Complete</w:t>
            </w:r>
          </w:p>
        </w:tc>
      </w:tr>
      <w:tr>
        <w:trPr>
          <w:cantSplit/>
        </w:trPr>
        <w:tc>
          <w:tcPr>
            <w:tcW w:type="dxa" w:w="1400"/>
            <w:tcBorders>
              <w:top w:val="single" w:color="BFBFBF" w:sz="4"/>
              <w:left w:val="single" w:color="BFBFBF" w:sz="4"/>
              <w:bottom w:val="single" w:color="BFBFBF" w:sz="4"/>
              <w:right w:val="single" w:color="BFBFBF" w:sz="4"/>
            </w:tcBorders>
            <w:shd w:fill="F5F7FA" w:color="auto" w:val="clear"/>
            <w:tcMar>
              <w:top w:type="dxa" w:w="60"/>
              <w:left w:type="dxa" w:w="90"/>
              <w:bottom w:type="dxa" w:w="60"/>
              <w:right w:type="dxa" w:w="90"/>
            </w:tcMar>
          </w:tcPr>
          <w:p>
            <w:pPr>
              <w:jc w:val="left"/>
            </w:pPr>
            <w:r>
              <w:rPr>
                <w:rFonts w:ascii="Arial" w:cs="Arial" w:eastAsia="Arial" w:hAnsi="Arial"/>
                <w:b w:val="false"/>
                <w:bCs w:val="false"/>
                <w:sz w:val="17"/>
                <w:szCs w:val="17"/>
              </w:rPr>
              <w:t xml:space="preserve">Customers</w:t>
            </w:r>
          </w:p>
        </w:tc>
        <w:tc>
          <w:tcPr>
            <w:tcW w:type="dxa" w:w="1700"/>
            <w:tcBorders>
              <w:top w:val="single" w:color="BFBFBF" w:sz="4"/>
              <w:left w:val="single" w:color="BFBFBF" w:sz="4"/>
              <w:bottom w:val="single" w:color="BFBFBF" w:sz="4"/>
              <w:right w:val="single" w:color="BFBFBF" w:sz="4"/>
            </w:tcBorders>
            <w:shd w:fill="F5F7FA" w:color="auto" w:val="clear"/>
            <w:tcMar>
              <w:top w:type="dxa" w:w="60"/>
              <w:left w:type="dxa" w:w="90"/>
              <w:bottom w:type="dxa" w:w="60"/>
              <w:right w:type="dxa" w:w="90"/>
            </w:tcMar>
          </w:tcPr>
          <w:p>
            <w:pPr>
              <w:jc w:val="left"/>
            </w:pPr>
            <w:r>
              <w:rPr>
                <w:rFonts w:ascii="Arial" w:cs="Arial" w:eastAsia="Arial" w:hAnsi="Arial"/>
                <w:b w:val="false"/>
                <w:bCs w:val="false"/>
                <w:sz w:val="17"/>
                <w:szCs w:val="17"/>
              </w:rPr>
              <w:t xml:space="preserve">All fields</w:t>
            </w:r>
          </w:p>
        </w:tc>
        <w:tc>
          <w:tcPr>
            <w:tcW w:type="dxa" w:w="1000"/>
            <w:tcBorders>
              <w:top w:val="single" w:color="BFBFBF" w:sz="4"/>
              <w:left w:val="single" w:color="BFBFBF" w:sz="4"/>
              <w:bottom w:val="single" w:color="BFBFBF" w:sz="4"/>
              <w:right w:val="single" w:color="BFBFBF" w:sz="4"/>
            </w:tcBorders>
            <w:shd w:fill="F5F7FA" w:color="auto" w:val="clear"/>
            <w:tcMar>
              <w:top w:type="dxa" w:w="60"/>
              <w:left w:type="dxa" w:w="90"/>
              <w:bottom w:type="dxa" w:w="60"/>
              <w:right w:type="dxa" w:w="90"/>
            </w:tcMar>
          </w:tcPr>
          <w:p>
            <w:pPr>
              <w:jc w:val="left"/>
            </w:pPr>
            <w:r>
              <w:rPr>
                <w:rFonts w:ascii="Arial" w:cs="Arial" w:eastAsia="Arial" w:hAnsi="Arial"/>
                <w:b w:val="false"/>
                <w:bCs w:val="false"/>
                <w:sz w:val="17"/>
                <w:szCs w:val="17"/>
              </w:rPr>
              <w:t xml:space="preserve">0</w:t>
            </w:r>
          </w:p>
        </w:tc>
        <w:tc>
          <w:tcPr>
            <w:tcW w:type="dxa" w:w="1300"/>
            <w:tcBorders>
              <w:top w:val="single" w:color="BFBFBF" w:sz="4"/>
              <w:left w:val="single" w:color="BFBFBF" w:sz="4"/>
              <w:bottom w:val="single" w:color="BFBFBF" w:sz="4"/>
              <w:right w:val="single" w:color="BFBFBF" w:sz="4"/>
            </w:tcBorders>
            <w:shd w:fill="F5F7FA" w:color="auto" w:val="clear"/>
            <w:tcMar>
              <w:top w:type="dxa" w:w="60"/>
              <w:left w:type="dxa" w:w="90"/>
              <w:bottom w:type="dxa" w:w="60"/>
              <w:right w:type="dxa" w:w="90"/>
            </w:tcMar>
          </w:tcPr>
          <w:p>
            <w:pPr>
              <w:jc w:val="left"/>
            </w:pPr>
            <w:r>
              <w:rPr>
                <w:rFonts w:ascii="Arial" w:cs="Arial" w:eastAsia="Arial" w:hAnsi="Arial"/>
                <w:b w:val="false"/>
                <w:bCs w:val="false"/>
                <w:sz w:val="17"/>
                <w:szCs w:val="17"/>
              </w:rPr>
              <w:t xml:space="preserve">0%</w:t>
            </w:r>
          </w:p>
        </w:tc>
        <w:tc>
          <w:tcPr>
            <w:tcW w:type="dxa" w:w="4238"/>
            <w:tcBorders>
              <w:top w:val="single" w:color="BFBFBF" w:sz="4"/>
              <w:left w:val="single" w:color="BFBFBF" w:sz="4"/>
              <w:bottom w:val="single" w:color="BFBFBF" w:sz="4"/>
              <w:right w:val="single" w:color="BFBFBF" w:sz="4"/>
            </w:tcBorders>
            <w:shd w:fill="F5F7FA" w:color="auto" w:val="clear"/>
            <w:tcMar>
              <w:top w:type="dxa" w:w="60"/>
              <w:left w:type="dxa" w:w="90"/>
              <w:bottom w:type="dxa" w:w="60"/>
              <w:right w:type="dxa" w:w="90"/>
            </w:tcMar>
          </w:tcPr>
          <w:p>
            <w:pPr>
              <w:jc w:val="left"/>
            </w:pPr>
            <w:r>
              <w:rPr>
                <w:rFonts w:ascii="Arial" w:cs="Arial" w:eastAsia="Arial" w:hAnsi="Arial"/>
                <w:b w:val="false"/>
                <w:bCs w:val="false"/>
                <w:sz w:val="17"/>
                <w:szCs w:val="17"/>
              </w:rPr>
              <w:t xml:space="preserve">Complete. 'Prefer not to say' in Gender (51) is a valid answer and not a missing value</w:t>
            </w:r>
          </w:p>
        </w:tc>
      </w:tr>
    </w:tbl>
    <w:p>
      <w:pPr>
        <w:spacing w:after="120"/>
      </w:pPr>
    </w:p>
    <w:p>
      <w:pPr>
        <w:pStyle w:val="Heading2"/>
      </w:pPr>
      <w:r>
        <w:rPr>
          <w:rFonts w:ascii="Arial" w:cs="Arial" w:eastAsia="Arial" w:hAnsi="Arial"/>
        </w:rPr>
        <w:t xml:space="preserve">3.6 Summary of numeric fields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1000"/>
        <w:gridCol w:w="1200"/>
        <w:gridCol w:w="1200"/>
        <w:gridCol w:w="1200"/>
        <w:gridCol w:w="1200"/>
        <w:gridCol w:w="1238"/>
      </w:tblGrid>
      <w:tr>
        <w:trPr>
          <w:tblHeader/>
        </w:trPr>
        <w:tc>
          <w:tcPr>
            <w:tcW w:type="dxa" w:w="26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jc w:val="left"/>
            </w:pPr>
            <w:r>
              <w:rPr>
                <w:rFonts w:ascii="Arial" w:cs="Arial" w:eastAsia="Arial" w:hAnsi="Arial"/>
                <w:b/>
                <w:bCs/>
                <w:color w:val="FFFFFF"/>
                <w:sz w:val="17"/>
                <w:szCs w:val="17"/>
              </w:rPr>
              <w:t xml:space="preserve">Field</w:t>
            </w:r>
          </w:p>
        </w:tc>
        <w:tc>
          <w:tcPr>
            <w:tcW w:type="dxa" w:w="10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jc w:val="left"/>
            </w:pPr>
            <w:r>
              <w:rPr>
                <w:rFonts w:ascii="Arial" w:cs="Arial" w:eastAsia="Arial" w:hAnsi="Arial"/>
                <w:b/>
                <w:bCs/>
                <w:color w:val="FFFFFF"/>
                <w:sz w:val="17"/>
                <w:szCs w:val="17"/>
              </w:rPr>
              <w:t xml:space="preserve">Min</w:t>
            </w:r>
          </w:p>
        </w:tc>
        <w:tc>
          <w:tcPr>
            <w:tcW w:type="dxa" w:w="12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jc w:val="left"/>
            </w:pPr>
            <w:r>
              <w:rPr>
                <w:rFonts w:ascii="Arial" w:cs="Arial" w:eastAsia="Arial" w:hAnsi="Arial"/>
                <w:b/>
                <w:bCs/>
                <w:color w:val="FFFFFF"/>
                <w:sz w:val="17"/>
                <w:szCs w:val="17"/>
              </w:rPr>
              <w:t xml:space="preserve">Median</w:t>
            </w:r>
          </w:p>
        </w:tc>
        <w:tc>
          <w:tcPr>
            <w:tcW w:type="dxa" w:w="12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jc w:val="left"/>
            </w:pPr>
            <w:r>
              <w:rPr>
                <w:rFonts w:ascii="Arial" w:cs="Arial" w:eastAsia="Arial" w:hAnsi="Arial"/>
                <w:b/>
                <w:bCs/>
                <w:color w:val="FFFFFF"/>
                <w:sz w:val="17"/>
                <w:szCs w:val="17"/>
              </w:rPr>
              <w:t xml:space="preserve">Mean</w:t>
            </w:r>
          </w:p>
        </w:tc>
        <w:tc>
          <w:tcPr>
            <w:tcW w:type="dxa" w:w="12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jc w:val="left"/>
            </w:pPr>
            <w:r>
              <w:rPr>
                <w:rFonts w:ascii="Arial" w:cs="Arial" w:eastAsia="Arial" w:hAnsi="Arial"/>
                <w:b/>
                <w:bCs/>
                <w:color w:val="FFFFFF"/>
                <w:sz w:val="17"/>
                <w:szCs w:val="17"/>
              </w:rPr>
              <w:t xml:space="preserve">95th pct</w:t>
            </w:r>
          </w:p>
        </w:tc>
        <w:tc>
          <w:tcPr>
            <w:tcW w:type="dxa" w:w="12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jc w:val="left"/>
            </w:pPr>
            <w:r>
              <w:rPr>
                <w:rFonts w:ascii="Arial" w:cs="Arial" w:eastAsia="Arial" w:hAnsi="Arial"/>
                <w:b/>
                <w:bCs/>
                <w:color w:val="FFFFFF"/>
                <w:sz w:val="17"/>
                <w:szCs w:val="17"/>
              </w:rPr>
              <w:t xml:space="preserve">99th pct</w:t>
            </w:r>
          </w:p>
        </w:tc>
        <w:tc>
          <w:tcPr>
            <w:tcW w:type="dxa" w:w="1238"/>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jc w:val="left"/>
            </w:pPr>
            <w:r>
              <w:rPr>
                <w:rFonts w:ascii="Arial" w:cs="Arial" w:eastAsia="Arial" w:hAnsi="Arial"/>
                <w:b/>
                <w:bCs/>
                <w:color w:val="FFFFFF"/>
                <w:sz w:val="17"/>
                <w:szCs w:val="17"/>
              </w:rPr>
              <w:t xml:space="preserve">Max</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Amount_NGN (₦)</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right"/>
            </w:pPr>
            <w:r>
              <w:rPr>
                <w:rFonts w:ascii="Arial" w:cs="Arial" w:eastAsia="Arial" w:hAnsi="Arial"/>
                <w:b w:val="false"/>
                <w:bCs w:val="false"/>
                <w:sz w:val="17"/>
                <w:szCs w:val="17"/>
              </w:rPr>
              <w:t xml:space="preserve">100</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right"/>
            </w:pPr>
            <w:r>
              <w:rPr>
                <w:rFonts w:ascii="Arial" w:cs="Arial" w:eastAsia="Arial" w:hAnsi="Arial"/>
                <w:b w:val="false"/>
                <w:bCs w:val="false"/>
                <w:sz w:val="17"/>
                <w:szCs w:val="17"/>
              </w:rPr>
              <w:t xml:space="preserve">10,306</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right"/>
            </w:pPr>
            <w:r>
              <w:rPr>
                <w:rFonts w:ascii="Arial" w:cs="Arial" w:eastAsia="Arial" w:hAnsi="Arial"/>
                <w:b w:val="false"/>
                <w:bCs w:val="false"/>
                <w:sz w:val="17"/>
                <w:szCs w:val="17"/>
              </w:rPr>
              <w:t xml:space="preserve">46,706</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right"/>
            </w:pPr>
            <w:r>
              <w:rPr>
                <w:rFonts w:ascii="Arial" w:cs="Arial" w:eastAsia="Arial" w:hAnsi="Arial"/>
                <w:b w:val="false"/>
                <w:bCs w:val="false"/>
                <w:sz w:val="17"/>
                <w:szCs w:val="17"/>
              </w:rPr>
              <w:t xml:space="preserve">227,286</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right"/>
            </w:pPr>
            <w:r>
              <w:rPr>
                <w:rFonts w:ascii="Arial" w:cs="Arial" w:eastAsia="Arial" w:hAnsi="Arial"/>
                <w:b w:val="false"/>
                <w:bCs w:val="false"/>
                <w:sz w:val="17"/>
                <w:szCs w:val="17"/>
              </w:rPr>
              <w:t xml:space="preserve">410,905</w:t>
            </w:r>
          </w:p>
        </w:tc>
        <w:tc>
          <w:tcPr>
            <w:tcW w:type="dxa" w:w="1238"/>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right"/>
            </w:pPr>
            <w:r>
              <w:rPr>
                <w:rFonts w:ascii="Arial" w:cs="Arial" w:eastAsia="Arial" w:hAnsi="Arial"/>
                <w:b w:val="false"/>
                <w:bCs w:val="false"/>
                <w:sz w:val="17"/>
                <w:szCs w:val="17"/>
              </w:rPr>
              <w:t xml:space="preserve">693,454</w:t>
            </w:r>
          </w:p>
        </w:tc>
      </w:tr>
      <w:tr>
        <w:trPr>
          <w:cantSplit/>
        </w:trPr>
        <w:tc>
          <w:tcPr>
            <w:tcW w:type="dxa" w:w="2600"/>
            <w:tcBorders>
              <w:top w:val="single" w:color="BFBFBF" w:sz="4"/>
              <w:left w:val="single" w:color="BFBFBF" w:sz="4"/>
              <w:bottom w:val="single" w:color="BFBFBF" w:sz="4"/>
              <w:right w:val="single" w:color="BFBFBF" w:sz="4"/>
            </w:tcBorders>
            <w:shd w:fill="F5F7FA" w:color="auto" w:val="clear"/>
            <w:tcMar>
              <w:top w:type="dxa" w:w="60"/>
              <w:left w:type="dxa" w:w="90"/>
              <w:bottom w:type="dxa" w:w="60"/>
              <w:right w:type="dxa" w:w="90"/>
            </w:tcMar>
          </w:tcPr>
          <w:p>
            <w:pPr>
              <w:jc w:val="left"/>
            </w:pPr>
            <w:r>
              <w:rPr>
                <w:rFonts w:ascii="Arial" w:cs="Arial" w:eastAsia="Arial" w:hAnsi="Arial"/>
                <w:b w:val="false"/>
                <w:bCs w:val="false"/>
                <w:sz w:val="17"/>
                <w:szCs w:val="17"/>
              </w:rPr>
              <w:t xml:space="preserve">Age</w:t>
            </w:r>
          </w:p>
        </w:tc>
        <w:tc>
          <w:tcPr>
            <w:tcW w:type="dxa" w:w="1000"/>
            <w:tcBorders>
              <w:top w:val="single" w:color="BFBFBF" w:sz="4"/>
              <w:left w:val="single" w:color="BFBFBF" w:sz="4"/>
              <w:bottom w:val="single" w:color="BFBFBF" w:sz="4"/>
              <w:right w:val="single" w:color="BFBFBF" w:sz="4"/>
            </w:tcBorders>
            <w:shd w:fill="F5F7FA" w:color="auto" w:val="clear"/>
            <w:tcMar>
              <w:top w:type="dxa" w:w="60"/>
              <w:left w:type="dxa" w:w="90"/>
              <w:bottom w:type="dxa" w:w="60"/>
              <w:right w:type="dxa" w:w="90"/>
            </w:tcMar>
          </w:tcPr>
          <w:p>
            <w:pPr>
              <w:jc w:val="right"/>
            </w:pPr>
            <w:r>
              <w:rPr>
                <w:rFonts w:ascii="Arial" w:cs="Arial" w:eastAsia="Arial" w:hAnsi="Arial"/>
                <w:b w:val="false"/>
                <w:bCs w:val="false"/>
                <w:sz w:val="17"/>
                <w:szCs w:val="17"/>
              </w:rPr>
              <w:t xml:space="preserve">18</w:t>
            </w:r>
          </w:p>
        </w:tc>
        <w:tc>
          <w:tcPr>
            <w:tcW w:type="dxa" w:w="1200"/>
            <w:tcBorders>
              <w:top w:val="single" w:color="BFBFBF" w:sz="4"/>
              <w:left w:val="single" w:color="BFBFBF" w:sz="4"/>
              <w:bottom w:val="single" w:color="BFBFBF" w:sz="4"/>
              <w:right w:val="single" w:color="BFBFBF" w:sz="4"/>
            </w:tcBorders>
            <w:shd w:fill="F5F7FA" w:color="auto" w:val="clear"/>
            <w:tcMar>
              <w:top w:type="dxa" w:w="60"/>
              <w:left w:type="dxa" w:w="90"/>
              <w:bottom w:type="dxa" w:w="60"/>
              <w:right w:type="dxa" w:w="90"/>
            </w:tcMar>
          </w:tcPr>
          <w:p>
            <w:pPr>
              <w:jc w:val="right"/>
            </w:pPr>
            <w:r>
              <w:rPr>
                <w:rFonts w:ascii="Arial" w:cs="Arial" w:eastAsia="Arial" w:hAnsi="Arial"/>
                <w:b w:val="false"/>
                <w:bCs w:val="false"/>
                <w:sz w:val="17"/>
                <w:szCs w:val="17"/>
              </w:rPr>
              <w:t xml:space="preserve">42</w:t>
            </w:r>
          </w:p>
        </w:tc>
        <w:tc>
          <w:tcPr>
            <w:tcW w:type="dxa" w:w="1200"/>
            <w:tcBorders>
              <w:top w:val="single" w:color="BFBFBF" w:sz="4"/>
              <w:left w:val="single" w:color="BFBFBF" w:sz="4"/>
              <w:bottom w:val="single" w:color="BFBFBF" w:sz="4"/>
              <w:right w:val="single" w:color="BFBFBF" w:sz="4"/>
            </w:tcBorders>
            <w:shd w:fill="F5F7FA" w:color="auto" w:val="clear"/>
            <w:tcMar>
              <w:top w:type="dxa" w:w="60"/>
              <w:left w:type="dxa" w:w="90"/>
              <w:bottom w:type="dxa" w:w="60"/>
              <w:right w:type="dxa" w:w="90"/>
            </w:tcMar>
          </w:tcPr>
          <w:p>
            <w:pPr>
              <w:jc w:val="right"/>
            </w:pPr>
            <w:r>
              <w:rPr>
                <w:rFonts w:ascii="Arial" w:cs="Arial" w:eastAsia="Arial" w:hAnsi="Arial"/>
                <w:b w:val="false"/>
                <w:bCs w:val="false"/>
                <w:sz w:val="17"/>
                <w:szCs w:val="17"/>
              </w:rPr>
              <w:t xml:space="preserve">41.6</w:t>
            </w:r>
          </w:p>
        </w:tc>
        <w:tc>
          <w:tcPr>
            <w:tcW w:type="dxa" w:w="1200"/>
            <w:tcBorders>
              <w:top w:val="single" w:color="BFBFBF" w:sz="4"/>
              <w:left w:val="single" w:color="BFBFBF" w:sz="4"/>
              <w:bottom w:val="single" w:color="BFBFBF" w:sz="4"/>
              <w:right w:val="single" w:color="BFBFBF" w:sz="4"/>
            </w:tcBorders>
            <w:shd w:fill="F5F7FA" w:color="auto" w:val="clear"/>
            <w:tcMar>
              <w:top w:type="dxa" w:w="60"/>
              <w:left w:type="dxa" w:w="90"/>
              <w:bottom w:type="dxa" w:w="60"/>
              <w:right w:type="dxa" w:w="90"/>
            </w:tcMar>
          </w:tcPr>
          <w:p>
            <w:pPr>
              <w:jc w:val="right"/>
            </w:pPr>
            <w:r>
              <w:rPr>
                <w:rFonts w:ascii="Arial" w:cs="Arial" w:eastAsia="Arial" w:hAnsi="Arial"/>
                <w:b w:val="false"/>
                <w:bCs w:val="false"/>
                <w:sz w:val="17"/>
                <w:szCs w:val="17"/>
              </w:rPr>
              <w:t xml:space="preserve"/>
            </w:r>
          </w:p>
        </w:tc>
        <w:tc>
          <w:tcPr>
            <w:tcW w:type="dxa" w:w="1200"/>
            <w:tcBorders>
              <w:top w:val="single" w:color="BFBFBF" w:sz="4"/>
              <w:left w:val="single" w:color="BFBFBF" w:sz="4"/>
              <w:bottom w:val="single" w:color="BFBFBF" w:sz="4"/>
              <w:right w:val="single" w:color="BFBFBF" w:sz="4"/>
            </w:tcBorders>
            <w:shd w:fill="F5F7FA" w:color="auto" w:val="clear"/>
            <w:tcMar>
              <w:top w:type="dxa" w:w="60"/>
              <w:left w:type="dxa" w:w="90"/>
              <w:bottom w:type="dxa" w:w="60"/>
              <w:right w:type="dxa" w:w="90"/>
            </w:tcMar>
          </w:tcPr>
          <w:p>
            <w:pPr>
              <w:jc w:val="right"/>
            </w:pPr>
            <w:r>
              <w:rPr>
                <w:rFonts w:ascii="Arial" w:cs="Arial" w:eastAsia="Arial" w:hAnsi="Arial"/>
                <w:b w:val="false"/>
                <w:bCs w:val="false"/>
                <w:sz w:val="17"/>
                <w:szCs w:val="17"/>
              </w:rPr>
              <w:t xml:space="preserve"/>
            </w:r>
          </w:p>
        </w:tc>
        <w:tc>
          <w:tcPr>
            <w:tcW w:type="dxa" w:w="1238"/>
            <w:tcBorders>
              <w:top w:val="single" w:color="BFBFBF" w:sz="4"/>
              <w:left w:val="single" w:color="BFBFBF" w:sz="4"/>
              <w:bottom w:val="single" w:color="BFBFBF" w:sz="4"/>
              <w:right w:val="single" w:color="BFBFBF" w:sz="4"/>
            </w:tcBorders>
            <w:shd w:fill="F5F7FA" w:color="auto" w:val="clear"/>
            <w:tcMar>
              <w:top w:type="dxa" w:w="60"/>
              <w:left w:type="dxa" w:w="90"/>
              <w:bottom w:type="dxa" w:w="60"/>
              <w:right w:type="dxa" w:w="90"/>
            </w:tcMar>
          </w:tcPr>
          <w:p>
            <w:pPr>
              <w:jc w:val="right"/>
            </w:pPr>
            <w:r>
              <w:rPr>
                <w:rFonts w:ascii="Arial" w:cs="Arial" w:eastAsia="Arial" w:hAnsi="Arial"/>
                <w:b w:val="false"/>
                <w:bCs w:val="false"/>
                <w:sz w:val="17"/>
                <w:szCs w:val="17"/>
              </w:rPr>
              <w:t xml:space="preserve">65</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Tenure_Months</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right"/>
            </w:pPr>
            <w:r>
              <w:rPr>
                <w:rFonts w:ascii="Arial" w:cs="Arial" w:eastAsia="Arial" w:hAnsi="Arial"/>
                <w:b w:val="false"/>
                <w:bCs w:val="false"/>
                <w:sz w:val="17"/>
                <w:szCs w:val="17"/>
              </w:rPr>
              <w:t xml:space="preserve">1</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right"/>
            </w:pPr>
            <w:r>
              <w:rPr>
                <w:rFonts w:ascii="Arial" w:cs="Arial" w:eastAsia="Arial" w:hAnsi="Arial"/>
                <w:b w:val="false"/>
                <w:bCs w:val="false"/>
                <w:sz w:val="17"/>
                <w:szCs w:val="17"/>
              </w:rPr>
              <w:t xml:space="preserve">51</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right"/>
            </w:pPr>
            <w:r>
              <w:rPr>
                <w:rFonts w:ascii="Arial" w:cs="Arial" w:eastAsia="Arial" w:hAnsi="Arial"/>
                <w:b w:val="false"/>
                <w:bCs w:val="false"/>
                <w:sz w:val="17"/>
                <w:szCs w:val="17"/>
              </w:rPr>
              <w:t xml:space="preserve">49.9</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right"/>
            </w:pPr>
            <w:r>
              <w:rPr>
                <w:rFonts w:ascii="Arial" w:cs="Arial" w:eastAsia="Arial" w:hAnsi="Arial"/>
                <w:b w:val="false"/>
                <w:bCs w:val="false"/>
                <w:sz w:val="17"/>
                <w:szCs w:val="17"/>
              </w:rPr>
              <w:t xml:space="preserve"/>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right"/>
            </w:pPr>
            <w:r>
              <w:rPr>
                <w:rFonts w:ascii="Arial" w:cs="Arial" w:eastAsia="Arial" w:hAnsi="Arial"/>
                <w:b w:val="false"/>
                <w:bCs w:val="false"/>
                <w:sz w:val="17"/>
                <w:szCs w:val="17"/>
              </w:rPr>
              <w:t xml:space="preserve"/>
            </w:r>
          </w:p>
        </w:tc>
        <w:tc>
          <w:tcPr>
            <w:tcW w:type="dxa" w:w="1238"/>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right"/>
            </w:pPr>
            <w:r>
              <w:rPr>
                <w:rFonts w:ascii="Arial" w:cs="Arial" w:eastAsia="Arial" w:hAnsi="Arial"/>
                <w:b w:val="false"/>
                <w:bCs w:val="false"/>
                <w:sz w:val="17"/>
                <w:szCs w:val="17"/>
              </w:rPr>
              <w:t xml:space="preserve">96</w:t>
            </w:r>
          </w:p>
        </w:tc>
      </w:tr>
      <w:tr>
        <w:trPr>
          <w:cantSplit/>
        </w:trPr>
        <w:tc>
          <w:tcPr>
            <w:tcW w:type="dxa" w:w="2600"/>
            <w:tcBorders>
              <w:top w:val="single" w:color="BFBFBF" w:sz="4"/>
              <w:left w:val="single" w:color="BFBFBF" w:sz="4"/>
              <w:bottom w:val="single" w:color="BFBFBF" w:sz="4"/>
              <w:right w:val="single" w:color="BFBFBF" w:sz="4"/>
            </w:tcBorders>
            <w:shd w:fill="F5F7FA" w:color="auto" w:val="clear"/>
            <w:tcMar>
              <w:top w:type="dxa" w:w="60"/>
              <w:left w:type="dxa" w:w="90"/>
              <w:bottom w:type="dxa" w:w="60"/>
              <w:right w:type="dxa" w:w="90"/>
            </w:tcMar>
          </w:tcPr>
          <w:p>
            <w:pPr>
              <w:jc w:val="left"/>
            </w:pPr>
            <w:r>
              <w:rPr>
                <w:rFonts w:ascii="Arial" w:cs="Arial" w:eastAsia="Arial" w:hAnsi="Arial"/>
                <w:b w:val="false"/>
                <w:bCs w:val="false"/>
                <w:sz w:val="17"/>
                <w:szCs w:val="17"/>
              </w:rPr>
              <w:t xml:space="preserve">Digital_Engagement_Score</w:t>
            </w:r>
          </w:p>
        </w:tc>
        <w:tc>
          <w:tcPr>
            <w:tcW w:type="dxa" w:w="1000"/>
            <w:tcBorders>
              <w:top w:val="single" w:color="BFBFBF" w:sz="4"/>
              <w:left w:val="single" w:color="BFBFBF" w:sz="4"/>
              <w:bottom w:val="single" w:color="BFBFBF" w:sz="4"/>
              <w:right w:val="single" w:color="BFBFBF" w:sz="4"/>
            </w:tcBorders>
            <w:shd w:fill="F5F7FA" w:color="auto" w:val="clear"/>
            <w:tcMar>
              <w:top w:type="dxa" w:w="60"/>
              <w:left w:type="dxa" w:w="90"/>
              <w:bottom w:type="dxa" w:w="60"/>
              <w:right w:type="dxa" w:w="90"/>
            </w:tcMar>
          </w:tcPr>
          <w:p>
            <w:pPr>
              <w:jc w:val="right"/>
            </w:pPr>
            <w:r>
              <w:rPr>
                <w:rFonts w:ascii="Arial" w:cs="Arial" w:eastAsia="Arial" w:hAnsi="Arial"/>
                <w:b w:val="false"/>
                <w:bCs w:val="false"/>
                <w:sz w:val="17"/>
                <w:szCs w:val="17"/>
              </w:rPr>
              <w:t xml:space="preserve">16.7</w:t>
            </w:r>
          </w:p>
        </w:tc>
        <w:tc>
          <w:tcPr>
            <w:tcW w:type="dxa" w:w="1200"/>
            <w:tcBorders>
              <w:top w:val="single" w:color="BFBFBF" w:sz="4"/>
              <w:left w:val="single" w:color="BFBFBF" w:sz="4"/>
              <w:bottom w:val="single" w:color="BFBFBF" w:sz="4"/>
              <w:right w:val="single" w:color="BFBFBF" w:sz="4"/>
            </w:tcBorders>
            <w:shd w:fill="F5F7FA" w:color="auto" w:val="clear"/>
            <w:tcMar>
              <w:top w:type="dxa" w:w="60"/>
              <w:left w:type="dxa" w:w="90"/>
              <w:bottom w:type="dxa" w:w="60"/>
              <w:right w:type="dxa" w:w="90"/>
            </w:tcMar>
          </w:tcPr>
          <w:p>
            <w:pPr>
              <w:jc w:val="right"/>
            </w:pPr>
            <w:r>
              <w:rPr>
                <w:rFonts w:ascii="Arial" w:cs="Arial" w:eastAsia="Arial" w:hAnsi="Arial"/>
                <w:b w:val="false"/>
                <w:bCs w:val="false"/>
                <w:sz w:val="17"/>
                <w:szCs w:val="17"/>
              </w:rPr>
              <w:t xml:space="preserve">68</w:t>
            </w:r>
          </w:p>
        </w:tc>
        <w:tc>
          <w:tcPr>
            <w:tcW w:type="dxa" w:w="1200"/>
            <w:tcBorders>
              <w:top w:val="single" w:color="BFBFBF" w:sz="4"/>
              <w:left w:val="single" w:color="BFBFBF" w:sz="4"/>
              <w:bottom w:val="single" w:color="BFBFBF" w:sz="4"/>
              <w:right w:val="single" w:color="BFBFBF" w:sz="4"/>
            </w:tcBorders>
            <w:shd w:fill="F5F7FA" w:color="auto" w:val="clear"/>
            <w:tcMar>
              <w:top w:type="dxa" w:w="60"/>
              <w:left w:type="dxa" w:w="90"/>
              <w:bottom w:type="dxa" w:w="60"/>
              <w:right w:type="dxa" w:w="90"/>
            </w:tcMar>
          </w:tcPr>
          <w:p>
            <w:pPr>
              <w:jc w:val="right"/>
            </w:pPr>
            <w:r>
              <w:rPr>
                <w:rFonts w:ascii="Arial" w:cs="Arial" w:eastAsia="Arial" w:hAnsi="Arial"/>
                <w:b w:val="false"/>
                <w:bCs w:val="false"/>
                <w:sz w:val="17"/>
                <w:szCs w:val="17"/>
              </w:rPr>
              <w:t xml:space="preserve">68.0</w:t>
            </w:r>
          </w:p>
        </w:tc>
        <w:tc>
          <w:tcPr>
            <w:tcW w:type="dxa" w:w="1200"/>
            <w:tcBorders>
              <w:top w:val="single" w:color="BFBFBF" w:sz="4"/>
              <w:left w:val="single" w:color="BFBFBF" w:sz="4"/>
              <w:bottom w:val="single" w:color="BFBFBF" w:sz="4"/>
              <w:right w:val="single" w:color="BFBFBF" w:sz="4"/>
            </w:tcBorders>
            <w:shd w:fill="F5F7FA" w:color="auto" w:val="clear"/>
            <w:tcMar>
              <w:top w:type="dxa" w:w="60"/>
              <w:left w:type="dxa" w:w="90"/>
              <w:bottom w:type="dxa" w:w="60"/>
              <w:right w:type="dxa" w:w="90"/>
            </w:tcMar>
          </w:tcPr>
          <w:p>
            <w:pPr>
              <w:jc w:val="right"/>
            </w:pPr>
            <w:r>
              <w:rPr>
                <w:rFonts w:ascii="Arial" w:cs="Arial" w:eastAsia="Arial" w:hAnsi="Arial"/>
                <w:b w:val="false"/>
                <w:bCs w:val="false"/>
                <w:sz w:val="17"/>
                <w:szCs w:val="17"/>
              </w:rPr>
              <w:t xml:space="preserve"/>
            </w:r>
          </w:p>
        </w:tc>
        <w:tc>
          <w:tcPr>
            <w:tcW w:type="dxa" w:w="1200"/>
            <w:tcBorders>
              <w:top w:val="single" w:color="BFBFBF" w:sz="4"/>
              <w:left w:val="single" w:color="BFBFBF" w:sz="4"/>
              <w:bottom w:val="single" w:color="BFBFBF" w:sz="4"/>
              <w:right w:val="single" w:color="BFBFBF" w:sz="4"/>
            </w:tcBorders>
            <w:shd w:fill="F5F7FA" w:color="auto" w:val="clear"/>
            <w:tcMar>
              <w:top w:type="dxa" w:w="60"/>
              <w:left w:type="dxa" w:w="90"/>
              <w:bottom w:type="dxa" w:w="60"/>
              <w:right w:type="dxa" w:w="90"/>
            </w:tcMar>
          </w:tcPr>
          <w:p>
            <w:pPr>
              <w:jc w:val="right"/>
            </w:pPr>
            <w:r>
              <w:rPr>
                <w:rFonts w:ascii="Arial" w:cs="Arial" w:eastAsia="Arial" w:hAnsi="Arial"/>
                <w:b w:val="false"/>
                <w:bCs w:val="false"/>
                <w:sz w:val="17"/>
                <w:szCs w:val="17"/>
              </w:rPr>
              <w:t xml:space="preserve"/>
            </w:r>
          </w:p>
        </w:tc>
        <w:tc>
          <w:tcPr>
            <w:tcW w:type="dxa" w:w="1238"/>
            <w:tcBorders>
              <w:top w:val="single" w:color="BFBFBF" w:sz="4"/>
              <w:left w:val="single" w:color="BFBFBF" w:sz="4"/>
              <w:bottom w:val="single" w:color="BFBFBF" w:sz="4"/>
              <w:right w:val="single" w:color="BFBFBF" w:sz="4"/>
            </w:tcBorders>
            <w:shd w:fill="F5F7FA" w:color="auto" w:val="clear"/>
            <w:tcMar>
              <w:top w:type="dxa" w:w="60"/>
              <w:left w:type="dxa" w:w="90"/>
              <w:bottom w:type="dxa" w:w="60"/>
              <w:right w:type="dxa" w:w="90"/>
            </w:tcMar>
          </w:tcPr>
          <w:p>
            <w:pPr>
              <w:jc w:val="right"/>
            </w:pPr>
            <w:r>
              <w:rPr>
                <w:rFonts w:ascii="Arial" w:cs="Arial" w:eastAsia="Arial" w:hAnsi="Arial"/>
                <w:b w:val="false"/>
                <w:bCs w:val="false"/>
                <w:sz w:val="17"/>
                <w:szCs w:val="17"/>
              </w:rPr>
              <w:t xml:space="preserve">100</w:t>
            </w:r>
          </w:p>
        </w:tc>
      </w:tr>
    </w:tbl>
    <w:p>
      <w:pPr>
        <w:spacing w:after="120"/>
      </w:pPr>
    </w:p>
    <w:p>
      <w:pPr>
        <w:spacing w:after="120" w:before="0" w:line="280"/>
      </w:pPr>
      <w:r>
        <w:rPr>
          <w:rFonts w:ascii="Arial" w:cs="Arial" w:eastAsia="Arial" w:hAnsi="Arial"/>
          <w:sz w:val="21"/>
          <w:szCs w:val="21"/>
        </w:rPr>
        <w:t xml:space="preserve">Amount_NGN is strongly right-skewed: the mean is more than four times the median, and 5% of transactions are above about ₦227k. Medians and percentile bands are more informative than averages for this field.</w:t>
      </w:r>
    </w:p>
    <w:p>
      <w:pPr>
        <w:pStyle w:val="Heading2"/>
      </w:pPr>
      <w:r>
        <w:rPr>
          <w:rFonts w:ascii="Arial" w:cs="Arial" w:eastAsia="Arial" w:hAnsi="Arial"/>
        </w:rPr>
        <w:t xml:space="preserve">3.7 Data-quality issues identified (no cleaning performed yet)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0"/>
        <w:gridCol w:w="2300"/>
        <w:gridCol w:w="3900"/>
        <w:gridCol w:w="3018"/>
      </w:tblGrid>
      <w:tr>
        <w:trPr>
          <w:tblHeader/>
        </w:trPr>
        <w:tc>
          <w:tcPr>
            <w:tcW w:type="dxa" w:w="42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jc w:val="left"/>
            </w:pPr>
            <w:r>
              <w:rPr>
                <w:rFonts w:ascii="Arial" w:cs="Arial" w:eastAsia="Arial" w:hAnsi="Arial"/>
                <w:b/>
                <w:bCs/>
                <w:color w:val="FFFFFF"/>
                <w:sz w:val="16"/>
                <w:szCs w:val="16"/>
              </w:rPr>
              <w:t xml:space="preserve">#</w:t>
            </w:r>
          </w:p>
        </w:tc>
        <w:tc>
          <w:tcPr>
            <w:tcW w:type="dxa" w:w="23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jc w:val="left"/>
            </w:pPr>
            <w:r>
              <w:rPr>
                <w:rFonts w:ascii="Arial" w:cs="Arial" w:eastAsia="Arial" w:hAnsi="Arial"/>
                <w:b/>
                <w:bCs/>
                <w:color w:val="FFFFFF"/>
                <w:sz w:val="16"/>
                <w:szCs w:val="16"/>
              </w:rPr>
              <w:t xml:space="preserve">Issue</w:t>
            </w:r>
          </w:p>
        </w:tc>
        <w:tc>
          <w:tcPr>
            <w:tcW w:type="dxa" w:w="39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jc w:val="left"/>
            </w:pPr>
            <w:r>
              <w:rPr>
                <w:rFonts w:ascii="Arial" w:cs="Arial" w:eastAsia="Arial" w:hAnsi="Arial"/>
                <w:b/>
                <w:bCs/>
                <w:color w:val="FFFFFF"/>
                <w:sz w:val="16"/>
                <w:szCs w:val="16"/>
              </w:rPr>
              <w:t xml:space="preserve">Evidence</w:t>
            </w:r>
          </w:p>
        </w:tc>
        <w:tc>
          <w:tcPr>
            <w:tcW w:type="dxa" w:w="3018"/>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jc w:val="left"/>
            </w:pPr>
            <w:r>
              <w:rPr>
                <w:rFonts w:ascii="Arial" w:cs="Arial" w:eastAsia="Arial" w:hAnsi="Arial"/>
                <w:b/>
                <w:bCs/>
                <w:color w:val="FFFFFF"/>
                <w:sz w:val="16"/>
                <w:szCs w:val="16"/>
              </w:rPr>
              <w:t xml:space="preserve">Impact / planned action</w:t>
            </w:r>
          </w:p>
        </w:tc>
      </w:tr>
      <w:tr>
        <w:trPr>
          <w:cantSplit/>
        </w:trPr>
        <w:tc>
          <w:tcPr>
            <w:tcW w:type="dxa" w:w="42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b w:val="false"/>
                <w:bCs w:val="false"/>
                <w:sz w:val="16"/>
                <w:szCs w:val="16"/>
              </w:rPr>
              <w:t xml:space="preserve">1</w:t>
            </w:r>
          </w:p>
        </w:tc>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b w:val="false"/>
                <w:bCs w:val="false"/>
                <w:sz w:val="16"/>
                <w:szCs w:val="16"/>
              </w:rPr>
              <w:t xml:space="preserve">Missing Device_Type and Location</w:t>
            </w:r>
          </w:p>
        </w:tc>
        <w:tc>
          <w:tcPr>
            <w:tcW w:type="dxa" w:w="39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b w:val="false"/>
                <w:bCs w:val="false"/>
                <w:sz w:val="16"/>
                <w:szCs w:val="16"/>
              </w:rPr>
              <w:t xml:space="preserve">96 rows each (0.8%)</w:t>
            </w:r>
          </w:p>
        </w:tc>
        <w:tc>
          <w:tcPr>
            <w:tcW w:type="dxa" w:w="3018"/>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b w:val="false"/>
                <w:bCs w:val="false"/>
                <w:sz w:val="16"/>
                <w:szCs w:val="16"/>
              </w:rPr>
              <w:t xml:space="preserve">Low impact. Label as 'Unknown' in Week 2 and keep the rows</w:t>
            </w:r>
          </w:p>
        </w:tc>
      </w:tr>
      <w:tr>
        <w:trPr>
          <w:cantSplit/>
        </w:trPr>
        <w:tc>
          <w:tcPr>
            <w:tcW w:type="dxa" w:w="420"/>
            <w:tcBorders>
              <w:top w:val="single" w:color="BFBFBF" w:sz="4"/>
              <w:left w:val="single" w:color="BFBFBF" w:sz="4"/>
              <w:bottom w:val="single" w:color="BFBFBF" w:sz="4"/>
              <w:right w:val="single" w:color="BFBFBF" w:sz="4"/>
            </w:tcBorders>
            <w:shd w:fill="F5F7FA" w:color="auto" w:val="clear"/>
            <w:tcMar>
              <w:top w:type="dxa" w:w="60"/>
              <w:left w:type="dxa" w:w="90"/>
              <w:bottom w:type="dxa" w:w="60"/>
              <w:right w:type="dxa" w:w="90"/>
            </w:tcMar>
          </w:tcPr>
          <w:p>
            <w:pPr>
              <w:jc w:val="left"/>
            </w:pPr>
            <w:r>
              <w:rPr>
                <w:rFonts w:ascii="Arial" w:cs="Arial" w:eastAsia="Arial" w:hAnsi="Arial"/>
                <w:b w:val="false"/>
                <w:bCs w:val="false"/>
                <w:sz w:val="16"/>
                <w:szCs w:val="16"/>
              </w:rPr>
              <w:t xml:space="preserve">2</w:t>
            </w:r>
          </w:p>
        </w:tc>
        <w:tc>
          <w:tcPr>
            <w:tcW w:type="dxa" w:w="2300"/>
            <w:tcBorders>
              <w:top w:val="single" w:color="BFBFBF" w:sz="4"/>
              <w:left w:val="single" w:color="BFBFBF" w:sz="4"/>
              <w:bottom w:val="single" w:color="BFBFBF" w:sz="4"/>
              <w:right w:val="single" w:color="BFBFBF" w:sz="4"/>
            </w:tcBorders>
            <w:shd w:fill="F5F7FA" w:color="auto" w:val="clear"/>
            <w:tcMar>
              <w:top w:type="dxa" w:w="60"/>
              <w:left w:type="dxa" w:w="90"/>
              <w:bottom w:type="dxa" w:w="60"/>
              <w:right w:type="dxa" w:w="90"/>
            </w:tcMar>
          </w:tcPr>
          <w:p>
            <w:pPr>
              <w:jc w:val="left"/>
            </w:pPr>
            <w:r>
              <w:rPr>
                <w:rFonts w:ascii="Arial" w:cs="Arial" w:eastAsia="Arial" w:hAnsi="Arial"/>
                <w:b w:val="false"/>
                <w:bCs w:val="false"/>
                <w:sz w:val="16"/>
                <w:szCs w:val="16"/>
              </w:rPr>
              <w:t xml:space="preserve">Device_Type contradicts Channel</w:t>
            </w:r>
          </w:p>
        </w:tc>
        <w:tc>
          <w:tcPr>
            <w:tcW w:type="dxa" w:w="3900"/>
            <w:tcBorders>
              <w:top w:val="single" w:color="BFBFBF" w:sz="4"/>
              <w:left w:val="single" w:color="BFBFBF" w:sz="4"/>
              <w:bottom w:val="single" w:color="BFBFBF" w:sz="4"/>
              <w:right w:val="single" w:color="BFBFBF" w:sz="4"/>
            </w:tcBorders>
            <w:shd w:fill="F5F7FA" w:color="auto" w:val="clear"/>
            <w:tcMar>
              <w:top w:type="dxa" w:w="60"/>
              <w:left w:type="dxa" w:w="90"/>
              <w:bottom w:type="dxa" w:w="60"/>
              <w:right w:type="dxa" w:w="90"/>
            </w:tcMar>
          </w:tcPr>
          <w:p>
            <w:pPr>
              <w:jc w:val="left"/>
            </w:pPr>
            <w:r>
              <w:rPr>
                <w:rFonts w:ascii="Arial" w:cs="Arial" w:eastAsia="Arial" w:hAnsi="Arial"/>
                <w:b w:val="false"/>
                <w:bCs w:val="false"/>
                <w:sz w:val="16"/>
                <w:szCs w:val="16"/>
              </w:rPr>
              <w:t xml:space="preserve">Only 176 of 1,747 ATM transactions (10%) show an ATM Terminal; only 324 of 2,393 POS transactions (14%) show a POS Terminal; Mobile App transactions include POS Terminal (618) and ATM Terminal (524) devices</w:t>
            </w:r>
          </w:p>
        </w:tc>
        <w:tc>
          <w:tcPr>
            <w:tcW w:type="dxa" w:w="3018"/>
            <w:tcBorders>
              <w:top w:val="single" w:color="BFBFBF" w:sz="4"/>
              <w:left w:val="single" w:color="BFBFBF" w:sz="4"/>
              <w:bottom w:val="single" w:color="BFBFBF" w:sz="4"/>
              <w:right w:val="single" w:color="BFBFBF" w:sz="4"/>
            </w:tcBorders>
            <w:shd w:fill="F5F7FA" w:color="auto" w:val="clear"/>
            <w:tcMar>
              <w:top w:type="dxa" w:w="60"/>
              <w:left w:type="dxa" w:w="90"/>
              <w:bottom w:type="dxa" w:w="60"/>
              <w:right w:type="dxa" w:w="90"/>
            </w:tcMar>
          </w:tcPr>
          <w:p>
            <w:pPr>
              <w:jc w:val="left"/>
            </w:pPr>
            <w:r>
              <w:rPr>
                <w:rFonts w:ascii="Arial" w:cs="Arial" w:eastAsia="Arial" w:hAnsi="Arial"/>
                <w:b w:val="false"/>
                <w:bCs w:val="false"/>
                <w:sz w:val="16"/>
                <w:szCs w:val="16"/>
              </w:rPr>
              <w:t xml:space="preserve">Device-based analysis is unreliable. Use Channel as the primary field and treat Device_Type with caution</w:t>
            </w:r>
          </w:p>
        </w:tc>
      </w:tr>
      <w:tr>
        <w:trPr>
          <w:cantSplit/>
        </w:trPr>
        <w:tc>
          <w:tcPr>
            <w:tcW w:type="dxa" w:w="42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b w:val="false"/>
                <w:bCs w:val="false"/>
                <w:sz w:val="16"/>
                <w:szCs w:val="16"/>
              </w:rPr>
              <w:t xml:space="preserve">3</w:t>
            </w:r>
          </w:p>
        </w:tc>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b w:val="false"/>
                <w:bCs w:val="false"/>
                <w:sz w:val="16"/>
                <w:szCs w:val="16"/>
              </w:rPr>
              <w:t xml:space="preserve">Transaction Location appears random</w:t>
            </w:r>
          </w:p>
        </w:tc>
        <w:tc>
          <w:tcPr>
            <w:tcW w:type="dxa" w:w="39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b w:val="false"/>
                <w:bCs w:val="false"/>
                <w:sz w:val="16"/>
                <w:szCs w:val="16"/>
              </w:rPr>
              <w:t xml:space="preserve">Location matches the customer's home city in 12.7% of transactions, close to the 12.5% expected from a random pick among 8 cities</w:t>
            </w:r>
          </w:p>
        </w:tc>
        <w:tc>
          <w:tcPr>
            <w:tcW w:type="dxa" w:w="3018"/>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b w:val="false"/>
                <w:bCs w:val="false"/>
                <w:sz w:val="16"/>
                <w:szCs w:val="16"/>
              </w:rPr>
              <w:t xml:space="preserve">Do not build location-mismatch or travel-risk analysis on this field</w:t>
            </w:r>
          </w:p>
        </w:tc>
      </w:tr>
      <w:tr>
        <w:trPr>
          <w:cantSplit/>
        </w:trPr>
        <w:tc>
          <w:tcPr>
            <w:tcW w:type="dxa" w:w="420"/>
            <w:tcBorders>
              <w:top w:val="single" w:color="BFBFBF" w:sz="4"/>
              <w:left w:val="single" w:color="BFBFBF" w:sz="4"/>
              <w:bottom w:val="single" w:color="BFBFBF" w:sz="4"/>
              <w:right w:val="single" w:color="BFBFBF" w:sz="4"/>
            </w:tcBorders>
            <w:shd w:fill="F5F7FA" w:color="auto" w:val="clear"/>
            <w:tcMar>
              <w:top w:type="dxa" w:w="60"/>
              <w:left w:type="dxa" w:w="90"/>
              <w:bottom w:type="dxa" w:w="60"/>
              <w:right w:type="dxa" w:w="90"/>
            </w:tcMar>
          </w:tcPr>
          <w:p>
            <w:pPr>
              <w:jc w:val="left"/>
            </w:pPr>
            <w:r>
              <w:rPr>
                <w:rFonts w:ascii="Arial" w:cs="Arial" w:eastAsia="Arial" w:hAnsi="Arial"/>
                <w:b w:val="false"/>
                <w:bCs w:val="false"/>
                <w:sz w:val="16"/>
                <w:szCs w:val="16"/>
              </w:rPr>
              <w:t xml:space="preserve">4</w:t>
            </w:r>
          </w:p>
        </w:tc>
        <w:tc>
          <w:tcPr>
            <w:tcW w:type="dxa" w:w="2300"/>
            <w:tcBorders>
              <w:top w:val="single" w:color="BFBFBF" w:sz="4"/>
              <w:left w:val="single" w:color="BFBFBF" w:sz="4"/>
              <w:bottom w:val="single" w:color="BFBFBF" w:sz="4"/>
              <w:right w:val="single" w:color="BFBFBF" w:sz="4"/>
            </w:tcBorders>
            <w:shd w:fill="F5F7FA" w:color="auto" w:val="clear"/>
            <w:tcMar>
              <w:top w:type="dxa" w:w="60"/>
              <w:left w:type="dxa" w:w="90"/>
              <w:bottom w:type="dxa" w:w="60"/>
              <w:right w:type="dxa" w:w="90"/>
            </w:tcMar>
          </w:tcPr>
          <w:p>
            <w:pPr>
              <w:jc w:val="left"/>
            </w:pPr>
            <w:r>
              <w:rPr>
                <w:rFonts w:ascii="Arial" w:cs="Arial" w:eastAsia="Arial" w:hAnsi="Arial"/>
                <w:b w:val="false"/>
                <w:bCs w:val="false"/>
                <w:sz w:val="16"/>
                <w:szCs w:val="16"/>
              </w:rPr>
              <w:t xml:space="preserve">Preferred_Channel does not predict actual channel</w:t>
            </w:r>
          </w:p>
        </w:tc>
        <w:tc>
          <w:tcPr>
            <w:tcW w:type="dxa" w:w="3900"/>
            <w:tcBorders>
              <w:top w:val="single" w:color="BFBFBF" w:sz="4"/>
              <w:left w:val="single" w:color="BFBFBF" w:sz="4"/>
              <w:bottom w:val="single" w:color="BFBFBF" w:sz="4"/>
              <w:right w:val="single" w:color="BFBFBF" w:sz="4"/>
            </w:tcBorders>
            <w:shd w:fill="F5F7FA" w:color="auto" w:val="clear"/>
            <w:tcMar>
              <w:top w:type="dxa" w:w="60"/>
              <w:left w:type="dxa" w:w="90"/>
              <w:bottom w:type="dxa" w:w="60"/>
              <w:right w:type="dxa" w:w="90"/>
            </w:tcMar>
          </w:tcPr>
          <w:p>
            <w:pPr>
              <w:jc w:val="left"/>
            </w:pPr>
            <w:r>
              <w:rPr>
                <w:rFonts w:ascii="Arial" w:cs="Arial" w:eastAsia="Arial" w:hAnsi="Arial"/>
                <w:b w:val="false"/>
                <w:bCs w:val="false"/>
                <w:sz w:val="16"/>
                <w:szCs w:val="16"/>
              </w:rPr>
              <w:t xml:space="preserve">Customers who prefer USSD use USSD for only 7.5% of their transactions; Mobile App preferrers use it for 42.5%, the same as the overall mix</w:t>
            </w:r>
          </w:p>
        </w:tc>
        <w:tc>
          <w:tcPr>
            <w:tcW w:type="dxa" w:w="3018"/>
            <w:tcBorders>
              <w:top w:val="single" w:color="BFBFBF" w:sz="4"/>
              <w:left w:val="single" w:color="BFBFBF" w:sz="4"/>
              <w:bottom w:val="single" w:color="BFBFBF" w:sz="4"/>
              <w:right w:val="single" w:color="BFBFBF" w:sz="4"/>
            </w:tcBorders>
            <w:shd w:fill="F5F7FA" w:color="auto" w:val="clear"/>
            <w:tcMar>
              <w:top w:type="dxa" w:w="60"/>
              <w:left w:type="dxa" w:w="90"/>
              <w:bottom w:type="dxa" w:w="60"/>
              <w:right w:type="dxa" w:w="90"/>
            </w:tcMar>
          </w:tcPr>
          <w:p>
            <w:pPr>
              <w:jc w:val="left"/>
            </w:pPr>
            <w:r>
              <w:rPr>
                <w:rFonts w:ascii="Arial" w:cs="Arial" w:eastAsia="Arial" w:hAnsi="Arial"/>
                <w:b w:val="false"/>
                <w:bCs w:val="false"/>
                <w:sz w:val="16"/>
                <w:szCs w:val="16"/>
              </w:rPr>
              <w:t xml:space="preserve">Preferred_Channel has weak analytical value</w:t>
            </w:r>
          </w:p>
        </w:tc>
      </w:tr>
      <w:tr>
        <w:trPr>
          <w:cantSplit/>
        </w:trPr>
        <w:tc>
          <w:tcPr>
            <w:tcW w:type="dxa" w:w="42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b w:val="false"/>
                <w:bCs w:val="false"/>
                <w:sz w:val="16"/>
                <w:szCs w:val="16"/>
              </w:rPr>
              <w:t xml:space="preserve">5</w:t>
            </w:r>
          </w:p>
        </w:tc>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b w:val="false"/>
                <w:bCs w:val="false"/>
                <w:sz w:val="16"/>
                <w:szCs w:val="16"/>
              </w:rPr>
              <w:t xml:space="preserve">Transaction_DateTime stored as text</w:t>
            </w:r>
          </w:p>
        </w:tc>
        <w:tc>
          <w:tcPr>
            <w:tcW w:type="dxa" w:w="39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b w:val="false"/>
                <w:bCs w:val="false"/>
                <w:sz w:val="16"/>
                <w:szCs w:val="16"/>
              </w:rPr>
              <w:t xml:space="preserve">Format M/D/YYYY H:mm</w:t>
            </w:r>
          </w:p>
        </w:tc>
        <w:tc>
          <w:tcPr>
            <w:tcW w:type="dxa" w:w="3018"/>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b w:val="false"/>
                <w:bCs w:val="false"/>
                <w:sz w:val="16"/>
                <w:szCs w:val="16"/>
              </w:rPr>
              <w:t xml:space="preserve">Convert to a timestamp before time analysis</w:t>
            </w:r>
          </w:p>
        </w:tc>
      </w:tr>
      <w:tr>
        <w:trPr>
          <w:cantSplit/>
        </w:trPr>
        <w:tc>
          <w:tcPr>
            <w:tcW w:type="dxa" w:w="420"/>
            <w:tcBorders>
              <w:top w:val="single" w:color="BFBFBF" w:sz="4"/>
              <w:left w:val="single" w:color="BFBFBF" w:sz="4"/>
              <w:bottom w:val="single" w:color="BFBFBF" w:sz="4"/>
              <w:right w:val="single" w:color="BFBFBF" w:sz="4"/>
            </w:tcBorders>
            <w:shd w:fill="F5F7FA" w:color="auto" w:val="clear"/>
            <w:tcMar>
              <w:top w:type="dxa" w:w="60"/>
              <w:left w:type="dxa" w:w="90"/>
              <w:bottom w:type="dxa" w:w="60"/>
              <w:right w:type="dxa" w:w="90"/>
            </w:tcMar>
          </w:tcPr>
          <w:p>
            <w:pPr>
              <w:jc w:val="left"/>
            </w:pPr>
            <w:r>
              <w:rPr>
                <w:rFonts w:ascii="Arial" w:cs="Arial" w:eastAsia="Arial" w:hAnsi="Arial"/>
                <w:b w:val="false"/>
                <w:bCs w:val="false"/>
                <w:sz w:val="16"/>
                <w:szCs w:val="16"/>
              </w:rPr>
              <w:t xml:space="preserve">6</w:t>
            </w:r>
          </w:p>
        </w:tc>
        <w:tc>
          <w:tcPr>
            <w:tcW w:type="dxa" w:w="2300"/>
            <w:tcBorders>
              <w:top w:val="single" w:color="BFBFBF" w:sz="4"/>
              <w:left w:val="single" w:color="BFBFBF" w:sz="4"/>
              <w:bottom w:val="single" w:color="BFBFBF" w:sz="4"/>
              <w:right w:val="single" w:color="BFBFBF" w:sz="4"/>
            </w:tcBorders>
            <w:shd w:fill="F5F7FA" w:color="auto" w:val="clear"/>
            <w:tcMar>
              <w:top w:type="dxa" w:w="60"/>
              <w:left w:type="dxa" w:w="90"/>
              <w:bottom w:type="dxa" w:w="60"/>
              <w:right w:type="dxa" w:w="90"/>
            </w:tcMar>
          </w:tcPr>
          <w:p>
            <w:pPr>
              <w:jc w:val="left"/>
            </w:pPr>
            <w:r>
              <w:rPr>
                <w:rFonts w:ascii="Arial" w:cs="Arial" w:eastAsia="Arial" w:hAnsi="Arial"/>
                <w:b w:val="false"/>
                <w:bCs w:val="false"/>
                <w:sz w:val="16"/>
                <w:szCs w:val="16"/>
              </w:rPr>
              <w:t xml:space="preserve">Time patterns are artificially uniform</w:t>
            </w:r>
          </w:p>
        </w:tc>
        <w:tc>
          <w:tcPr>
            <w:tcW w:type="dxa" w:w="3900"/>
            <w:tcBorders>
              <w:top w:val="single" w:color="BFBFBF" w:sz="4"/>
              <w:left w:val="single" w:color="BFBFBF" w:sz="4"/>
              <w:bottom w:val="single" w:color="BFBFBF" w:sz="4"/>
              <w:right w:val="single" w:color="BFBFBF" w:sz="4"/>
            </w:tcBorders>
            <w:shd w:fill="F5F7FA" w:color="auto" w:val="clear"/>
            <w:tcMar>
              <w:top w:type="dxa" w:w="60"/>
              <w:left w:type="dxa" w:w="90"/>
              <w:bottom w:type="dxa" w:w="60"/>
              <w:right w:type="dxa" w:w="90"/>
            </w:tcMar>
          </w:tcPr>
          <w:p>
            <w:pPr>
              <w:jc w:val="left"/>
            </w:pPr>
            <w:r>
              <w:rPr>
                <w:rFonts w:ascii="Arial" w:cs="Arial" w:eastAsia="Arial" w:hAnsi="Arial"/>
                <w:b w:val="false"/>
                <w:bCs w:val="false"/>
                <w:sz w:val="16"/>
                <w:szCs w:val="16"/>
              </w:rPr>
              <w:t xml:space="preserve">Exactly 500 transactions in every hour of the day</w:t>
            </w:r>
          </w:p>
        </w:tc>
        <w:tc>
          <w:tcPr>
            <w:tcW w:type="dxa" w:w="3018"/>
            <w:tcBorders>
              <w:top w:val="single" w:color="BFBFBF" w:sz="4"/>
              <w:left w:val="single" w:color="BFBFBF" w:sz="4"/>
              <w:bottom w:val="single" w:color="BFBFBF" w:sz="4"/>
              <w:right w:val="single" w:color="BFBFBF" w:sz="4"/>
            </w:tcBorders>
            <w:shd w:fill="F5F7FA" w:color="auto" w:val="clear"/>
            <w:tcMar>
              <w:top w:type="dxa" w:w="60"/>
              <w:left w:type="dxa" w:w="90"/>
              <w:bottom w:type="dxa" w:w="60"/>
              <w:right w:type="dxa" w:w="90"/>
            </w:tcMar>
          </w:tcPr>
          <w:p>
            <w:pPr>
              <w:jc w:val="left"/>
            </w:pPr>
            <w:r>
              <w:rPr>
                <w:rFonts w:ascii="Arial" w:cs="Arial" w:eastAsia="Arial" w:hAnsi="Arial"/>
                <w:b w:val="false"/>
                <w:bCs w:val="false"/>
                <w:sz w:val="16"/>
                <w:szCs w:val="16"/>
              </w:rPr>
              <w:t xml:space="preserve">Peak-hour analysis will not be informative. Note as a synthetic-data limitation</w:t>
            </w:r>
          </w:p>
        </w:tc>
      </w:tr>
      <w:tr>
        <w:trPr>
          <w:cantSplit/>
        </w:trPr>
        <w:tc>
          <w:tcPr>
            <w:tcW w:type="dxa" w:w="42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b w:val="false"/>
                <w:bCs w:val="false"/>
                <w:sz w:val="16"/>
                <w:szCs w:val="16"/>
              </w:rPr>
              <w:t xml:space="preserve">7</w:t>
            </w:r>
          </w:p>
        </w:tc>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b w:val="false"/>
                <w:bCs w:val="false"/>
                <w:sz w:val="16"/>
                <w:szCs w:val="16"/>
              </w:rPr>
              <w:t xml:space="preserve">Right-skewed Amount_NGN with large values</w:t>
            </w:r>
          </w:p>
        </w:tc>
        <w:tc>
          <w:tcPr>
            <w:tcW w:type="dxa" w:w="39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b w:val="false"/>
                <w:bCs w:val="false"/>
                <w:sz w:val="16"/>
                <w:szCs w:val="16"/>
              </w:rPr>
              <w:t xml:space="preserve">Median ₦10k, max ₦693k</w:t>
            </w:r>
          </w:p>
        </w:tc>
        <w:tc>
          <w:tcPr>
            <w:tcW w:type="dxa" w:w="3018"/>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b w:val="false"/>
                <w:bCs w:val="false"/>
                <w:sz w:val="16"/>
                <w:szCs w:val="16"/>
              </w:rPr>
              <w:t xml:space="preserve">Use medians and bands. Review outliers before modelling</w:t>
            </w:r>
          </w:p>
        </w:tc>
      </w:tr>
      <w:tr>
        <w:trPr>
          <w:cantSplit/>
        </w:trPr>
        <w:tc>
          <w:tcPr>
            <w:tcW w:type="dxa" w:w="420"/>
            <w:tcBorders>
              <w:top w:val="single" w:color="BFBFBF" w:sz="4"/>
              <w:left w:val="single" w:color="BFBFBF" w:sz="4"/>
              <w:bottom w:val="single" w:color="BFBFBF" w:sz="4"/>
              <w:right w:val="single" w:color="BFBFBF" w:sz="4"/>
            </w:tcBorders>
            <w:shd w:fill="F5F7FA" w:color="auto" w:val="clear"/>
            <w:tcMar>
              <w:top w:type="dxa" w:w="60"/>
              <w:left w:type="dxa" w:w="90"/>
              <w:bottom w:type="dxa" w:w="60"/>
              <w:right w:type="dxa" w:w="90"/>
            </w:tcMar>
          </w:tcPr>
          <w:p>
            <w:pPr>
              <w:jc w:val="left"/>
            </w:pPr>
            <w:r>
              <w:rPr>
                <w:rFonts w:ascii="Arial" w:cs="Arial" w:eastAsia="Arial" w:hAnsi="Arial"/>
                <w:b w:val="false"/>
                <w:bCs w:val="false"/>
                <w:sz w:val="16"/>
                <w:szCs w:val="16"/>
              </w:rPr>
              <w:t xml:space="preserve">8</w:t>
            </w:r>
          </w:p>
        </w:tc>
        <w:tc>
          <w:tcPr>
            <w:tcW w:type="dxa" w:w="2300"/>
            <w:tcBorders>
              <w:top w:val="single" w:color="BFBFBF" w:sz="4"/>
              <w:left w:val="single" w:color="BFBFBF" w:sz="4"/>
              <w:bottom w:val="single" w:color="BFBFBF" w:sz="4"/>
              <w:right w:val="single" w:color="BFBFBF" w:sz="4"/>
            </w:tcBorders>
            <w:shd w:fill="F5F7FA" w:color="auto" w:val="clear"/>
            <w:tcMar>
              <w:top w:type="dxa" w:w="60"/>
              <w:left w:type="dxa" w:w="90"/>
              <w:bottom w:type="dxa" w:w="60"/>
              <w:right w:type="dxa" w:w="90"/>
            </w:tcMar>
          </w:tcPr>
          <w:p>
            <w:pPr>
              <w:jc w:val="left"/>
            </w:pPr>
            <w:r>
              <w:rPr>
                <w:rFonts w:ascii="Arial" w:cs="Arial" w:eastAsia="Arial" w:hAnsi="Arial"/>
                <w:b w:val="false"/>
                <w:bCs w:val="false"/>
                <w:sz w:val="16"/>
                <w:szCs w:val="16"/>
              </w:rPr>
              <w:t xml:space="preserve">No debit/credit direction</w:t>
            </w:r>
          </w:p>
        </w:tc>
        <w:tc>
          <w:tcPr>
            <w:tcW w:type="dxa" w:w="3900"/>
            <w:tcBorders>
              <w:top w:val="single" w:color="BFBFBF" w:sz="4"/>
              <w:left w:val="single" w:color="BFBFBF" w:sz="4"/>
              <w:bottom w:val="single" w:color="BFBFBF" w:sz="4"/>
              <w:right w:val="single" w:color="BFBFBF" w:sz="4"/>
            </w:tcBorders>
            <w:shd w:fill="F5F7FA" w:color="auto" w:val="clear"/>
            <w:tcMar>
              <w:top w:type="dxa" w:w="60"/>
              <w:left w:type="dxa" w:w="90"/>
              <w:bottom w:type="dxa" w:w="60"/>
              <w:right w:type="dxa" w:w="90"/>
            </w:tcMar>
          </w:tcPr>
          <w:p>
            <w:pPr>
              <w:jc w:val="left"/>
            </w:pPr>
            <w:r>
              <w:rPr>
                <w:rFonts w:ascii="Arial" w:cs="Arial" w:eastAsia="Arial" w:hAnsi="Arial"/>
                <w:b w:val="false"/>
                <w:bCs w:val="false"/>
                <w:sz w:val="16"/>
                <w:szCs w:val="16"/>
              </w:rPr>
              <w:t xml:space="preserve">Deposits and Transfers are all positive amounts</w:t>
            </w:r>
          </w:p>
        </w:tc>
        <w:tc>
          <w:tcPr>
            <w:tcW w:type="dxa" w:w="3018"/>
            <w:tcBorders>
              <w:top w:val="single" w:color="BFBFBF" w:sz="4"/>
              <w:left w:val="single" w:color="BFBFBF" w:sz="4"/>
              <w:bottom w:val="single" w:color="BFBFBF" w:sz="4"/>
              <w:right w:val="single" w:color="BFBFBF" w:sz="4"/>
            </w:tcBorders>
            <w:shd w:fill="F5F7FA" w:color="auto" w:val="clear"/>
            <w:tcMar>
              <w:top w:type="dxa" w:w="60"/>
              <w:left w:type="dxa" w:w="90"/>
              <w:bottom w:type="dxa" w:w="60"/>
              <w:right w:type="dxa" w:w="90"/>
            </w:tcMar>
          </w:tcPr>
          <w:p>
            <w:pPr>
              <w:jc w:val="left"/>
            </w:pPr>
            <w:r>
              <w:rPr>
                <w:rFonts w:ascii="Arial" w:cs="Arial" w:eastAsia="Arial" w:hAnsi="Arial"/>
                <w:b w:val="false"/>
                <w:bCs w:val="false"/>
                <w:sz w:val="16"/>
                <w:szCs w:val="16"/>
              </w:rPr>
              <w:t xml:space="preserve">Value is 'gross transaction value', not net flow</w:t>
            </w:r>
          </w:p>
        </w:tc>
      </w:tr>
      <w:tr>
        <w:trPr>
          <w:cantSplit/>
        </w:trPr>
        <w:tc>
          <w:tcPr>
            <w:tcW w:type="dxa" w:w="42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b w:val="false"/>
                <w:bCs w:val="false"/>
                <w:sz w:val="16"/>
                <w:szCs w:val="16"/>
              </w:rPr>
              <w:t xml:space="preserve">9</w:t>
            </w:r>
          </w:p>
        </w:tc>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b w:val="false"/>
                <w:bCs w:val="false"/>
                <w:sz w:val="16"/>
                <w:szCs w:val="16"/>
              </w:rPr>
              <w:t xml:space="preserve">Customer segment does not match age or income</w:t>
            </w:r>
          </w:p>
        </w:tc>
        <w:tc>
          <w:tcPr>
            <w:tcW w:type="dxa" w:w="39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b w:val="false"/>
                <w:bCs w:val="false"/>
                <w:sz w:val="16"/>
                <w:szCs w:val="16"/>
              </w:rPr>
              <w:t xml:space="preserve">Student segment ranges from age 18 to 65 (average 40); 24 Student customers earn 1m+</w:t>
            </w:r>
          </w:p>
        </w:tc>
        <w:tc>
          <w:tcPr>
            <w:tcW w:type="dxa" w:w="3018"/>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b w:val="false"/>
                <w:bCs w:val="false"/>
                <w:sz w:val="16"/>
                <w:szCs w:val="16"/>
              </w:rPr>
              <w:t xml:space="preserve">Segment labels are synthetic. Interpret with care</w:t>
            </w:r>
          </w:p>
        </w:tc>
      </w:tr>
      <w:tr>
        <w:trPr>
          <w:cantSplit/>
        </w:trPr>
        <w:tc>
          <w:tcPr>
            <w:tcW w:type="dxa" w:w="420"/>
            <w:tcBorders>
              <w:top w:val="single" w:color="BFBFBF" w:sz="4"/>
              <w:left w:val="single" w:color="BFBFBF" w:sz="4"/>
              <w:bottom w:val="single" w:color="BFBFBF" w:sz="4"/>
              <w:right w:val="single" w:color="BFBFBF" w:sz="4"/>
            </w:tcBorders>
            <w:shd w:fill="F5F7FA" w:color="auto" w:val="clear"/>
            <w:tcMar>
              <w:top w:type="dxa" w:w="60"/>
              <w:left w:type="dxa" w:w="90"/>
              <w:bottom w:type="dxa" w:w="60"/>
              <w:right w:type="dxa" w:w="90"/>
            </w:tcMar>
          </w:tcPr>
          <w:p>
            <w:pPr>
              <w:jc w:val="left"/>
            </w:pPr>
            <w:r>
              <w:rPr>
                <w:rFonts w:ascii="Arial" w:cs="Arial" w:eastAsia="Arial" w:hAnsi="Arial"/>
                <w:b w:val="false"/>
                <w:bCs w:val="false"/>
                <w:sz w:val="16"/>
                <w:szCs w:val="16"/>
              </w:rPr>
              <w:t xml:space="preserve">10</w:t>
            </w:r>
          </w:p>
        </w:tc>
        <w:tc>
          <w:tcPr>
            <w:tcW w:type="dxa" w:w="2300"/>
            <w:tcBorders>
              <w:top w:val="single" w:color="BFBFBF" w:sz="4"/>
              <w:left w:val="single" w:color="BFBFBF" w:sz="4"/>
              <w:bottom w:val="single" w:color="BFBFBF" w:sz="4"/>
              <w:right w:val="single" w:color="BFBFBF" w:sz="4"/>
            </w:tcBorders>
            <w:shd w:fill="F5F7FA" w:color="auto" w:val="clear"/>
            <w:tcMar>
              <w:top w:type="dxa" w:w="60"/>
              <w:left w:type="dxa" w:w="90"/>
              <w:bottom w:type="dxa" w:w="60"/>
              <w:right w:type="dxa" w:w="90"/>
            </w:tcMar>
          </w:tcPr>
          <w:p>
            <w:pPr>
              <w:jc w:val="left"/>
            </w:pPr>
            <w:r>
              <w:rPr>
                <w:rFonts w:ascii="Arial" w:cs="Arial" w:eastAsia="Arial" w:hAnsi="Arial"/>
                <w:b w:val="false"/>
                <w:bCs w:val="false"/>
                <w:sz w:val="16"/>
                <w:szCs w:val="16"/>
              </w:rPr>
              <w:t xml:space="preserve">Overlapping 'Premium' labels</w:t>
            </w:r>
          </w:p>
        </w:tc>
        <w:tc>
          <w:tcPr>
            <w:tcW w:type="dxa" w:w="3900"/>
            <w:tcBorders>
              <w:top w:val="single" w:color="BFBFBF" w:sz="4"/>
              <w:left w:val="single" w:color="BFBFBF" w:sz="4"/>
              <w:bottom w:val="single" w:color="BFBFBF" w:sz="4"/>
              <w:right w:val="single" w:color="BFBFBF" w:sz="4"/>
            </w:tcBorders>
            <w:shd w:fill="F5F7FA" w:color="auto" w:val="clear"/>
            <w:tcMar>
              <w:top w:type="dxa" w:w="60"/>
              <w:left w:type="dxa" w:w="90"/>
              <w:bottom w:type="dxa" w:w="60"/>
              <w:right w:type="dxa" w:w="90"/>
            </w:tcMar>
          </w:tcPr>
          <w:p>
            <w:pPr>
              <w:jc w:val="left"/>
            </w:pPr>
            <w:r>
              <w:rPr>
                <w:rFonts w:ascii="Arial" w:cs="Arial" w:eastAsia="Arial" w:hAnsi="Arial"/>
                <w:b w:val="false"/>
                <w:bCs w:val="false"/>
                <w:sz w:val="16"/>
                <w:szCs w:val="16"/>
              </w:rPr>
              <w:t xml:space="preserve">Premium is both a Customer_Segment and an Account_Type; only 47 of 295 Premium-segment customers hold a Premium account</w:t>
            </w:r>
          </w:p>
        </w:tc>
        <w:tc>
          <w:tcPr>
            <w:tcW w:type="dxa" w:w="3018"/>
            <w:tcBorders>
              <w:top w:val="single" w:color="BFBFBF" w:sz="4"/>
              <w:left w:val="single" w:color="BFBFBF" w:sz="4"/>
              <w:bottom w:val="single" w:color="BFBFBF" w:sz="4"/>
              <w:right w:val="single" w:color="BFBFBF" w:sz="4"/>
            </w:tcBorders>
            <w:shd w:fill="F5F7FA" w:color="auto" w:val="clear"/>
            <w:tcMar>
              <w:top w:type="dxa" w:w="60"/>
              <w:left w:type="dxa" w:w="90"/>
              <w:bottom w:type="dxa" w:w="60"/>
              <w:right w:type="dxa" w:w="90"/>
            </w:tcMar>
          </w:tcPr>
          <w:p>
            <w:pPr>
              <w:jc w:val="left"/>
            </w:pPr>
            <w:r>
              <w:rPr>
                <w:rFonts w:ascii="Arial" w:cs="Arial" w:eastAsia="Arial" w:hAnsi="Arial"/>
                <w:b w:val="false"/>
                <w:bCs w:val="false"/>
                <w:sz w:val="16"/>
                <w:szCs w:val="16"/>
              </w:rPr>
              <w:t xml:space="preserve">Document clearly to avoid confusion in reports</w:t>
            </w:r>
          </w:p>
        </w:tc>
      </w:tr>
      <w:tr>
        <w:trPr>
          <w:cantSplit/>
        </w:trPr>
        <w:tc>
          <w:tcPr>
            <w:tcW w:type="dxa" w:w="42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b w:val="false"/>
                <w:bCs w:val="false"/>
                <w:sz w:val="16"/>
                <w:szCs w:val="16"/>
              </w:rPr>
              <w:t xml:space="preserve">11</w:t>
            </w:r>
          </w:p>
        </w:tc>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b w:val="false"/>
                <w:bCs w:val="false"/>
                <w:sz w:val="16"/>
                <w:szCs w:val="16"/>
              </w:rPr>
              <w:t xml:space="preserve">Dormant and Restricted accounts still transact</w:t>
            </w:r>
          </w:p>
        </w:tc>
        <w:tc>
          <w:tcPr>
            <w:tcW w:type="dxa" w:w="39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b w:val="false"/>
                <w:bCs w:val="false"/>
                <w:sz w:val="16"/>
                <w:szCs w:val="16"/>
              </w:rPr>
              <w:t xml:space="preserve">1,090 transactions (9.1%) from 133 customers, including 989 successful ones</w:t>
            </w:r>
          </w:p>
        </w:tc>
        <w:tc>
          <w:tcPr>
            <w:tcW w:type="dxa" w:w="3018"/>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b w:val="false"/>
                <w:bCs w:val="false"/>
                <w:sz w:val="16"/>
                <w:szCs w:val="16"/>
              </w:rPr>
              <w:t xml:space="preserve">Possible control gap or data inconsistency. Investigate in Week 2</w:t>
            </w:r>
          </w:p>
        </w:tc>
      </w:tr>
      <w:tr>
        <w:trPr>
          <w:cantSplit/>
        </w:trPr>
        <w:tc>
          <w:tcPr>
            <w:tcW w:type="dxa" w:w="420"/>
            <w:tcBorders>
              <w:top w:val="single" w:color="BFBFBF" w:sz="4"/>
              <w:left w:val="single" w:color="BFBFBF" w:sz="4"/>
              <w:bottom w:val="single" w:color="BFBFBF" w:sz="4"/>
              <w:right w:val="single" w:color="BFBFBF" w:sz="4"/>
            </w:tcBorders>
            <w:shd w:fill="F5F7FA" w:color="auto" w:val="clear"/>
            <w:tcMar>
              <w:top w:type="dxa" w:w="60"/>
              <w:left w:type="dxa" w:w="90"/>
              <w:bottom w:type="dxa" w:w="60"/>
              <w:right w:type="dxa" w:w="90"/>
            </w:tcMar>
          </w:tcPr>
          <w:p>
            <w:pPr>
              <w:jc w:val="left"/>
            </w:pPr>
            <w:r>
              <w:rPr>
                <w:rFonts w:ascii="Arial" w:cs="Arial" w:eastAsia="Arial" w:hAnsi="Arial"/>
                <w:b w:val="false"/>
                <w:bCs w:val="false"/>
                <w:sz w:val="16"/>
                <w:szCs w:val="16"/>
              </w:rPr>
              <w:t xml:space="preserve">12</w:t>
            </w:r>
          </w:p>
        </w:tc>
        <w:tc>
          <w:tcPr>
            <w:tcW w:type="dxa" w:w="2300"/>
            <w:tcBorders>
              <w:top w:val="single" w:color="BFBFBF" w:sz="4"/>
              <w:left w:val="single" w:color="BFBFBF" w:sz="4"/>
              <w:bottom w:val="single" w:color="BFBFBF" w:sz="4"/>
              <w:right w:val="single" w:color="BFBFBF" w:sz="4"/>
            </w:tcBorders>
            <w:shd w:fill="F5F7FA" w:color="auto" w:val="clear"/>
            <w:tcMar>
              <w:top w:type="dxa" w:w="60"/>
              <w:left w:type="dxa" w:w="90"/>
              <w:bottom w:type="dxa" w:w="60"/>
              <w:right w:type="dxa" w:w="90"/>
            </w:tcMar>
          </w:tcPr>
          <w:p>
            <w:pPr>
              <w:jc w:val="left"/>
            </w:pPr>
            <w:r>
              <w:rPr>
                <w:rFonts w:ascii="Arial" w:cs="Arial" w:eastAsia="Arial" w:hAnsi="Arial"/>
                <w:b w:val="false"/>
                <w:bCs w:val="false"/>
                <w:sz w:val="16"/>
                <w:szCs w:val="16"/>
              </w:rPr>
              <w:t xml:space="preserve">Personal data present</w:t>
            </w:r>
          </w:p>
        </w:tc>
        <w:tc>
          <w:tcPr>
            <w:tcW w:type="dxa" w:w="3900"/>
            <w:tcBorders>
              <w:top w:val="single" w:color="BFBFBF" w:sz="4"/>
              <w:left w:val="single" w:color="BFBFBF" w:sz="4"/>
              <w:bottom w:val="single" w:color="BFBFBF" w:sz="4"/>
              <w:right w:val="single" w:color="BFBFBF" w:sz="4"/>
            </w:tcBorders>
            <w:shd w:fill="F5F7FA" w:color="auto" w:val="clear"/>
            <w:tcMar>
              <w:top w:type="dxa" w:w="60"/>
              <w:left w:type="dxa" w:w="90"/>
              <w:bottom w:type="dxa" w:w="60"/>
              <w:right w:type="dxa" w:w="90"/>
            </w:tcMar>
          </w:tcPr>
          <w:p>
            <w:pPr>
              <w:jc w:val="left"/>
            </w:pPr>
            <w:r>
              <w:rPr>
                <w:rFonts w:ascii="Arial" w:cs="Arial" w:eastAsia="Arial" w:hAnsi="Arial"/>
                <w:b w:val="false"/>
                <w:bCs w:val="false"/>
                <w:sz w:val="16"/>
                <w:szCs w:val="16"/>
              </w:rPr>
              <w:t xml:space="preserve">Customer_Name column</w:t>
            </w:r>
          </w:p>
        </w:tc>
        <w:tc>
          <w:tcPr>
            <w:tcW w:type="dxa" w:w="3018"/>
            <w:tcBorders>
              <w:top w:val="single" w:color="BFBFBF" w:sz="4"/>
              <w:left w:val="single" w:color="BFBFBF" w:sz="4"/>
              <w:bottom w:val="single" w:color="BFBFBF" w:sz="4"/>
              <w:right w:val="single" w:color="BFBFBF" w:sz="4"/>
            </w:tcBorders>
            <w:shd w:fill="F5F7FA" w:color="auto" w:val="clear"/>
            <w:tcMar>
              <w:top w:type="dxa" w:w="60"/>
              <w:left w:type="dxa" w:w="90"/>
              <w:bottom w:type="dxa" w:w="60"/>
              <w:right w:type="dxa" w:w="90"/>
            </w:tcMar>
          </w:tcPr>
          <w:p>
            <w:pPr>
              <w:jc w:val="left"/>
            </w:pPr>
            <w:r>
              <w:rPr>
                <w:rFonts w:ascii="Arial" w:cs="Arial" w:eastAsia="Arial" w:hAnsi="Arial"/>
                <w:b w:val="false"/>
                <w:bCs w:val="false"/>
                <w:sz w:val="16"/>
                <w:szCs w:val="16"/>
              </w:rPr>
              <w:t xml:space="preserve">Exclude from dashboards and shared outputs</w:t>
            </w:r>
          </w:p>
        </w:tc>
      </w:tr>
      <w:tr>
        <w:trPr>
          <w:cantSplit/>
        </w:trPr>
        <w:tc>
          <w:tcPr>
            <w:tcW w:type="dxa" w:w="42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b w:val="false"/>
                <w:bCs w:val="false"/>
                <w:sz w:val="16"/>
                <w:szCs w:val="16"/>
              </w:rPr>
              <w:t xml:space="preserve">13</w:t>
            </w:r>
          </w:p>
        </w:tc>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b w:val="false"/>
                <w:bCs w:val="false"/>
                <w:sz w:val="16"/>
                <w:szCs w:val="16"/>
              </w:rPr>
              <w:t xml:space="preserve">Risk_Review_Flag is a synthetic label</w:t>
            </w:r>
          </w:p>
        </w:tc>
        <w:tc>
          <w:tcPr>
            <w:tcW w:type="dxa" w:w="39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b w:val="false"/>
                <w:bCs w:val="false"/>
                <w:sz w:val="16"/>
                <w:szCs w:val="16"/>
              </w:rPr>
              <w:t xml:space="preserve">19.6% flagged; 78.6% of customers have at least one flagged transaction</w:t>
            </w:r>
          </w:p>
        </w:tc>
        <w:tc>
          <w:tcPr>
            <w:tcW w:type="dxa" w:w="3018"/>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b w:val="false"/>
                <w:bCs w:val="false"/>
                <w:sz w:val="16"/>
                <w:szCs w:val="16"/>
              </w:rPr>
              <w:t xml:space="preserve">Not a fraud determination. Present as 'review flag' only</w:t>
            </w:r>
          </w:p>
        </w:tc>
      </w:tr>
    </w:tbl>
    <w:p>
      <w:pPr>
        <w:spacing w:after="120"/>
      </w:pPr>
    </w:p>
    <w:p>
      <w:pPr>
        <w:pStyle w:val="Heading1"/>
      </w:pPr>
      <w:r>
        <w:rPr>
          <w:rFonts w:ascii="Arial" w:cs="Arial" w:eastAsia="Arial" w:hAnsi="Arial"/>
        </w:rPr>
        <w:t xml:space="preserve">4. Analytical Questions and Initial Results</w:t>
      </w:r>
    </w:p>
    <w:p>
      <w:pPr>
        <w:spacing w:after="120" w:before="0" w:line="280"/>
      </w:pPr>
      <w:r>
        <w:rPr>
          <w:rFonts w:ascii="Arial" w:cs="Arial" w:eastAsia="Arial" w:hAnsi="Arial"/>
          <w:sz w:val="21"/>
          <w:szCs w:val="21"/>
        </w:rPr>
        <w:t xml:space="preserve">Seven questions covering customer behaviour, transaction activity, value, channels, status and risk. Each was answered with SQL on the raw data (queries in Appendix A). Results are initial and uncleaned, as the brief asks.</w:t>
      </w:r>
    </w:p>
    <w:p>
      <w:pPr>
        <w:pStyle w:val="Heading2"/>
      </w:pPr>
      <w:r>
        <w:rPr>
          <w:rFonts w:ascii="Arial" w:cs="Arial" w:eastAsia="Arial" w:hAnsi="Arial"/>
        </w:rPr>
        <w:t xml:space="preserve">4.0 Headline findings</w:t>
      </w:r>
    </w:p>
    <w:p>
      <w:pPr>
        <w:pStyle w:val="ListParagraph"/>
        <w:numPr>
          <w:ilvl w:val="0"/>
          <w:numId w:val="2"/>
        </w:numPr>
        <w:spacing w:after="60" w:line="270"/>
      </w:pPr>
      <w:r>
        <w:rPr>
          <w:rFonts w:ascii="Arial" w:cs="Arial" w:eastAsia="Arial" w:hAnsi="Arial"/>
          <w:sz w:val="21"/>
          <w:szCs w:val="21"/>
        </w:rPr>
        <w:t xml:space="preserve"/>
      </w:r>
      <w:r>
        <w:rPr>
          <w:rFonts w:ascii="Arial" w:cs="Arial" w:eastAsia="Arial" w:hAnsi="Arial"/>
          <w:b/>
          <w:bCs/>
          <w:sz w:val="21"/>
          <w:szCs w:val="21"/>
        </w:rPr>
        <w:t xml:space="preserve">Overall:</w:t>
      </w:r>
      <w:r>
        <w:rPr>
          <w:rFonts w:ascii="Arial" w:cs="Arial" w:eastAsia="Arial" w:hAnsi="Arial"/>
          <w:sz w:val="21"/>
          <w:szCs w:val="21"/>
        </w:rPr>
        <w:t xml:space="preserve"> 12,000 transactions worth ₦560.5M over Q1 2026 from all 1,500 customers (8.0 per customer). Average ₦46,706, median ₦10,306.</w:t>
      </w:r>
    </w:p>
    <w:p>
      <w:pPr>
        <w:pStyle w:val="ListParagraph"/>
        <w:numPr>
          <w:ilvl w:val="0"/>
          <w:numId w:val="2"/>
        </w:numPr>
        <w:spacing w:after="60" w:line="270"/>
      </w:pPr>
      <w:r>
        <w:rPr>
          <w:rFonts w:ascii="Arial" w:cs="Arial" w:eastAsia="Arial" w:hAnsi="Arial"/>
          <w:sz w:val="21"/>
          <w:szCs w:val="21"/>
        </w:rPr>
        <w:t xml:space="preserve"/>
      </w:r>
      <w:r>
        <w:rPr>
          <w:rFonts w:ascii="Arial" w:cs="Arial" w:eastAsia="Arial" w:hAnsi="Arial"/>
          <w:b/>
          <w:bCs/>
          <w:sz w:val="21"/>
          <w:szCs w:val="21"/>
        </w:rPr>
        <w:t xml:space="preserve">Value is concentrated in Transfers and Deposits:</w:t>
      </w:r>
      <w:r>
        <w:rPr>
          <w:rFonts w:ascii="Arial" w:cs="Arial" w:eastAsia="Arial" w:hAnsi="Arial"/>
          <w:sz w:val="21"/>
          <w:szCs w:val="21"/>
        </w:rPr>
        <w:t xml:space="preserve"> Transfers are 29.6% of transactions but 42.4% of value; Deposits are 11.1% of transactions but 23.4% of value.</w:t>
      </w:r>
    </w:p>
    <w:p>
      <w:pPr>
        <w:pStyle w:val="ListParagraph"/>
        <w:numPr>
          <w:ilvl w:val="0"/>
          <w:numId w:val="2"/>
        </w:numPr>
        <w:spacing w:after="60" w:line="270"/>
      </w:pPr>
      <w:r>
        <w:rPr>
          <w:rFonts w:ascii="Arial" w:cs="Arial" w:eastAsia="Arial" w:hAnsi="Arial"/>
          <w:sz w:val="21"/>
          <w:szCs w:val="21"/>
        </w:rPr>
        <w:t xml:space="preserve"/>
      </w:r>
      <w:r>
        <w:rPr>
          <w:rFonts w:ascii="Arial" w:cs="Arial" w:eastAsia="Arial" w:hAnsi="Arial"/>
          <w:b/>
          <w:bCs/>
          <w:sz w:val="21"/>
          <w:szCs w:val="21"/>
        </w:rPr>
        <w:t xml:space="preserve">Digital channels carry 65.5% of activity:</w:t>
      </w:r>
      <w:r>
        <w:rPr>
          <w:rFonts w:ascii="Arial" w:cs="Arial" w:eastAsia="Arial" w:hAnsi="Arial"/>
          <w:sz w:val="21"/>
          <w:szCs w:val="21"/>
        </w:rPr>
        <w:t xml:space="preserve"> Mobile App alone is 42.5%.</w:t>
      </w:r>
    </w:p>
    <w:p>
      <w:pPr>
        <w:pStyle w:val="ListParagraph"/>
        <w:numPr>
          <w:ilvl w:val="0"/>
          <w:numId w:val="2"/>
        </w:numPr>
        <w:spacing w:after="60" w:line="270"/>
      </w:pPr>
      <w:r>
        <w:rPr>
          <w:rFonts w:ascii="Arial" w:cs="Arial" w:eastAsia="Arial" w:hAnsi="Arial"/>
          <w:sz w:val="21"/>
          <w:szCs w:val="21"/>
        </w:rPr>
        <w:t xml:space="preserve"/>
      </w:r>
      <w:r>
        <w:rPr>
          <w:rFonts w:ascii="Arial" w:cs="Arial" w:eastAsia="Arial" w:hAnsi="Arial"/>
          <w:b/>
          <w:bCs/>
          <w:sz w:val="21"/>
          <w:szCs w:val="21"/>
        </w:rPr>
        <w:t xml:space="preserve">Reliability:</w:t>
      </w:r>
      <w:r>
        <w:rPr>
          <w:rFonts w:ascii="Arial" w:cs="Arial" w:eastAsia="Arial" w:hAnsi="Arial"/>
          <w:sz w:val="21"/>
          <w:szCs w:val="21"/>
        </w:rPr>
        <w:t xml:space="preserve"> 90.5% successful, 5.3% failed, 2.7% reversed, 1.6% pending. Differences between channels are small (failure 4.2% on ATM to 5.8% on Mobile App).</w:t>
      </w:r>
    </w:p>
    <w:p>
      <w:pPr>
        <w:pStyle w:val="ListParagraph"/>
        <w:numPr>
          <w:ilvl w:val="0"/>
          <w:numId w:val="2"/>
        </w:numPr>
        <w:spacing w:after="60" w:line="270"/>
      </w:pPr>
      <w:r>
        <w:rPr>
          <w:rFonts w:ascii="Arial" w:cs="Arial" w:eastAsia="Arial" w:hAnsi="Arial"/>
          <w:sz w:val="21"/>
          <w:szCs w:val="21"/>
        </w:rPr>
        <w:t xml:space="preserve"/>
      </w:r>
      <w:r>
        <w:rPr>
          <w:rFonts w:ascii="Arial" w:cs="Arial" w:eastAsia="Arial" w:hAnsi="Arial"/>
          <w:b/>
          <w:bCs/>
          <w:sz w:val="21"/>
          <w:szCs w:val="21"/>
        </w:rPr>
        <w:t xml:space="preserve">Risk review flags:</w:t>
      </w:r>
      <w:r>
        <w:rPr>
          <w:rFonts w:ascii="Arial" w:cs="Arial" w:eastAsia="Arial" w:hAnsi="Arial"/>
          <w:sz w:val="21"/>
          <w:szCs w:val="21"/>
        </w:rPr>
        <w:t xml:space="preserve"> highest for Transfers (28.5%), Cash Withdrawals (25.3%), international transactions (36.9%) and amounts of ₦200k and above (40.5%).</w:t>
      </w:r>
    </w:p>
    <w:p>
      <w:pPr>
        <w:pStyle w:val="ListParagraph"/>
        <w:numPr>
          <w:ilvl w:val="0"/>
          <w:numId w:val="2"/>
        </w:numPr>
        <w:spacing w:after="60" w:line="270"/>
      </w:pPr>
      <w:r>
        <w:rPr>
          <w:rFonts w:ascii="Arial" w:cs="Arial" w:eastAsia="Arial" w:hAnsi="Arial"/>
          <w:sz w:val="21"/>
          <w:szCs w:val="21"/>
        </w:rPr>
        <w:t xml:space="preserve"/>
      </w:r>
      <w:r>
        <w:rPr>
          <w:rFonts w:ascii="Arial" w:cs="Arial" w:eastAsia="Arial" w:hAnsi="Arial"/>
          <w:b/>
          <w:bCs/>
          <w:sz w:val="21"/>
          <w:szCs w:val="21"/>
        </w:rPr>
        <w:t xml:space="preserve">Engagement score shows no clear link to activity:</w:t>
      </w:r>
      <w:r>
        <w:rPr>
          <w:rFonts w:ascii="Arial" w:cs="Arial" w:eastAsia="Arial" w:hAnsi="Arial"/>
          <w:sz w:val="21"/>
          <w:szCs w:val="21"/>
        </w:rPr>
        <w:t xml:space="preserve"> low, medium and high engagement customers average 7.8, 8.0 and 8.1 transactions.</w:t>
      </w:r>
    </w:p>
    <w:p>
      <w:pPr>
        <w:pStyle w:val="ListParagraph"/>
        <w:numPr>
          <w:ilvl w:val="0"/>
          <w:numId w:val="2"/>
        </w:numPr>
        <w:spacing w:after="60" w:line="270"/>
      </w:pPr>
      <w:r>
        <w:rPr>
          <w:rFonts w:ascii="Arial" w:cs="Arial" w:eastAsia="Arial" w:hAnsi="Arial"/>
          <w:sz w:val="21"/>
          <w:szCs w:val="21"/>
        </w:rPr>
        <w:t xml:space="preserve"/>
      </w:r>
      <w:r>
        <w:rPr>
          <w:rFonts w:ascii="Arial" w:cs="Arial" w:eastAsia="Arial" w:hAnsi="Arial"/>
          <w:b/>
          <w:bCs/>
          <w:sz w:val="21"/>
          <w:szCs w:val="21"/>
        </w:rPr>
        <w:t xml:space="preserve">Non-active accounts transact:</w:t>
      </w:r>
      <w:r>
        <w:rPr>
          <w:rFonts w:ascii="Arial" w:cs="Arial" w:eastAsia="Arial" w:hAnsi="Arial"/>
          <w:sz w:val="21"/>
          <w:szCs w:val="21"/>
        </w:rPr>
        <w:t xml:space="preserve"> 9.1% of transactions come from Dormant or Restricted accounts.</w:t>
      </w:r>
    </w:p>
    <w:p>
      <w:pPr>
        <w:pStyle w:val="ListParagraph"/>
        <w:numPr>
          <w:ilvl w:val="0"/>
          <w:numId w:val="2"/>
        </w:numPr>
        <w:spacing w:after="60" w:line="270"/>
      </w:pPr>
      <w:r>
        <w:rPr>
          <w:rFonts w:ascii="Arial" w:cs="Arial" w:eastAsia="Arial" w:hAnsi="Arial"/>
          <w:sz w:val="21"/>
          <w:szCs w:val="21"/>
        </w:rPr>
        <w:t xml:space="preserve"/>
      </w:r>
      <w:r>
        <w:rPr>
          <w:rFonts w:ascii="Arial" w:cs="Arial" w:eastAsia="Arial" w:hAnsi="Arial"/>
          <w:b/>
          <w:bCs/>
          <w:sz w:val="21"/>
          <w:szCs w:val="21"/>
        </w:rPr>
        <w:t xml:space="preserve">Monthly volume per day is flat</w:t>
      </w:r>
      <w:r>
        <w:rPr>
          <w:rFonts w:ascii="Arial" w:cs="Arial" w:eastAsia="Arial" w:hAnsi="Arial"/>
          <w:sz w:val="21"/>
          <w:szCs w:val="21"/>
        </w:rPr>
        <w:t xml:space="preserve"> (about 133 transactions a day), and value per day rose about 4% from January to March.</w:t>
      </w:r>
    </w:p>
    <w:p>
      <w:pPr>
        <w:pStyle w:val="Heading2"/>
      </w:pPr>
      <w:r>
        <w:rPr>
          <w:rFonts w:ascii="Arial" w:cs="Arial" w:eastAsia="Arial" w:hAnsi="Arial"/>
        </w:rPr>
        <w:t xml:space="preserve">Q1. Which customer segments, cities and income bands generate the most transaction value?</w:t>
      </w:r>
    </w:p>
    <w:p>
      <w:pPr>
        <w:spacing w:after="120" w:before="0" w:line="280"/>
      </w:pPr>
      <w:r>
        <w:rPr>
          <w:rFonts w:ascii="Arial" w:cs="Arial" w:eastAsia="Arial" w:hAnsi="Arial"/>
          <w:sz w:val="21"/>
          <w:szCs w:val="21"/>
        </w:rPr>
        <w:t xml:space="preserve"/>
      </w:r>
      <w:r>
        <w:rPr>
          <w:rFonts w:ascii="Arial" w:cs="Arial" w:eastAsia="Arial" w:hAnsi="Arial"/>
          <w:b/>
          <w:bCs/>
          <w:sz w:val="21"/>
          <w:szCs w:val="21"/>
        </w:rPr>
        <w:t xml:space="preserve">Why it matters:</w:t>
      </w:r>
      <w:r>
        <w:rPr>
          <w:rFonts w:ascii="Arial" w:cs="Arial" w:eastAsia="Arial" w:hAnsi="Arial"/>
          <w:sz w:val="21"/>
          <w:szCs w:val="21"/>
        </w:rPr>
        <w:t xml:space="preserve"> guides targeting, retention and channel investment.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1700"/>
        <w:gridCol w:w="1900"/>
        <w:gridCol w:w="1900"/>
        <w:gridCol w:w="1938"/>
      </w:tblGrid>
      <w:tr>
        <w:trPr>
          <w:tblHeader/>
        </w:trPr>
        <w:tc>
          <w:tcPr>
            <w:tcW w:type="dxa" w:w="22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jc w:val="left"/>
            </w:pPr>
            <w:r>
              <w:rPr>
                <w:rFonts w:ascii="Arial" w:cs="Arial" w:eastAsia="Arial" w:hAnsi="Arial"/>
                <w:b/>
                <w:bCs/>
                <w:color w:val="FFFFFF"/>
                <w:sz w:val="18"/>
                <w:szCs w:val="18"/>
              </w:rPr>
              <w:t xml:space="preserve">Segment</w:t>
            </w:r>
          </w:p>
        </w:tc>
        <w:tc>
          <w:tcPr>
            <w:tcW w:type="dxa" w:w="17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jc w:val="left"/>
            </w:pPr>
            <w:r>
              <w:rPr>
                <w:rFonts w:ascii="Arial" w:cs="Arial" w:eastAsia="Arial" w:hAnsi="Arial"/>
                <w:b/>
                <w:bCs/>
                <w:color w:val="FFFFFF"/>
                <w:sz w:val="18"/>
                <w:szCs w:val="18"/>
              </w:rPr>
              <w:t xml:space="preserve">Transactions</w:t>
            </w:r>
          </w:p>
        </w:tc>
        <w:tc>
          <w:tcPr>
            <w:tcW w:type="dxa" w:w="19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jc w:val="left"/>
            </w:pPr>
            <w:r>
              <w:rPr>
                <w:rFonts w:ascii="Arial" w:cs="Arial" w:eastAsia="Arial" w:hAnsi="Arial"/>
                <w:b/>
                <w:bCs/>
                <w:color w:val="FFFFFF"/>
                <w:sz w:val="18"/>
                <w:szCs w:val="18"/>
              </w:rPr>
              <w:t xml:space="preserve">Value</w:t>
            </w:r>
          </w:p>
        </w:tc>
        <w:tc>
          <w:tcPr>
            <w:tcW w:type="dxa" w:w="19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jc w:val="left"/>
            </w:pPr>
            <w:r>
              <w:rPr>
                <w:rFonts w:ascii="Arial" w:cs="Arial" w:eastAsia="Arial" w:hAnsi="Arial"/>
                <w:b/>
                <w:bCs/>
                <w:color w:val="FFFFFF"/>
                <w:sz w:val="18"/>
                <w:szCs w:val="18"/>
              </w:rPr>
              <w:t xml:space="preserve">Share of value</w:t>
            </w:r>
          </w:p>
        </w:tc>
        <w:tc>
          <w:tcPr>
            <w:tcW w:type="dxa" w:w="1938"/>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jc w:val="left"/>
            </w:pPr>
            <w:r>
              <w:rPr>
                <w:rFonts w:ascii="Arial" w:cs="Arial" w:eastAsia="Arial" w:hAnsi="Arial"/>
                <w:b/>
                <w:bCs/>
                <w:color w:val="FFFFFF"/>
                <w:sz w:val="18"/>
                <w:szCs w:val="18"/>
              </w:rPr>
              <w:t xml:space="preserve">Avg amount</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b w:val="false"/>
                <w:bCs w:val="false"/>
                <w:sz w:val="18"/>
                <w:szCs w:val="18"/>
              </w:rPr>
              <w:t xml:space="preserve">Everyday</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right"/>
            </w:pPr>
            <w:r>
              <w:rPr>
                <w:rFonts w:ascii="Arial" w:cs="Arial" w:eastAsia="Arial" w:hAnsi="Arial"/>
                <w:b w:val="false"/>
                <w:bCs w:val="false"/>
                <w:sz w:val="18"/>
                <w:szCs w:val="18"/>
              </w:rPr>
              <w:t xml:space="preserve">5,644</w:t>
            </w:r>
          </w:p>
        </w:tc>
        <w:tc>
          <w:tcPr>
            <w:tcW w:type="dxa" w:w="19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right"/>
            </w:pPr>
            <w:r>
              <w:rPr>
                <w:rFonts w:ascii="Arial" w:cs="Arial" w:eastAsia="Arial" w:hAnsi="Arial"/>
                <w:b w:val="false"/>
                <w:bCs w:val="false"/>
                <w:sz w:val="18"/>
                <w:szCs w:val="18"/>
              </w:rPr>
              <w:t xml:space="preserve">₦261.5M</w:t>
            </w:r>
          </w:p>
        </w:tc>
        <w:tc>
          <w:tcPr>
            <w:tcW w:type="dxa" w:w="19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right"/>
            </w:pPr>
            <w:r>
              <w:rPr>
                <w:rFonts w:ascii="Arial" w:cs="Arial" w:eastAsia="Arial" w:hAnsi="Arial"/>
                <w:b w:val="false"/>
                <w:bCs w:val="false"/>
                <w:sz w:val="18"/>
                <w:szCs w:val="18"/>
              </w:rPr>
              <w:t xml:space="preserve">46.6%</w:t>
            </w:r>
          </w:p>
        </w:tc>
        <w:tc>
          <w:tcPr>
            <w:tcW w:type="dxa" w:w="1938"/>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right"/>
            </w:pPr>
            <w:r>
              <w:rPr>
                <w:rFonts w:ascii="Arial" w:cs="Arial" w:eastAsia="Arial" w:hAnsi="Arial"/>
                <w:b w:val="false"/>
                <w:bCs w:val="false"/>
                <w:sz w:val="18"/>
                <w:szCs w:val="18"/>
              </w:rPr>
              <w:t xml:space="preserve">₦46,325</w:t>
            </w:r>
          </w:p>
        </w:tc>
      </w:tr>
      <w:tr>
        <w:trPr>
          <w:cantSplit/>
        </w:trPr>
        <w:tc>
          <w:tcPr>
            <w:tcW w:type="dxa" w:w="2200"/>
            <w:tcBorders>
              <w:top w:val="single" w:color="BFBFBF" w:sz="4"/>
              <w:left w:val="single" w:color="BFBFBF" w:sz="4"/>
              <w:bottom w:val="single" w:color="BFBFBF" w:sz="4"/>
              <w:right w:val="single" w:color="BFBFBF" w:sz="4"/>
            </w:tcBorders>
            <w:shd w:fill="F5F7FA" w:color="auto" w:val="clear"/>
            <w:tcMar>
              <w:top w:type="dxa" w:w="60"/>
              <w:left w:type="dxa" w:w="90"/>
              <w:bottom w:type="dxa" w:w="60"/>
              <w:right w:type="dxa" w:w="90"/>
            </w:tcMar>
          </w:tcPr>
          <w:p>
            <w:pPr>
              <w:jc w:val="left"/>
            </w:pPr>
            <w:r>
              <w:rPr>
                <w:rFonts w:ascii="Arial" w:cs="Arial" w:eastAsia="Arial" w:hAnsi="Arial"/>
                <w:b w:val="false"/>
                <w:bCs w:val="false"/>
                <w:sz w:val="18"/>
                <w:szCs w:val="18"/>
              </w:rPr>
              <w:t xml:space="preserve">Premium</w:t>
            </w:r>
          </w:p>
        </w:tc>
        <w:tc>
          <w:tcPr>
            <w:tcW w:type="dxa" w:w="1700"/>
            <w:tcBorders>
              <w:top w:val="single" w:color="BFBFBF" w:sz="4"/>
              <w:left w:val="single" w:color="BFBFBF" w:sz="4"/>
              <w:bottom w:val="single" w:color="BFBFBF" w:sz="4"/>
              <w:right w:val="single" w:color="BFBFBF" w:sz="4"/>
            </w:tcBorders>
            <w:shd w:fill="F5F7FA" w:color="auto" w:val="clear"/>
            <w:tcMar>
              <w:top w:type="dxa" w:w="60"/>
              <w:left w:type="dxa" w:w="90"/>
              <w:bottom w:type="dxa" w:w="60"/>
              <w:right w:type="dxa" w:w="90"/>
            </w:tcMar>
          </w:tcPr>
          <w:p>
            <w:pPr>
              <w:jc w:val="right"/>
            </w:pPr>
            <w:r>
              <w:rPr>
                <w:rFonts w:ascii="Arial" w:cs="Arial" w:eastAsia="Arial" w:hAnsi="Arial"/>
                <w:b w:val="false"/>
                <w:bCs w:val="false"/>
                <w:sz w:val="18"/>
                <w:szCs w:val="18"/>
              </w:rPr>
              <w:t xml:space="preserve">2,361</w:t>
            </w:r>
          </w:p>
        </w:tc>
        <w:tc>
          <w:tcPr>
            <w:tcW w:type="dxa" w:w="1900"/>
            <w:tcBorders>
              <w:top w:val="single" w:color="BFBFBF" w:sz="4"/>
              <w:left w:val="single" w:color="BFBFBF" w:sz="4"/>
              <w:bottom w:val="single" w:color="BFBFBF" w:sz="4"/>
              <w:right w:val="single" w:color="BFBFBF" w:sz="4"/>
            </w:tcBorders>
            <w:shd w:fill="F5F7FA" w:color="auto" w:val="clear"/>
            <w:tcMar>
              <w:top w:type="dxa" w:w="60"/>
              <w:left w:type="dxa" w:w="90"/>
              <w:bottom w:type="dxa" w:w="60"/>
              <w:right w:type="dxa" w:w="90"/>
            </w:tcMar>
          </w:tcPr>
          <w:p>
            <w:pPr>
              <w:jc w:val="right"/>
            </w:pPr>
            <w:r>
              <w:rPr>
                <w:rFonts w:ascii="Arial" w:cs="Arial" w:eastAsia="Arial" w:hAnsi="Arial"/>
                <w:b w:val="false"/>
                <w:bCs w:val="false"/>
                <w:sz w:val="18"/>
                <w:szCs w:val="18"/>
              </w:rPr>
              <w:t xml:space="preserve">₦107.8M</w:t>
            </w:r>
          </w:p>
        </w:tc>
        <w:tc>
          <w:tcPr>
            <w:tcW w:type="dxa" w:w="1900"/>
            <w:tcBorders>
              <w:top w:val="single" w:color="BFBFBF" w:sz="4"/>
              <w:left w:val="single" w:color="BFBFBF" w:sz="4"/>
              <w:bottom w:val="single" w:color="BFBFBF" w:sz="4"/>
              <w:right w:val="single" w:color="BFBFBF" w:sz="4"/>
            </w:tcBorders>
            <w:shd w:fill="F5F7FA" w:color="auto" w:val="clear"/>
            <w:tcMar>
              <w:top w:type="dxa" w:w="60"/>
              <w:left w:type="dxa" w:w="90"/>
              <w:bottom w:type="dxa" w:w="60"/>
              <w:right w:type="dxa" w:w="90"/>
            </w:tcMar>
          </w:tcPr>
          <w:p>
            <w:pPr>
              <w:jc w:val="right"/>
            </w:pPr>
            <w:r>
              <w:rPr>
                <w:rFonts w:ascii="Arial" w:cs="Arial" w:eastAsia="Arial" w:hAnsi="Arial"/>
                <w:b w:val="false"/>
                <w:bCs w:val="false"/>
                <w:sz w:val="18"/>
                <w:szCs w:val="18"/>
              </w:rPr>
              <w:t xml:space="preserve">19.2%</w:t>
            </w:r>
          </w:p>
        </w:tc>
        <w:tc>
          <w:tcPr>
            <w:tcW w:type="dxa" w:w="1938"/>
            <w:tcBorders>
              <w:top w:val="single" w:color="BFBFBF" w:sz="4"/>
              <w:left w:val="single" w:color="BFBFBF" w:sz="4"/>
              <w:bottom w:val="single" w:color="BFBFBF" w:sz="4"/>
              <w:right w:val="single" w:color="BFBFBF" w:sz="4"/>
            </w:tcBorders>
            <w:shd w:fill="F5F7FA" w:color="auto" w:val="clear"/>
            <w:tcMar>
              <w:top w:type="dxa" w:w="60"/>
              <w:left w:type="dxa" w:w="90"/>
              <w:bottom w:type="dxa" w:w="60"/>
              <w:right w:type="dxa" w:w="90"/>
            </w:tcMar>
          </w:tcPr>
          <w:p>
            <w:pPr>
              <w:jc w:val="right"/>
            </w:pPr>
            <w:r>
              <w:rPr>
                <w:rFonts w:ascii="Arial" w:cs="Arial" w:eastAsia="Arial" w:hAnsi="Arial"/>
                <w:b w:val="false"/>
                <w:bCs w:val="false"/>
                <w:sz w:val="18"/>
                <w:szCs w:val="18"/>
              </w:rPr>
              <w:t xml:space="preserve">₦45,638</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b w:val="false"/>
                <w:bCs w:val="false"/>
                <w:sz w:val="18"/>
                <w:szCs w:val="18"/>
              </w:rPr>
              <w:t xml:space="preserve">Student</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right"/>
            </w:pPr>
            <w:r>
              <w:rPr>
                <w:rFonts w:ascii="Arial" w:cs="Arial" w:eastAsia="Arial" w:hAnsi="Arial"/>
                <w:b w:val="false"/>
                <w:bCs w:val="false"/>
                <w:sz w:val="18"/>
                <w:szCs w:val="18"/>
              </w:rPr>
              <w:t xml:space="preserve">2,289</w:t>
            </w:r>
          </w:p>
        </w:tc>
        <w:tc>
          <w:tcPr>
            <w:tcW w:type="dxa" w:w="19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right"/>
            </w:pPr>
            <w:r>
              <w:rPr>
                <w:rFonts w:ascii="Arial" w:cs="Arial" w:eastAsia="Arial" w:hAnsi="Arial"/>
                <w:b w:val="false"/>
                <w:bCs w:val="false"/>
                <w:sz w:val="18"/>
                <w:szCs w:val="18"/>
              </w:rPr>
              <w:t xml:space="preserve">₦107.5M</w:t>
            </w:r>
          </w:p>
        </w:tc>
        <w:tc>
          <w:tcPr>
            <w:tcW w:type="dxa" w:w="19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right"/>
            </w:pPr>
            <w:r>
              <w:rPr>
                <w:rFonts w:ascii="Arial" w:cs="Arial" w:eastAsia="Arial" w:hAnsi="Arial"/>
                <w:b w:val="false"/>
                <w:bCs w:val="false"/>
                <w:sz w:val="18"/>
                <w:szCs w:val="18"/>
              </w:rPr>
              <w:t xml:space="preserve">19.2%</w:t>
            </w:r>
          </w:p>
        </w:tc>
        <w:tc>
          <w:tcPr>
            <w:tcW w:type="dxa" w:w="1938"/>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right"/>
            </w:pPr>
            <w:r>
              <w:rPr>
                <w:rFonts w:ascii="Arial" w:cs="Arial" w:eastAsia="Arial" w:hAnsi="Arial"/>
                <w:b w:val="false"/>
                <w:bCs w:val="false"/>
                <w:sz w:val="18"/>
                <w:szCs w:val="18"/>
              </w:rPr>
              <w:t xml:space="preserve">₦46,953</w:t>
            </w:r>
          </w:p>
        </w:tc>
      </w:tr>
      <w:tr>
        <w:trPr>
          <w:cantSplit/>
        </w:trPr>
        <w:tc>
          <w:tcPr>
            <w:tcW w:type="dxa" w:w="2200"/>
            <w:tcBorders>
              <w:top w:val="single" w:color="BFBFBF" w:sz="4"/>
              <w:left w:val="single" w:color="BFBFBF" w:sz="4"/>
              <w:bottom w:val="single" w:color="BFBFBF" w:sz="4"/>
              <w:right w:val="single" w:color="BFBFBF" w:sz="4"/>
            </w:tcBorders>
            <w:shd w:fill="F5F7FA" w:color="auto" w:val="clear"/>
            <w:tcMar>
              <w:top w:type="dxa" w:w="60"/>
              <w:left w:type="dxa" w:w="90"/>
              <w:bottom w:type="dxa" w:w="60"/>
              <w:right w:type="dxa" w:w="90"/>
            </w:tcMar>
          </w:tcPr>
          <w:p>
            <w:pPr>
              <w:jc w:val="left"/>
            </w:pPr>
            <w:r>
              <w:rPr>
                <w:rFonts w:ascii="Arial" w:cs="Arial" w:eastAsia="Arial" w:hAnsi="Arial"/>
                <w:b w:val="false"/>
                <w:bCs w:val="false"/>
                <w:sz w:val="18"/>
                <w:szCs w:val="18"/>
              </w:rPr>
              <w:t xml:space="preserve">SME</w:t>
            </w:r>
          </w:p>
        </w:tc>
        <w:tc>
          <w:tcPr>
            <w:tcW w:type="dxa" w:w="1700"/>
            <w:tcBorders>
              <w:top w:val="single" w:color="BFBFBF" w:sz="4"/>
              <w:left w:val="single" w:color="BFBFBF" w:sz="4"/>
              <w:bottom w:val="single" w:color="BFBFBF" w:sz="4"/>
              <w:right w:val="single" w:color="BFBFBF" w:sz="4"/>
            </w:tcBorders>
            <w:shd w:fill="F5F7FA" w:color="auto" w:val="clear"/>
            <w:tcMar>
              <w:top w:type="dxa" w:w="60"/>
              <w:left w:type="dxa" w:w="90"/>
              <w:bottom w:type="dxa" w:w="60"/>
              <w:right w:type="dxa" w:w="90"/>
            </w:tcMar>
          </w:tcPr>
          <w:p>
            <w:pPr>
              <w:jc w:val="right"/>
            </w:pPr>
            <w:r>
              <w:rPr>
                <w:rFonts w:ascii="Arial" w:cs="Arial" w:eastAsia="Arial" w:hAnsi="Arial"/>
                <w:b w:val="false"/>
                <w:bCs w:val="false"/>
                <w:sz w:val="18"/>
                <w:szCs w:val="18"/>
              </w:rPr>
              <w:t xml:space="preserve">1,706</w:t>
            </w:r>
          </w:p>
        </w:tc>
        <w:tc>
          <w:tcPr>
            <w:tcW w:type="dxa" w:w="1900"/>
            <w:tcBorders>
              <w:top w:val="single" w:color="BFBFBF" w:sz="4"/>
              <w:left w:val="single" w:color="BFBFBF" w:sz="4"/>
              <w:bottom w:val="single" w:color="BFBFBF" w:sz="4"/>
              <w:right w:val="single" w:color="BFBFBF" w:sz="4"/>
            </w:tcBorders>
            <w:shd w:fill="F5F7FA" w:color="auto" w:val="clear"/>
            <w:tcMar>
              <w:top w:type="dxa" w:w="60"/>
              <w:left w:type="dxa" w:w="90"/>
              <w:bottom w:type="dxa" w:w="60"/>
              <w:right w:type="dxa" w:w="90"/>
            </w:tcMar>
          </w:tcPr>
          <w:p>
            <w:pPr>
              <w:jc w:val="right"/>
            </w:pPr>
            <w:r>
              <w:rPr>
                <w:rFonts w:ascii="Arial" w:cs="Arial" w:eastAsia="Arial" w:hAnsi="Arial"/>
                <w:b w:val="false"/>
                <w:bCs w:val="false"/>
                <w:sz w:val="18"/>
                <w:szCs w:val="18"/>
              </w:rPr>
              <w:t xml:space="preserve">₦83.8M</w:t>
            </w:r>
          </w:p>
        </w:tc>
        <w:tc>
          <w:tcPr>
            <w:tcW w:type="dxa" w:w="1900"/>
            <w:tcBorders>
              <w:top w:val="single" w:color="BFBFBF" w:sz="4"/>
              <w:left w:val="single" w:color="BFBFBF" w:sz="4"/>
              <w:bottom w:val="single" w:color="BFBFBF" w:sz="4"/>
              <w:right w:val="single" w:color="BFBFBF" w:sz="4"/>
            </w:tcBorders>
            <w:shd w:fill="F5F7FA" w:color="auto" w:val="clear"/>
            <w:tcMar>
              <w:top w:type="dxa" w:w="60"/>
              <w:left w:type="dxa" w:w="90"/>
              <w:bottom w:type="dxa" w:w="60"/>
              <w:right w:type="dxa" w:w="90"/>
            </w:tcMar>
          </w:tcPr>
          <w:p>
            <w:pPr>
              <w:jc w:val="right"/>
            </w:pPr>
            <w:r>
              <w:rPr>
                <w:rFonts w:ascii="Arial" w:cs="Arial" w:eastAsia="Arial" w:hAnsi="Arial"/>
                <w:b w:val="false"/>
                <w:bCs w:val="false"/>
                <w:sz w:val="18"/>
                <w:szCs w:val="18"/>
              </w:rPr>
              <w:t xml:space="preserve">15.0%</w:t>
            </w:r>
          </w:p>
        </w:tc>
        <w:tc>
          <w:tcPr>
            <w:tcW w:type="dxa" w:w="1938"/>
            <w:tcBorders>
              <w:top w:val="single" w:color="BFBFBF" w:sz="4"/>
              <w:left w:val="single" w:color="BFBFBF" w:sz="4"/>
              <w:bottom w:val="single" w:color="BFBFBF" w:sz="4"/>
              <w:right w:val="single" w:color="BFBFBF" w:sz="4"/>
            </w:tcBorders>
            <w:shd w:fill="F5F7FA" w:color="auto" w:val="clear"/>
            <w:tcMar>
              <w:top w:type="dxa" w:w="60"/>
              <w:left w:type="dxa" w:w="90"/>
              <w:bottom w:type="dxa" w:w="60"/>
              <w:right w:type="dxa" w:w="90"/>
            </w:tcMar>
          </w:tcPr>
          <w:p>
            <w:pPr>
              <w:jc w:val="right"/>
            </w:pPr>
            <w:r>
              <w:rPr>
                <w:rFonts w:ascii="Arial" w:cs="Arial" w:eastAsia="Arial" w:hAnsi="Arial"/>
                <w:b w:val="false"/>
                <w:bCs w:val="false"/>
                <w:sz w:val="18"/>
                <w:szCs w:val="18"/>
              </w:rPr>
              <w:t xml:space="preserve">₦49,116</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1700"/>
        <w:gridCol w:w="1900"/>
        <w:gridCol w:w="1900"/>
        <w:gridCol w:w="1938"/>
      </w:tblGrid>
      <w:tr>
        <w:trPr>
          <w:tblHeader/>
        </w:trPr>
        <w:tc>
          <w:tcPr>
            <w:tcW w:type="dxa" w:w="22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jc w:val="left"/>
            </w:pPr>
            <w:r>
              <w:rPr>
                <w:rFonts w:ascii="Arial" w:cs="Arial" w:eastAsia="Arial" w:hAnsi="Arial"/>
                <w:b/>
                <w:bCs/>
                <w:color w:val="FFFFFF"/>
                <w:sz w:val="18"/>
                <w:szCs w:val="18"/>
              </w:rPr>
              <w:t xml:space="preserve">City</w:t>
            </w:r>
          </w:p>
        </w:tc>
        <w:tc>
          <w:tcPr>
            <w:tcW w:type="dxa" w:w="17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jc w:val="left"/>
            </w:pPr>
            <w:r>
              <w:rPr>
                <w:rFonts w:ascii="Arial" w:cs="Arial" w:eastAsia="Arial" w:hAnsi="Arial"/>
                <w:b/>
                <w:bCs/>
                <w:color w:val="FFFFFF"/>
                <w:sz w:val="18"/>
                <w:szCs w:val="18"/>
              </w:rPr>
              <w:t xml:space="preserve">Transactions</w:t>
            </w:r>
          </w:p>
        </w:tc>
        <w:tc>
          <w:tcPr>
            <w:tcW w:type="dxa" w:w="19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jc w:val="left"/>
            </w:pPr>
            <w:r>
              <w:rPr>
                <w:rFonts w:ascii="Arial" w:cs="Arial" w:eastAsia="Arial" w:hAnsi="Arial"/>
                <w:b/>
                <w:bCs/>
                <w:color w:val="FFFFFF"/>
                <w:sz w:val="18"/>
                <w:szCs w:val="18"/>
              </w:rPr>
              <w:t xml:space="preserve">Value</w:t>
            </w:r>
          </w:p>
        </w:tc>
        <w:tc>
          <w:tcPr>
            <w:tcW w:type="dxa" w:w="19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jc w:val="left"/>
            </w:pPr>
            <w:r>
              <w:rPr>
                <w:rFonts w:ascii="Arial" w:cs="Arial" w:eastAsia="Arial" w:hAnsi="Arial"/>
                <w:b/>
                <w:bCs/>
                <w:color w:val="FFFFFF"/>
                <w:sz w:val="18"/>
                <w:szCs w:val="18"/>
              </w:rPr>
              <w:t xml:space="preserve">Share of value</w:t>
            </w:r>
          </w:p>
        </w:tc>
        <w:tc>
          <w:tcPr>
            <w:tcW w:type="dxa" w:w="1938"/>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jc w:val="left"/>
            </w:pPr>
            <w:r>
              <w:rPr>
                <w:rFonts w:ascii="Arial" w:cs="Arial" w:eastAsia="Arial" w:hAnsi="Arial"/>
                <w:b/>
                <w:bCs/>
                <w:color w:val="FFFFFF"/>
                <w:sz w:val="18"/>
                <w:szCs w:val="18"/>
              </w:rPr>
              <w:t xml:space="preserve">Avg amount</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b w:val="false"/>
                <w:bCs w:val="false"/>
                <w:sz w:val="18"/>
                <w:szCs w:val="18"/>
              </w:rPr>
              <w:t xml:space="preserve">Lagos</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right"/>
            </w:pPr>
            <w:r>
              <w:rPr>
                <w:rFonts w:ascii="Arial" w:cs="Arial" w:eastAsia="Arial" w:hAnsi="Arial"/>
                <w:b w:val="false"/>
                <w:bCs w:val="false"/>
                <w:sz w:val="18"/>
                <w:szCs w:val="18"/>
              </w:rPr>
              <w:t xml:space="preserve">3,911</w:t>
            </w:r>
          </w:p>
        </w:tc>
        <w:tc>
          <w:tcPr>
            <w:tcW w:type="dxa" w:w="19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right"/>
            </w:pPr>
            <w:r>
              <w:rPr>
                <w:rFonts w:ascii="Arial" w:cs="Arial" w:eastAsia="Arial" w:hAnsi="Arial"/>
                <w:b w:val="false"/>
                <w:bCs w:val="false"/>
                <w:sz w:val="18"/>
                <w:szCs w:val="18"/>
              </w:rPr>
              <w:t xml:space="preserve">₦189.9M</w:t>
            </w:r>
          </w:p>
        </w:tc>
        <w:tc>
          <w:tcPr>
            <w:tcW w:type="dxa" w:w="19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right"/>
            </w:pPr>
            <w:r>
              <w:rPr>
                <w:rFonts w:ascii="Arial" w:cs="Arial" w:eastAsia="Arial" w:hAnsi="Arial"/>
                <w:b w:val="false"/>
                <w:bCs w:val="false"/>
                <w:sz w:val="18"/>
                <w:szCs w:val="18"/>
              </w:rPr>
              <w:t xml:space="preserve">33.9%</w:t>
            </w:r>
          </w:p>
        </w:tc>
        <w:tc>
          <w:tcPr>
            <w:tcW w:type="dxa" w:w="1938"/>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right"/>
            </w:pPr>
            <w:r>
              <w:rPr>
                <w:rFonts w:ascii="Arial" w:cs="Arial" w:eastAsia="Arial" w:hAnsi="Arial"/>
                <w:b w:val="false"/>
                <w:bCs w:val="false"/>
                <w:sz w:val="18"/>
                <w:szCs w:val="18"/>
              </w:rPr>
              <w:t xml:space="preserve">₦48,553</w:t>
            </w:r>
          </w:p>
        </w:tc>
      </w:tr>
      <w:tr>
        <w:trPr>
          <w:cantSplit/>
        </w:trPr>
        <w:tc>
          <w:tcPr>
            <w:tcW w:type="dxa" w:w="2200"/>
            <w:tcBorders>
              <w:top w:val="single" w:color="BFBFBF" w:sz="4"/>
              <w:left w:val="single" w:color="BFBFBF" w:sz="4"/>
              <w:bottom w:val="single" w:color="BFBFBF" w:sz="4"/>
              <w:right w:val="single" w:color="BFBFBF" w:sz="4"/>
            </w:tcBorders>
            <w:shd w:fill="F5F7FA" w:color="auto" w:val="clear"/>
            <w:tcMar>
              <w:top w:type="dxa" w:w="60"/>
              <w:left w:type="dxa" w:w="90"/>
              <w:bottom w:type="dxa" w:w="60"/>
              <w:right w:type="dxa" w:w="90"/>
            </w:tcMar>
          </w:tcPr>
          <w:p>
            <w:pPr>
              <w:jc w:val="left"/>
            </w:pPr>
            <w:r>
              <w:rPr>
                <w:rFonts w:ascii="Arial" w:cs="Arial" w:eastAsia="Arial" w:hAnsi="Arial"/>
                <w:b w:val="false"/>
                <w:bCs w:val="false"/>
                <w:sz w:val="18"/>
                <w:szCs w:val="18"/>
              </w:rPr>
              <w:t xml:space="preserve">Abuja</w:t>
            </w:r>
          </w:p>
        </w:tc>
        <w:tc>
          <w:tcPr>
            <w:tcW w:type="dxa" w:w="1700"/>
            <w:tcBorders>
              <w:top w:val="single" w:color="BFBFBF" w:sz="4"/>
              <w:left w:val="single" w:color="BFBFBF" w:sz="4"/>
              <w:bottom w:val="single" w:color="BFBFBF" w:sz="4"/>
              <w:right w:val="single" w:color="BFBFBF" w:sz="4"/>
            </w:tcBorders>
            <w:shd w:fill="F5F7FA" w:color="auto" w:val="clear"/>
            <w:tcMar>
              <w:top w:type="dxa" w:w="60"/>
              <w:left w:type="dxa" w:w="90"/>
              <w:bottom w:type="dxa" w:w="60"/>
              <w:right w:type="dxa" w:w="90"/>
            </w:tcMar>
          </w:tcPr>
          <w:p>
            <w:pPr>
              <w:jc w:val="right"/>
            </w:pPr>
            <w:r>
              <w:rPr>
                <w:rFonts w:ascii="Arial" w:cs="Arial" w:eastAsia="Arial" w:hAnsi="Arial"/>
                <w:b w:val="false"/>
                <w:bCs w:val="false"/>
                <w:sz w:val="18"/>
                <w:szCs w:val="18"/>
              </w:rPr>
              <w:t xml:space="preserve">1,710</w:t>
            </w:r>
          </w:p>
        </w:tc>
        <w:tc>
          <w:tcPr>
            <w:tcW w:type="dxa" w:w="1900"/>
            <w:tcBorders>
              <w:top w:val="single" w:color="BFBFBF" w:sz="4"/>
              <w:left w:val="single" w:color="BFBFBF" w:sz="4"/>
              <w:bottom w:val="single" w:color="BFBFBF" w:sz="4"/>
              <w:right w:val="single" w:color="BFBFBF" w:sz="4"/>
            </w:tcBorders>
            <w:shd w:fill="F5F7FA" w:color="auto" w:val="clear"/>
            <w:tcMar>
              <w:top w:type="dxa" w:w="60"/>
              <w:left w:type="dxa" w:w="90"/>
              <w:bottom w:type="dxa" w:w="60"/>
              <w:right w:type="dxa" w:w="90"/>
            </w:tcMar>
          </w:tcPr>
          <w:p>
            <w:pPr>
              <w:jc w:val="right"/>
            </w:pPr>
            <w:r>
              <w:rPr>
                <w:rFonts w:ascii="Arial" w:cs="Arial" w:eastAsia="Arial" w:hAnsi="Arial"/>
                <w:b w:val="false"/>
                <w:bCs w:val="false"/>
                <w:sz w:val="18"/>
                <w:szCs w:val="18"/>
              </w:rPr>
              <w:t xml:space="preserve">₦83.6M</w:t>
            </w:r>
          </w:p>
        </w:tc>
        <w:tc>
          <w:tcPr>
            <w:tcW w:type="dxa" w:w="1900"/>
            <w:tcBorders>
              <w:top w:val="single" w:color="BFBFBF" w:sz="4"/>
              <w:left w:val="single" w:color="BFBFBF" w:sz="4"/>
              <w:bottom w:val="single" w:color="BFBFBF" w:sz="4"/>
              <w:right w:val="single" w:color="BFBFBF" w:sz="4"/>
            </w:tcBorders>
            <w:shd w:fill="F5F7FA" w:color="auto" w:val="clear"/>
            <w:tcMar>
              <w:top w:type="dxa" w:w="60"/>
              <w:left w:type="dxa" w:w="90"/>
              <w:bottom w:type="dxa" w:w="60"/>
              <w:right w:type="dxa" w:w="90"/>
            </w:tcMar>
          </w:tcPr>
          <w:p>
            <w:pPr>
              <w:jc w:val="right"/>
            </w:pPr>
            <w:r>
              <w:rPr>
                <w:rFonts w:ascii="Arial" w:cs="Arial" w:eastAsia="Arial" w:hAnsi="Arial"/>
                <w:b w:val="false"/>
                <w:bCs w:val="false"/>
                <w:sz w:val="18"/>
                <w:szCs w:val="18"/>
              </w:rPr>
              <w:t xml:space="preserve">14.9%</w:t>
            </w:r>
          </w:p>
        </w:tc>
        <w:tc>
          <w:tcPr>
            <w:tcW w:type="dxa" w:w="1938"/>
            <w:tcBorders>
              <w:top w:val="single" w:color="BFBFBF" w:sz="4"/>
              <w:left w:val="single" w:color="BFBFBF" w:sz="4"/>
              <w:bottom w:val="single" w:color="BFBFBF" w:sz="4"/>
              <w:right w:val="single" w:color="BFBFBF" w:sz="4"/>
            </w:tcBorders>
            <w:shd w:fill="F5F7FA" w:color="auto" w:val="clear"/>
            <w:tcMar>
              <w:top w:type="dxa" w:w="60"/>
              <w:left w:type="dxa" w:w="90"/>
              <w:bottom w:type="dxa" w:w="60"/>
              <w:right w:type="dxa" w:w="90"/>
            </w:tcMar>
          </w:tcPr>
          <w:p>
            <w:pPr>
              <w:jc w:val="right"/>
            </w:pPr>
            <w:r>
              <w:rPr>
                <w:rFonts w:ascii="Arial" w:cs="Arial" w:eastAsia="Arial" w:hAnsi="Arial"/>
                <w:b w:val="false"/>
                <w:bCs w:val="false"/>
                <w:sz w:val="18"/>
                <w:szCs w:val="18"/>
              </w:rPr>
              <w:t xml:space="preserve">₦48,878</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b w:val="false"/>
                <w:bCs w:val="false"/>
                <w:sz w:val="18"/>
                <w:szCs w:val="18"/>
              </w:rPr>
              <w:t xml:space="preserve">Port Harcourt</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right"/>
            </w:pPr>
            <w:r>
              <w:rPr>
                <w:rFonts w:ascii="Arial" w:cs="Arial" w:eastAsia="Arial" w:hAnsi="Arial"/>
                <w:b w:val="false"/>
                <w:bCs w:val="false"/>
                <w:sz w:val="18"/>
                <w:szCs w:val="18"/>
              </w:rPr>
              <w:t xml:space="preserve">1,425</w:t>
            </w:r>
          </w:p>
        </w:tc>
        <w:tc>
          <w:tcPr>
            <w:tcW w:type="dxa" w:w="19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right"/>
            </w:pPr>
            <w:r>
              <w:rPr>
                <w:rFonts w:ascii="Arial" w:cs="Arial" w:eastAsia="Arial" w:hAnsi="Arial"/>
                <w:b w:val="false"/>
                <w:bCs w:val="false"/>
                <w:sz w:val="18"/>
                <w:szCs w:val="18"/>
              </w:rPr>
              <w:t xml:space="preserve">₦63.9M</w:t>
            </w:r>
          </w:p>
        </w:tc>
        <w:tc>
          <w:tcPr>
            <w:tcW w:type="dxa" w:w="19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right"/>
            </w:pPr>
            <w:r>
              <w:rPr>
                <w:rFonts w:ascii="Arial" w:cs="Arial" w:eastAsia="Arial" w:hAnsi="Arial"/>
                <w:b w:val="false"/>
                <w:bCs w:val="false"/>
                <w:sz w:val="18"/>
                <w:szCs w:val="18"/>
              </w:rPr>
              <w:t xml:space="preserve">11.4%</w:t>
            </w:r>
          </w:p>
        </w:tc>
        <w:tc>
          <w:tcPr>
            <w:tcW w:type="dxa" w:w="1938"/>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right"/>
            </w:pPr>
            <w:r>
              <w:rPr>
                <w:rFonts w:ascii="Arial" w:cs="Arial" w:eastAsia="Arial" w:hAnsi="Arial"/>
                <w:b w:val="false"/>
                <w:bCs w:val="false"/>
                <w:sz w:val="18"/>
                <w:szCs w:val="18"/>
              </w:rPr>
              <w:t xml:space="preserve">₦44,847</w:t>
            </w:r>
          </w:p>
        </w:tc>
      </w:tr>
      <w:tr>
        <w:trPr>
          <w:cantSplit/>
        </w:trPr>
        <w:tc>
          <w:tcPr>
            <w:tcW w:type="dxa" w:w="2200"/>
            <w:tcBorders>
              <w:top w:val="single" w:color="BFBFBF" w:sz="4"/>
              <w:left w:val="single" w:color="BFBFBF" w:sz="4"/>
              <w:bottom w:val="single" w:color="BFBFBF" w:sz="4"/>
              <w:right w:val="single" w:color="BFBFBF" w:sz="4"/>
            </w:tcBorders>
            <w:shd w:fill="F5F7FA" w:color="auto" w:val="clear"/>
            <w:tcMar>
              <w:top w:type="dxa" w:w="60"/>
              <w:left w:type="dxa" w:w="90"/>
              <w:bottom w:type="dxa" w:w="60"/>
              <w:right w:type="dxa" w:w="90"/>
            </w:tcMar>
          </w:tcPr>
          <w:p>
            <w:pPr>
              <w:jc w:val="left"/>
            </w:pPr>
            <w:r>
              <w:rPr>
                <w:rFonts w:ascii="Arial" w:cs="Arial" w:eastAsia="Arial" w:hAnsi="Arial"/>
                <w:b w:val="false"/>
                <w:bCs w:val="false"/>
                <w:sz w:val="18"/>
                <w:szCs w:val="18"/>
              </w:rPr>
              <w:t xml:space="preserve">Kano</w:t>
            </w:r>
          </w:p>
        </w:tc>
        <w:tc>
          <w:tcPr>
            <w:tcW w:type="dxa" w:w="1700"/>
            <w:tcBorders>
              <w:top w:val="single" w:color="BFBFBF" w:sz="4"/>
              <w:left w:val="single" w:color="BFBFBF" w:sz="4"/>
              <w:bottom w:val="single" w:color="BFBFBF" w:sz="4"/>
              <w:right w:val="single" w:color="BFBFBF" w:sz="4"/>
            </w:tcBorders>
            <w:shd w:fill="F5F7FA" w:color="auto" w:val="clear"/>
            <w:tcMar>
              <w:top w:type="dxa" w:w="60"/>
              <w:left w:type="dxa" w:w="90"/>
              <w:bottom w:type="dxa" w:w="60"/>
              <w:right w:type="dxa" w:w="90"/>
            </w:tcMar>
          </w:tcPr>
          <w:p>
            <w:pPr>
              <w:jc w:val="right"/>
            </w:pPr>
            <w:r>
              <w:rPr>
                <w:rFonts w:ascii="Arial" w:cs="Arial" w:eastAsia="Arial" w:hAnsi="Arial"/>
                <w:b w:val="false"/>
                <w:bCs w:val="false"/>
                <w:sz w:val="18"/>
                <w:szCs w:val="18"/>
              </w:rPr>
              <w:t xml:space="preserve">1,286</w:t>
            </w:r>
          </w:p>
        </w:tc>
        <w:tc>
          <w:tcPr>
            <w:tcW w:type="dxa" w:w="1900"/>
            <w:tcBorders>
              <w:top w:val="single" w:color="BFBFBF" w:sz="4"/>
              <w:left w:val="single" w:color="BFBFBF" w:sz="4"/>
              <w:bottom w:val="single" w:color="BFBFBF" w:sz="4"/>
              <w:right w:val="single" w:color="BFBFBF" w:sz="4"/>
            </w:tcBorders>
            <w:shd w:fill="F5F7FA" w:color="auto" w:val="clear"/>
            <w:tcMar>
              <w:top w:type="dxa" w:w="60"/>
              <w:left w:type="dxa" w:w="90"/>
              <w:bottom w:type="dxa" w:w="60"/>
              <w:right w:type="dxa" w:w="90"/>
            </w:tcMar>
          </w:tcPr>
          <w:p>
            <w:pPr>
              <w:jc w:val="right"/>
            </w:pPr>
            <w:r>
              <w:rPr>
                <w:rFonts w:ascii="Arial" w:cs="Arial" w:eastAsia="Arial" w:hAnsi="Arial"/>
                <w:b w:val="false"/>
                <w:bCs w:val="false"/>
                <w:sz w:val="18"/>
                <w:szCs w:val="18"/>
              </w:rPr>
              <w:t xml:space="preserve">₦60.6M</w:t>
            </w:r>
          </w:p>
        </w:tc>
        <w:tc>
          <w:tcPr>
            <w:tcW w:type="dxa" w:w="1900"/>
            <w:tcBorders>
              <w:top w:val="single" w:color="BFBFBF" w:sz="4"/>
              <w:left w:val="single" w:color="BFBFBF" w:sz="4"/>
              <w:bottom w:val="single" w:color="BFBFBF" w:sz="4"/>
              <w:right w:val="single" w:color="BFBFBF" w:sz="4"/>
            </w:tcBorders>
            <w:shd w:fill="F5F7FA" w:color="auto" w:val="clear"/>
            <w:tcMar>
              <w:top w:type="dxa" w:w="60"/>
              <w:left w:type="dxa" w:w="90"/>
              <w:bottom w:type="dxa" w:w="60"/>
              <w:right w:type="dxa" w:w="90"/>
            </w:tcMar>
          </w:tcPr>
          <w:p>
            <w:pPr>
              <w:jc w:val="right"/>
            </w:pPr>
            <w:r>
              <w:rPr>
                <w:rFonts w:ascii="Arial" w:cs="Arial" w:eastAsia="Arial" w:hAnsi="Arial"/>
                <w:b w:val="false"/>
                <w:bCs w:val="false"/>
                <w:sz w:val="18"/>
                <w:szCs w:val="18"/>
              </w:rPr>
              <w:t xml:space="preserve">10.8%</w:t>
            </w:r>
          </w:p>
        </w:tc>
        <w:tc>
          <w:tcPr>
            <w:tcW w:type="dxa" w:w="1938"/>
            <w:tcBorders>
              <w:top w:val="single" w:color="BFBFBF" w:sz="4"/>
              <w:left w:val="single" w:color="BFBFBF" w:sz="4"/>
              <w:bottom w:val="single" w:color="BFBFBF" w:sz="4"/>
              <w:right w:val="single" w:color="BFBFBF" w:sz="4"/>
            </w:tcBorders>
            <w:shd w:fill="F5F7FA" w:color="auto" w:val="clear"/>
            <w:tcMar>
              <w:top w:type="dxa" w:w="60"/>
              <w:left w:type="dxa" w:w="90"/>
              <w:bottom w:type="dxa" w:w="60"/>
              <w:right w:type="dxa" w:w="90"/>
            </w:tcMar>
          </w:tcPr>
          <w:p>
            <w:pPr>
              <w:jc w:val="right"/>
            </w:pPr>
            <w:r>
              <w:rPr>
                <w:rFonts w:ascii="Arial" w:cs="Arial" w:eastAsia="Arial" w:hAnsi="Arial"/>
                <w:b w:val="false"/>
                <w:bCs w:val="false"/>
                <w:sz w:val="18"/>
                <w:szCs w:val="18"/>
              </w:rPr>
              <w:t xml:space="preserve">₦47,111</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b w:val="false"/>
                <w:bCs w:val="false"/>
                <w:sz w:val="18"/>
                <w:szCs w:val="18"/>
              </w:rPr>
              <w:t xml:space="preserve">Ibadan</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right"/>
            </w:pPr>
            <w:r>
              <w:rPr>
                <w:rFonts w:ascii="Arial" w:cs="Arial" w:eastAsia="Arial" w:hAnsi="Arial"/>
                <w:b w:val="false"/>
                <w:bCs w:val="false"/>
                <w:sz w:val="18"/>
                <w:szCs w:val="18"/>
              </w:rPr>
              <w:t xml:space="preserve">1,177</w:t>
            </w:r>
          </w:p>
        </w:tc>
        <w:tc>
          <w:tcPr>
            <w:tcW w:type="dxa" w:w="19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right"/>
            </w:pPr>
            <w:r>
              <w:rPr>
                <w:rFonts w:ascii="Arial" w:cs="Arial" w:eastAsia="Arial" w:hAnsi="Arial"/>
                <w:b w:val="false"/>
                <w:bCs w:val="false"/>
                <w:sz w:val="18"/>
                <w:szCs w:val="18"/>
              </w:rPr>
              <w:t xml:space="preserve">₦56.0M</w:t>
            </w:r>
          </w:p>
        </w:tc>
        <w:tc>
          <w:tcPr>
            <w:tcW w:type="dxa" w:w="19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right"/>
            </w:pPr>
            <w:r>
              <w:rPr>
                <w:rFonts w:ascii="Arial" w:cs="Arial" w:eastAsia="Arial" w:hAnsi="Arial"/>
                <w:b w:val="false"/>
                <w:bCs w:val="false"/>
                <w:sz w:val="18"/>
                <w:szCs w:val="18"/>
              </w:rPr>
              <w:t xml:space="preserve">10.0%</w:t>
            </w:r>
          </w:p>
        </w:tc>
        <w:tc>
          <w:tcPr>
            <w:tcW w:type="dxa" w:w="1938"/>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right"/>
            </w:pPr>
            <w:r>
              <w:rPr>
                <w:rFonts w:ascii="Arial" w:cs="Arial" w:eastAsia="Arial" w:hAnsi="Arial"/>
                <w:b w:val="false"/>
                <w:bCs w:val="false"/>
                <w:sz w:val="18"/>
                <w:szCs w:val="18"/>
              </w:rPr>
              <w:t xml:space="preserve">₦47,587</w:t>
            </w:r>
          </w:p>
        </w:tc>
      </w:tr>
      <w:tr>
        <w:trPr>
          <w:cantSplit/>
        </w:trPr>
        <w:tc>
          <w:tcPr>
            <w:tcW w:type="dxa" w:w="2200"/>
            <w:tcBorders>
              <w:top w:val="single" w:color="BFBFBF" w:sz="4"/>
              <w:left w:val="single" w:color="BFBFBF" w:sz="4"/>
              <w:bottom w:val="single" w:color="BFBFBF" w:sz="4"/>
              <w:right w:val="single" w:color="BFBFBF" w:sz="4"/>
            </w:tcBorders>
            <w:shd w:fill="F5F7FA" w:color="auto" w:val="clear"/>
            <w:tcMar>
              <w:top w:type="dxa" w:w="60"/>
              <w:left w:type="dxa" w:w="90"/>
              <w:bottom w:type="dxa" w:w="60"/>
              <w:right w:type="dxa" w:w="90"/>
            </w:tcMar>
          </w:tcPr>
          <w:p>
            <w:pPr>
              <w:jc w:val="left"/>
            </w:pPr>
            <w:r>
              <w:rPr>
                <w:rFonts w:ascii="Arial" w:cs="Arial" w:eastAsia="Arial" w:hAnsi="Arial"/>
                <w:b w:val="false"/>
                <w:bCs w:val="false"/>
                <w:sz w:val="18"/>
                <w:szCs w:val="18"/>
              </w:rPr>
              <w:t xml:space="preserve">Enugu</w:t>
            </w:r>
          </w:p>
        </w:tc>
        <w:tc>
          <w:tcPr>
            <w:tcW w:type="dxa" w:w="1700"/>
            <w:tcBorders>
              <w:top w:val="single" w:color="BFBFBF" w:sz="4"/>
              <w:left w:val="single" w:color="BFBFBF" w:sz="4"/>
              <w:bottom w:val="single" w:color="BFBFBF" w:sz="4"/>
              <w:right w:val="single" w:color="BFBFBF" w:sz="4"/>
            </w:tcBorders>
            <w:shd w:fill="F5F7FA" w:color="auto" w:val="clear"/>
            <w:tcMar>
              <w:top w:type="dxa" w:w="60"/>
              <w:left w:type="dxa" w:w="90"/>
              <w:bottom w:type="dxa" w:w="60"/>
              <w:right w:type="dxa" w:w="90"/>
            </w:tcMar>
          </w:tcPr>
          <w:p>
            <w:pPr>
              <w:jc w:val="right"/>
            </w:pPr>
            <w:r>
              <w:rPr>
                <w:rFonts w:ascii="Arial" w:cs="Arial" w:eastAsia="Arial" w:hAnsi="Arial"/>
                <w:b w:val="false"/>
                <w:bCs w:val="false"/>
                <w:sz w:val="18"/>
                <w:szCs w:val="18"/>
              </w:rPr>
              <w:t xml:space="preserve">878</w:t>
            </w:r>
          </w:p>
        </w:tc>
        <w:tc>
          <w:tcPr>
            <w:tcW w:type="dxa" w:w="1900"/>
            <w:tcBorders>
              <w:top w:val="single" w:color="BFBFBF" w:sz="4"/>
              <w:left w:val="single" w:color="BFBFBF" w:sz="4"/>
              <w:bottom w:val="single" w:color="BFBFBF" w:sz="4"/>
              <w:right w:val="single" w:color="BFBFBF" w:sz="4"/>
            </w:tcBorders>
            <w:shd w:fill="F5F7FA" w:color="auto" w:val="clear"/>
            <w:tcMar>
              <w:top w:type="dxa" w:w="60"/>
              <w:left w:type="dxa" w:w="90"/>
              <w:bottom w:type="dxa" w:w="60"/>
              <w:right w:type="dxa" w:w="90"/>
            </w:tcMar>
          </w:tcPr>
          <w:p>
            <w:pPr>
              <w:jc w:val="right"/>
            </w:pPr>
            <w:r>
              <w:rPr>
                <w:rFonts w:ascii="Arial" w:cs="Arial" w:eastAsia="Arial" w:hAnsi="Arial"/>
                <w:b w:val="false"/>
                <w:bCs w:val="false"/>
                <w:sz w:val="18"/>
                <w:szCs w:val="18"/>
              </w:rPr>
              <w:t xml:space="preserve">₦40.1M</w:t>
            </w:r>
          </w:p>
        </w:tc>
        <w:tc>
          <w:tcPr>
            <w:tcW w:type="dxa" w:w="1900"/>
            <w:tcBorders>
              <w:top w:val="single" w:color="BFBFBF" w:sz="4"/>
              <w:left w:val="single" w:color="BFBFBF" w:sz="4"/>
              <w:bottom w:val="single" w:color="BFBFBF" w:sz="4"/>
              <w:right w:val="single" w:color="BFBFBF" w:sz="4"/>
            </w:tcBorders>
            <w:shd w:fill="F5F7FA" w:color="auto" w:val="clear"/>
            <w:tcMar>
              <w:top w:type="dxa" w:w="60"/>
              <w:left w:type="dxa" w:w="90"/>
              <w:bottom w:type="dxa" w:w="60"/>
              <w:right w:type="dxa" w:w="90"/>
            </w:tcMar>
          </w:tcPr>
          <w:p>
            <w:pPr>
              <w:jc w:val="right"/>
            </w:pPr>
            <w:r>
              <w:rPr>
                <w:rFonts w:ascii="Arial" w:cs="Arial" w:eastAsia="Arial" w:hAnsi="Arial"/>
                <w:b w:val="false"/>
                <w:bCs w:val="false"/>
                <w:sz w:val="18"/>
                <w:szCs w:val="18"/>
              </w:rPr>
              <w:t xml:space="preserve">7.1%</w:t>
            </w:r>
          </w:p>
        </w:tc>
        <w:tc>
          <w:tcPr>
            <w:tcW w:type="dxa" w:w="1938"/>
            <w:tcBorders>
              <w:top w:val="single" w:color="BFBFBF" w:sz="4"/>
              <w:left w:val="single" w:color="BFBFBF" w:sz="4"/>
              <w:bottom w:val="single" w:color="BFBFBF" w:sz="4"/>
              <w:right w:val="single" w:color="BFBFBF" w:sz="4"/>
            </w:tcBorders>
            <w:shd w:fill="F5F7FA" w:color="auto" w:val="clear"/>
            <w:tcMar>
              <w:top w:type="dxa" w:w="60"/>
              <w:left w:type="dxa" w:w="90"/>
              <w:bottom w:type="dxa" w:w="60"/>
              <w:right w:type="dxa" w:w="90"/>
            </w:tcMar>
          </w:tcPr>
          <w:p>
            <w:pPr>
              <w:jc w:val="right"/>
            </w:pPr>
            <w:r>
              <w:rPr>
                <w:rFonts w:ascii="Arial" w:cs="Arial" w:eastAsia="Arial" w:hAnsi="Arial"/>
                <w:b w:val="false"/>
                <w:bCs w:val="false"/>
                <w:sz w:val="18"/>
                <w:szCs w:val="18"/>
              </w:rPr>
              <w:t xml:space="preserve">₦45,635</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b w:val="false"/>
                <w:bCs w:val="false"/>
                <w:sz w:val="18"/>
                <w:szCs w:val="18"/>
              </w:rPr>
              <w:t xml:space="preserve">Kaduna</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right"/>
            </w:pPr>
            <w:r>
              <w:rPr>
                <w:rFonts w:ascii="Arial" w:cs="Arial" w:eastAsia="Arial" w:hAnsi="Arial"/>
                <w:b w:val="false"/>
                <w:bCs w:val="false"/>
                <w:sz w:val="18"/>
                <w:szCs w:val="18"/>
              </w:rPr>
              <w:t xml:space="preserve">830</w:t>
            </w:r>
          </w:p>
        </w:tc>
        <w:tc>
          <w:tcPr>
            <w:tcW w:type="dxa" w:w="19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right"/>
            </w:pPr>
            <w:r>
              <w:rPr>
                <w:rFonts w:ascii="Arial" w:cs="Arial" w:eastAsia="Arial" w:hAnsi="Arial"/>
                <w:b w:val="false"/>
                <w:bCs w:val="false"/>
                <w:sz w:val="18"/>
                <w:szCs w:val="18"/>
              </w:rPr>
              <w:t xml:space="preserve">₦35.7M</w:t>
            </w:r>
          </w:p>
        </w:tc>
        <w:tc>
          <w:tcPr>
            <w:tcW w:type="dxa" w:w="19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right"/>
            </w:pPr>
            <w:r>
              <w:rPr>
                <w:rFonts w:ascii="Arial" w:cs="Arial" w:eastAsia="Arial" w:hAnsi="Arial"/>
                <w:b w:val="false"/>
                <w:bCs w:val="false"/>
                <w:sz w:val="18"/>
                <w:szCs w:val="18"/>
              </w:rPr>
              <w:t xml:space="preserve">6.4%</w:t>
            </w:r>
          </w:p>
        </w:tc>
        <w:tc>
          <w:tcPr>
            <w:tcW w:type="dxa" w:w="1938"/>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right"/>
            </w:pPr>
            <w:r>
              <w:rPr>
                <w:rFonts w:ascii="Arial" w:cs="Arial" w:eastAsia="Arial" w:hAnsi="Arial"/>
                <w:b w:val="false"/>
                <w:bCs w:val="false"/>
                <w:sz w:val="18"/>
                <w:szCs w:val="18"/>
              </w:rPr>
              <w:t xml:space="preserve">₦43,015</w:t>
            </w:r>
          </w:p>
        </w:tc>
      </w:tr>
      <w:tr>
        <w:trPr>
          <w:cantSplit/>
        </w:trPr>
        <w:tc>
          <w:tcPr>
            <w:tcW w:type="dxa" w:w="2200"/>
            <w:tcBorders>
              <w:top w:val="single" w:color="BFBFBF" w:sz="4"/>
              <w:left w:val="single" w:color="BFBFBF" w:sz="4"/>
              <w:bottom w:val="single" w:color="BFBFBF" w:sz="4"/>
              <w:right w:val="single" w:color="BFBFBF" w:sz="4"/>
            </w:tcBorders>
            <w:shd w:fill="F5F7FA" w:color="auto" w:val="clear"/>
            <w:tcMar>
              <w:top w:type="dxa" w:w="60"/>
              <w:left w:type="dxa" w:w="90"/>
              <w:bottom w:type="dxa" w:w="60"/>
              <w:right w:type="dxa" w:w="90"/>
            </w:tcMar>
          </w:tcPr>
          <w:p>
            <w:pPr>
              <w:jc w:val="left"/>
            </w:pPr>
            <w:r>
              <w:rPr>
                <w:rFonts w:ascii="Arial" w:cs="Arial" w:eastAsia="Arial" w:hAnsi="Arial"/>
                <w:b w:val="false"/>
                <w:bCs w:val="false"/>
                <w:sz w:val="18"/>
                <w:szCs w:val="18"/>
              </w:rPr>
              <w:t xml:space="preserve">Benin City</w:t>
            </w:r>
          </w:p>
        </w:tc>
        <w:tc>
          <w:tcPr>
            <w:tcW w:type="dxa" w:w="1700"/>
            <w:tcBorders>
              <w:top w:val="single" w:color="BFBFBF" w:sz="4"/>
              <w:left w:val="single" w:color="BFBFBF" w:sz="4"/>
              <w:bottom w:val="single" w:color="BFBFBF" w:sz="4"/>
              <w:right w:val="single" w:color="BFBFBF" w:sz="4"/>
            </w:tcBorders>
            <w:shd w:fill="F5F7FA" w:color="auto" w:val="clear"/>
            <w:tcMar>
              <w:top w:type="dxa" w:w="60"/>
              <w:left w:type="dxa" w:w="90"/>
              <w:bottom w:type="dxa" w:w="60"/>
              <w:right w:type="dxa" w:w="90"/>
            </w:tcMar>
          </w:tcPr>
          <w:p>
            <w:pPr>
              <w:jc w:val="right"/>
            </w:pPr>
            <w:r>
              <w:rPr>
                <w:rFonts w:ascii="Arial" w:cs="Arial" w:eastAsia="Arial" w:hAnsi="Arial"/>
                <w:b w:val="false"/>
                <w:bCs w:val="false"/>
                <w:sz w:val="18"/>
                <w:szCs w:val="18"/>
              </w:rPr>
              <w:t xml:space="preserve">783</w:t>
            </w:r>
          </w:p>
        </w:tc>
        <w:tc>
          <w:tcPr>
            <w:tcW w:type="dxa" w:w="1900"/>
            <w:tcBorders>
              <w:top w:val="single" w:color="BFBFBF" w:sz="4"/>
              <w:left w:val="single" w:color="BFBFBF" w:sz="4"/>
              <w:bottom w:val="single" w:color="BFBFBF" w:sz="4"/>
              <w:right w:val="single" w:color="BFBFBF" w:sz="4"/>
            </w:tcBorders>
            <w:shd w:fill="F5F7FA" w:color="auto" w:val="clear"/>
            <w:tcMar>
              <w:top w:type="dxa" w:w="60"/>
              <w:left w:type="dxa" w:w="90"/>
              <w:bottom w:type="dxa" w:w="60"/>
              <w:right w:type="dxa" w:w="90"/>
            </w:tcMar>
          </w:tcPr>
          <w:p>
            <w:pPr>
              <w:jc w:val="right"/>
            </w:pPr>
            <w:r>
              <w:rPr>
                <w:rFonts w:ascii="Arial" w:cs="Arial" w:eastAsia="Arial" w:hAnsi="Arial"/>
                <w:b w:val="false"/>
                <w:bCs w:val="false"/>
                <w:sz w:val="18"/>
                <w:szCs w:val="18"/>
              </w:rPr>
              <w:t xml:space="preserve">₦30.7M</w:t>
            </w:r>
          </w:p>
        </w:tc>
        <w:tc>
          <w:tcPr>
            <w:tcW w:type="dxa" w:w="1900"/>
            <w:tcBorders>
              <w:top w:val="single" w:color="BFBFBF" w:sz="4"/>
              <w:left w:val="single" w:color="BFBFBF" w:sz="4"/>
              <w:bottom w:val="single" w:color="BFBFBF" w:sz="4"/>
              <w:right w:val="single" w:color="BFBFBF" w:sz="4"/>
            </w:tcBorders>
            <w:shd w:fill="F5F7FA" w:color="auto" w:val="clear"/>
            <w:tcMar>
              <w:top w:type="dxa" w:w="60"/>
              <w:left w:type="dxa" w:w="90"/>
              <w:bottom w:type="dxa" w:w="60"/>
              <w:right w:type="dxa" w:w="90"/>
            </w:tcMar>
          </w:tcPr>
          <w:p>
            <w:pPr>
              <w:jc w:val="right"/>
            </w:pPr>
            <w:r>
              <w:rPr>
                <w:rFonts w:ascii="Arial" w:cs="Arial" w:eastAsia="Arial" w:hAnsi="Arial"/>
                <w:b w:val="false"/>
                <w:bCs w:val="false"/>
                <w:sz w:val="18"/>
                <w:szCs w:val="18"/>
              </w:rPr>
              <w:t xml:space="preserve">5.5%</w:t>
            </w:r>
          </w:p>
        </w:tc>
        <w:tc>
          <w:tcPr>
            <w:tcW w:type="dxa" w:w="1938"/>
            <w:tcBorders>
              <w:top w:val="single" w:color="BFBFBF" w:sz="4"/>
              <w:left w:val="single" w:color="BFBFBF" w:sz="4"/>
              <w:bottom w:val="single" w:color="BFBFBF" w:sz="4"/>
              <w:right w:val="single" w:color="BFBFBF" w:sz="4"/>
            </w:tcBorders>
            <w:shd w:fill="F5F7FA" w:color="auto" w:val="clear"/>
            <w:tcMar>
              <w:top w:type="dxa" w:w="60"/>
              <w:left w:type="dxa" w:w="90"/>
              <w:bottom w:type="dxa" w:w="60"/>
              <w:right w:type="dxa" w:w="90"/>
            </w:tcMar>
          </w:tcPr>
          <w:p>
            <w:pPr>
              <w:jc w:val="right"/>
            </w:pPr>
            <w:r>
              <w:rPr>
                <w:rFonts w:ascii="Arial" w:cs="Arial" w:eastAsia="Arial" w:hAnsi="Arial"/>
                <w:b w:val="false"/>
                <w:bCs w:val="false"/>
                <w:sz w:val="18"/>
                <w:szCs w:val="18"/>
              </w:rPr>
              <w:t xml:space="preserve">₦39,248</w:t>
            </w:r>
          </w:p>
        </w:tc>
      </w:tr>
    </w:tbl>
    <w:p>
      <w:pPr>
        <w:spacing w:after="120"/>
      </w:pPr>
    </w:p>
    <w:p>
      <w:pPr>
        <w:spacing w:after="120" w:before="0" w:line="280"/>
      </w:pPr>
      <w:r>
        <w:rPr>
          <w:rFonts w:ascii="Arial" w:cs="Arial" w:eastAsia="Arial" w:hAnsi="Arial"/>
          <w:sz w:val="21"/>
          <w:szCs w:val="21"/>
        </w:rPr>
        <w:t xml:space="preserve"/>
      </w:r>
      <w:r>
        <w:rPr>
          <w:rFonts w:ascii="Arial" w:cs="Arial" w:eastAsia="Arial" w:hAnsi="Arial"/>
          <w:b/>
          <w:bCs/>
          <w:sz w:val="21"/>
          <w:szCs w:val="21"/>
        </w:rPr>
        <w:t xml:space="preserve">Finding:</w:t>
      </w:r>
      <w:r>
        <w:rPr>
          <w:rFonts w:ascii="Arial" w:cs="Arial" w:eastAsia="Arial" w:hAnsi="Arial"/>
          <w:sz w:val="21"/>
          <w:szCs w:val="21"/>
        </w:rPr>
        <w:t xml:space="preserve"> the Everyday segment produces 46.6% of value, mainly because it is the largest segment (47% of all transactions); average amounts are similar across segments (₦45.6k to ₦49.1k), with SME highest. Lagos (33.9%) and Abuja (14.9%) together produce 48.8% of value. Benin City has the lowest average amount (₦39.2k). By income band, 250k-499k (28.4%) and 100k-249k (27.5%) contribute the most value; the Below 100k band has the highest average amount (₦49.5k), which is counter-intuitive and reflects the synthetic nature of the data.</w:t>
      </w:r>
    </w:p>
    <w:p>
      <w:pPr>
        <w:pStyle w:val="Heading2"/>
      </w:pPr>
      <w:r>
        <w:rPr>
          <w:rFonts w:ascii="Arial" w:cs="Arial" w:eastAsia="Arial" w:hAnsi="Arial"/>
        </w:rPr>
        <w:t xml:space="preserve">Q2. Which transaction types and channels carry the most volume and value?</w:t>
      </w:r>
    </w:p>
    <w:p>
      <w:pPr>
        <w:spacing w:after="120" w:before="0" w:line="280"/>
      </w:pPr>
      <w:r>
        <w:rPr>
          <w:rFonts w:ascii="Arial" w:cs="Arial" w:eastAsia="Arial" w:hAnsi="Arial"/>
          <w:sz w:val="21"/>
          <w:szCs w:val="21"/>
        </w:rPr>
        <w:t xml:space="preserve"/>
      </w:r>
      <w:r>
        <w:rPr>
          <w:rFonts w:ascii="Arial" w:cs="Arial" w:eastAsia="Arial" w:hAnsi="Arial"/>
          <w:b/>
          <w:bCs/>
          <w:sz w:val="21"/>
          <w:szCs w:val="21"/>
        </w:rPr>
        <w:t xml:space="preserve">Why it matters:</w:t>
      </w:r>
      <w:r>
        <w:rPr>
          <w:rFonts w:ascii="Arial" w:cs="Arial" w:eastAsia="Arial" w:hAnsi="Arial"/>
          <w:sz w:val="21"/>
          <w:szCs w:val="21"/>
        </w:rPr>
        <w:t xml:space="preserve"> shows what customers use the bank for and which channels to prioritise.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1700"/>
        <w:gridCol w:w="1900"/>
        <w:gridCol w:w="1900"/>
        <w:gridCol w:w="1938"/>
      </w:tblGrid>
      <w:tr>
        <w:trPr>
          <w:tblHeader/>
        </w:trPr>
        <w:tc>
          <w:tcPr>
            <w:tcW w:type="dxa" w:w="22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jc w:val="left"/>
            </w:pPr>
            <w:r>
              <w:rPr>
                <w:rFonts w:ascii="Arial" w:cs="Arial" w:eastAsia="Arial" w:hAnsi="Arial"/>
                <w:b/>
                <w:bCs/>
                <w:color w:val="FFFFFF"/>
                <w:sz w:val="18"/>
                <w:szCs w:val="18"/>
              </w:rPr>
              <w:t xml:space="preserve">Transaction type</w:t>
            </w:r>
          </w:p>
        </w:tc>
        <w:tc>
          <w:tcPr>
            <w:tcW w:type="dxa" w:w="17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jc w:val="left"/>
            </w:pPr>
            <w:r>
              <w:rPr>
                <w:rFonts w:ascii="Arial" w:cs="Arial" w:eastAsia="Arial" w:hAnsi="Arial"/>
                <w:b/>
                <w:bCs/>
                <w:color w:val="FFFFFF"/>
                <w:sz w:val="18"/>
                <w:szCs w:val="18"/>
              </w:rPr>
              <w:t xml:space="preserve">Transactions</w:t>
            </w:r>
          </w:p>
        </w:tc>
        <w:tc>
          <w:tcPr>
            <w:tcW w:type="dxa" w:w="19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jc w:val="left"/>
            </w:pPr>
            <w:r>
              <w:rPr>
                <w:rFonts w:ascii="Arial" w:cs="Arial" w:eastAsia="Arial" w:hAnsi="Arial"/>
                <w:b/>
                <w:bCs/>
                <w:color w:val="FFFFFF"/>
                <w:sz w:val="18"/>
                <w:szCs w:val="18"/>
              </w:rPr>
              <w:t xml:space="preserve">Value</w:t>
            </w:r>
          </w:p>
        </w:tc>
        <w:tc>
          <w:tcPr>
            <w:tcW w:type="dxa" w:w="19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jc w:val="left"/>
            </w:pPr>
            <w:r>
              <w:rPr>
                <w:rFonts w:ascii="Arial" w:cs="Arial" w:eastAsia="Arial" w:hAnsi="Arial"/>
                <w:b/>
                <w:bCs/>
                <w:color w:val="FFFFFF"/>
                <w:sz w:val="18"/>
                <w:szCs w:val="18"/>
              </w:rPr>
              <w:t xml:space="preserve">Share of value</w:t>
            </w:r>
          </w:p>
        </w:tc>
        <w:tc>
          <w:tcPr>
            <w:tcW w:type="dxa" w:w="1938"/>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jc w:val="left"/>
            </w:pPr>
            <w:r>
              <w:rPr>
                <w:rFonts w:ascii="Arial" w:cs="Arial" w:eastAsia="Arial" w:hAnsi="Arial"/>
                <w:b/>
                <w:bCs/>
                <w:color w:val="FFFFFF"/>
                <w:sz w:val="18"/>
                <w:szCs w:val="18"/>
              </w:rPr>
              <w:t xml:space="preserve">Avg amount</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b w:val="false"/>
                <w:bCs w:val="false"/>
                <w:sz w:val="18"/>
                <w:szCs w:val="18"/>
              </w:rPr>
              <w:t xml:space="preserve">Transfer</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right"/>
            </w:pPr>
            <w:r>
              <w:rPr>
                <w:rFonts w:ascii="Arial" w:cs="Arial" w:eastAsia="Arial" w:hAnsi="Arial"/>
                <w:b w:val="false"/>
                <w:bCs w:val="false"/>
                <w:sz w:val="18"/>
                <w:szCs w:val="18"/>
              </w:rPr>
              <w:t xml:space="preserve">3,549</w:t>
            </w:r>
          </w:p>
        </w:tc>
        <w:tc>
          <w:tcPr>
            <w:tcW w:type="dxa" w:w="19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right"/>
            </w:pPr>
            <w:r>
              <w:rPr>
                <w:rFonts w:ascii="Arial" w:cs="Arial" w:eastAsia="Arial" w:hAnsi="Arial"/>
                <w:b w:val="false"/>
                <w:bCs w:val="false"/>
                <w:sz w:val="18"/>
                <w:szCs w:val="18"/>
              </w:rPr>
              <w:t xml:space="preserve">₦237.9M</w:t>
            </w:r>
          </w:p>
        </w:tc>
        <w:tc>
          <w:tcPr>
            <w:tcW w:type="dxa" w:w="19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right"/>
            </w:pPr>
            <w:r>
              <w:rPr>
                <w:rFonts w:ascii="Arial" w:cs="Arial" w:eastAsia="Arial" w:hAnsi="Arial"/>
                <w:b w:val="false"/>
                <w:bCs w:val="false"/>
                <w:sz w:val="18"/>
                <w:szCs w:val="18"/>
              </w:rPr>
              <w:t xml:space="preserve">42.4%</w:t>
            </w:r>
          </w:p>
        </w:tc>
        <w:tc>
          <w:tcPr>
            <w:tcW w:type="dxa" w:w="1938"/>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right"/>
            </w:pPr>
            <w:r>
              <w:rPr>
                <w:rFonts w:ascii="Arial" w:cs="Arial" w:eastAsia="Arial" w:hAnsi="Arial"/>
                <w:b w:val="false"/>
                <w:bCs w:val="false"/>
                <w:sz w:val="18"/>
                <w:szCs w:val="18"/>
              </w:rPr>
              <w:t xml:space="preserve">₦67,038</w:t>
            </w:r>
          </w:p>
        </w:tc>
      </w:tr>
      <w:tr>
        <w:trPr>
          <w:cantSplit/>
        </w:trPr>
        <w:tc>
          <w:tcPr>
            <w:tcW w:type="dxa" w:w="2200"/>
            <w:tcBorders>
              <w:top w:val="single" w:color="BFBFBF" w:sz="4"/>
              <w:left w:val="single" w:color="BFBFBF" w:sz="4"/>
              <w:bottom w:val="single" w:color="BFBFBF" w:sz="4"/>
              <w:right w:val="single" w:color="BFBFBF" w:sz="4"/>
            </w:tcBorders>
            <w:shd w:fill="F5F7FA" w:color="auto" w:val="clear"/>
            <w:tcMar>
              <w:top w:type="dxa" w:w="60"/>
              <w:left w:type="dxa" w:w="90"/>
              <w:bottom w:type="dxa" w:w="60"/>
              <w:right w:type="dxa" w:w="90"/>
            </w:tcMar>
          </w:tcPr>
          <w:p>
            <w:pPr>
              <w:jc w:val="left"/>
            </w:pPr>
            <w:r>
              <w:rPr>
                <w:rFonts w:ascii="Arial" w:cs="Arial" w:eastAsia="Arial" w:hAnsi="Arial"/>
                <w:b w:val="false"/>
                <w:bCs w:val="false"/>
                <w:sz w:val="18"/>
                <w:szCs w:val="18"/>
              </w:rPr>
              <w:t xml:space="preserve">Deposit</w:t>
            </w:r>
          </w:p>
        </w:tc>
        <w:tc>
          <w:tcPr>
            <w:tcW w:type="dxa" w:w="1700"/>
            <w:tcBorders>
              <w:top w:val="single" w:color="BFBFBF" w:sz="4"/>
              <w:left w:val="single" w:color="BFBFBF" w:sz="4"/>
              <w:bottom w:val="single" w:color="BFBFBF" w:sz="4"/>
              <w:right w:val="single" w:color="BFBFBF" w:sz="4"/>
            </w:tcBorders>
            <w:shd w:fill="F5F7FA" w:color="auto" w:val="clear"/>
            <w:tcMar>
              <w:top w:type="dxa" w:w="60"/>
              <w:left w:type="dxa" w:w="90"/>
              <w:bottom w:type="dxa" w:w="60"/>
              <w:right w:type="dxa" w:w="90"/>
            </w:tcMar>
          </w:tcPr>
          <w:p>
            <w:pPr>
              <w:jc w:val="right"/>
            </w:pPr>
            <w:r>
              <w:rPr>
                <w:rFonts w:ascii="Arial" w:cs="Arial" w:eastAsia="Arial" w:hAnsi="Arial"/>
                <w:b w:val="false"/>
                <w:bCs w:val="false"/>
                <w:sz w:val="18"/>
                <w:szCs w:val="18"/>
              </w:rPr>
              <w:t xml:space="preserve">1,328</w:t>
            </w:r>
          </w:p>
        </w:tc>
        <w:tc>
          <w:tcPr>
            <w:tcW w:type="dxa" w:w="1900"/>
            <w:tcBorders>
              <w:top w:val="single" w:color="BFBFBF" w:sz="4"/>
              <w:left w:val="single" w:color="BFBFBF" w:sz="4"/>
              <w:bottom w:val="single" w:color="BFBFBF" w:sz="4"/>
              <w:right w:val="single" w:color="BFBFBF" w:sz="4"/>
            </w:tcBorders>
            <w:shd w:fill="F5F7FA" w:color="auto" w:val="clear"/>
            <w:tcMar>
              <w:top w:type="dxa" w:w="60"/>
              <w:left w:type="dxa" w:w="90"/>
              <w:bottom w:type="dxa" w:w="60"/>
              <w:right w:type="dxa" w:w="90"/>
            </w:tcMar>
          </w:tcPr>
          <w:p>
            <w:pPr>
              <w:jc w:val="right"/>
            </w:pPr>
            <w:r>
              <w:rPr>
                <w:rFonts w:ascii="Arial" w:cs="Arial" w:eastAsia="Arial" w:hAnsi="Arial"/>
                <w:b w:val="false"/>
                <w:bCs w:val="false"/>
                <w:sz w:val="18"/>
                <w:szCs w:val="18"/>
              </w:rPr>
              <w:t xml:space="preserve">₦131.0M</w:t>
            </w:r>
          </w:p>
        </w:tc>
        <w:tc>
          <w:tcPr>
            <w:tcW w:type="dxa" w:w="1900"/>
            <w:tcBorders>
              <w:top w:val="single" w:color="BFBFBF" w:sz="4"/>
              <w:left w:val="single" w:color="BFBFBF" w:sz="4"/>
              <w:bottom w:val="single" w:color="BFBFBF" w:sz="4"/>
              <w:right w:val="single" w:color="BFBFBF" w:sz="4"/>
            </w:tcBorders>
            <w:shd w:fill="F5F7FA" w:color="auto" w:val="clear"/>
            <w:tcMar>
              <w:top w:type="dxa" w:w="60"/>
              <w:left w:type="dxa" w:w="90"/>
              <w:bottom w:type="dxa" w:w="60"/>
              <w:right w:type="dxa" w:w="90"/>
            </w:tcMar>
          </w:tcPr>
          <w:p>
            <w:pPr>
              <w:jc w:val="right"/>
            </w:pPr>
            <w:r>
              <w:rPr>
                <w:rFonts w:ascii="Arial" w:cs="Arial" w:eastAsia="Arial" w:hAnsi="Arial"/>
                <w:b w:val="false"/>
                <w:bCs w:val="false"/>
                <w:sz w:val="18"/>
                <w:szCs w:val="18"/>
              </w:rPr>
              <w:t xml:space="preserve">23.4%</w:t>
            </w:r>
          </w:p>
        </w:tc>
        <w:tc>
          <w:tcPr>
            <w:tcW w:type="dxa" w:w="1938"/>
            <w:tcBorders>
              <w:top w:val="single" w:color="BFBFBF" w:sz="4"/>
              <w:left w:val="single" w:color="BFBFBF" w:sz="4"/>
              <w:bottom w:val="single" w:color="BFBFBF" w:sz="4"/>
              <w:right w:val="single" w:color="BFBFBF" w:sz="4"/>
            </w:tcBorders>
            <w:shd w:fill="F5F7FA" w:color="auto" w:val="clear"/>
            <w:tcMar>
              <w:top w:type="dxa" w:w="60"/>
              <w:left w:type="dxa" w:w="90"/>
              <w:bottom w:type="dxa" w:w="60"/>
              <w:right w:type="dxa" w:w="90"/>
            </w:tcMar>
          </w:tcPr>
          <w:p>
            <w:pPr>
              <w:jc w:val="right"/>
            </w:pPr>
            <w:r>
              <w:rPr>
                <w:rFonts w:ascii="Arial" w:cs="Arial" w:eastAsia="Arial" w:hAnsi="Arial"/>
                <w:b w:val="false"/>
                <w:bCs w:val="false"/>
                <w:sz w:val="18"/>
                <w:szCs w:val="18"/>
              </w:rPr>
              <w:t xml:space="preserve">₦98,633</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b w:val="false"/>
                <w:bCs w:val="false"/>
                <w:sz w:val="18"/>
                <w:szCs w:val="18"/>
              </w:rPr>
              <w:t xml:space="preserve">Card Purchase</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right"/>
            </w:pPr>
            <w:r>
              <w:rPr>
                <w:rFonts w:ascii="Arial" w:cs="Arial" w:eastAsia="Arial" w:hAnsi="Arial"/>
                <w:b w:val="false"/>
                <w:bCs w:val="false"/>
                <w:sz w:val="18"/>
                <w:szCs w:val="18"/>
              </w:rPr>
              <w:t xml:space="preserve">3,033</w:t>
            </w:r>
          </w:p>
        </w:tc>
        <w:tc>
          <w:tcPr>
            <w:tcW w:type="dxa" w:w="19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right"/>
            </w:pPr>
            <w:r>
              <w:rPr>
                <w:rFonts w:ascii="Arial" w:cs="Arial" w:eastAsia="Arial" w:hAnsi="Arial"/>
                <w:b w:val="false"/>
                <w:bCs w:val="false"/>
                <w:sz w:val="18"/>
                <w:szCs w:val="18"/>
              </w:rPr>
              <w:t xml:space="preserve">₦85.9M</w:t>
            </w:r>
          </w:p>
        </w:tc>
        <w:tc>
          <w:tcPr>
            <w:tcW w:type="dxa" w:w="19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right"/>
            </w:pPr>
            <w:r>
              <w:rPr>
                <w:rFonts w:ascii="Arial" w:cs="Arial" w:eastAsia="Arial" w:hAnsi="Arial"/>
                <w:b w:val="false"/>
                <w:bCs w:val="false"/>
                <w:sz w:val="18"/>
                <w:szCs w:val="18"/>
              </w:rPr>
              <w:t xml:space="preserve">15.3%</w:t>
            </w:r>
          </w:p>
        </w:tc>
        <w:tc>
          <w:tcPr>
            <w:tcW w:type="dxa" w:w="1938"/>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right"/>
            </w:pPr>
            <w:r>
              <w:rPr>
                <w:rFonts w:ascii="Arial" w:cs="Arial" w:eastAsia="Arial" w:hAnsi="Arial"/>
                <w:b w:val="false"/>
                <w:bCs w:val="false"/>
                <w:sz w:val="18"/>
                <w:szCs w:val="18"/>
              </w:rPr>
              <w:t xml:space="preserve">₦28,310</w:t>
            </w:r>
          </w:p>
        </w:tc>
      </w:tr>
      <w:tr>
        <w:trPr>
          <w:cantSplit/>
        </w:trPr>
        <w:tc>
          <w:tcPr>
            <w:tcW w:type="dxa" w:w="2200"/>
            <w:tcBorders>
              <w:top w:val="single" w:color="BFBFBF" w:sz="4"/>
              <w:left w:val="single" w:color="BFBFBF" w:sz="4"/>
              <w:bottom w:val="single" w:color="BFBFBF" w:sz="4"/>
              <w:right w:val="single" w:color="BFBFBF" w:sz="4"/>
            </w:tcBorders>
            <w:shd w:fill="F5F7FA" w:color="auto" w:val="clear"/>
            <w:tcMar>
              <w:top w:type="dxa" w:w="60"/>
              <w:left w:type="dxa" w:w="90"/>
              <w:bottom w:type="dxa" w:w="60"/>
              <w:right w:type="dxa" w:w="90"/>
            </w:tcMar>
          </w:tcPr>
          <w:p>
            <w:pPr>
              <w:jc w:val="left"/>
            </w:pPr>
            <w:r>
              <w:rPr>
                <w:rFonts w:ascii="Arial" w:cs="Arial" w:eastAsia="Arial" w:hAnsi="Arial"/>
                <w:b w:val="false"/>
                <w:bCs w:val="false"/>
                <w:sz w:val="18"/>
                <w:szCs w:val="18"/>
              </w:rPr>
              <w:t xml:space="preserve">Cash Withdrawal</w:t>
            </w:r>
          </w:p>
        </w:tc>
        <w:tc>
          <w:tcPr>
            <w:tcW w:type="dxa" w:w="1700"/>
            <w:tcBorders>
              <w:top w:val="single" w:color="BFBFBF" w:sz="4"/>
              <w:left w:val="single" w:color="BFBFBF" w:sz="4"/>
              <w:bottom w:val="single" w:color="BFBFBF" w:sz="4"/>
              <w:right w:val="single" w:color="BFBFBF" w:sz="4"/>
            </w:tcBorders>
            <w:shd w:fill="F5F7FA" w:color="auto" w:val="clear"/>
            <w:tcMar>
              <w:top w:type="dxa" w:w="60"/>
              <w:left w:type="dxa" w:w="90"/>
              <w:bottom w:type="dxa" w:w="60"/>
              <w:right w:type="dxa" w:w="90"/>
            </w:tcMar>
          </w:tcPr>
          <w:p>
            <w:pPr>
              <w:jc w:val="right"/>
            </w:pPr>
            <w:r>
              <w:rPr>
                <w:rFonts w:ascii="Arial" w:cs="Arial" w:eastAsia="Arial" w:hAnsi="Arial"/>
                <w:b w:val="false"/>
                <w:bCs w:val="false"/>
                <w:sz w:val="18"/>
                <w:szCs w:val="18"/>
              </w:rPr>
              <w:t xml:space="preserve">1,430</w:t>
            </w:r>
          </w:p>
        </w:tc>
        <w:tc>
          <w:tcPr>
            <w:tcW w:type="dxa" w:w="1900"/>
            <w:tcBorders>
              <w:top w:val="single" w:color="BFBFBF" w:sz="4"/>
              <w:left w:val="single" w:color="BFBFBF" w:sz="4"/>
              <w:bottom w:val="single" w:color="BFBFBF" w:sz="4"/>
              <w:right w:val="single" w:color="BFBFBF" w:sz="4"/>
            </w:tcBorders>
            <w:shd w:fill="F5F7FA" w:color="auto" w:val="clear"/>
            <w:tcMar>
              <w:top w:type="dxa" w:w="60"/>
              <w:left w:type="dxa" w:w="90"/>
              <w:bottom w:type="dxa" w:w="60"/>
              <w:right w:type="dxa" w:w="90"/>
            </w:tcMar>
          </w:tcPr>
          <w:p>
            <w:pPr>
              <w:jc w:val="right"/>
            </w:pPr>
            <w:r>
              <w:rPr>
                <w:rFonts w:ascii="Arial" w:cs="Arial" w:eastAsia="Arial" w:hAnsi="Arial"/>
                <w:b w:val="false"/>
                <w:bCs w:val="false"/>
                <w:sz w:val="18"/>
                <w:szCs w:val="18"/>
              </w:rPr>
              <w:t xml:space="preserve">₦67.8M</w:t>
            </w:r>
          </w:p>
        </w:tc>
        <w:tc>
          <w:tcPr>
            <w:tcW w:type="dxa" w:w="1900"/>
            <w:tcBorders>
              <w:top w:val="single" w:color="BFBFBF" w:sz="4"/>
              <w:left w:val="single" w:color="BFBFBF" w:sz="4"/>
              <w:bottom w:val="single" w:color="BFBFBF" w:sz="4"/>
              <w:right w:val="single" w:color="BFBFBF" w:sz="4"/>
            </w:tcBorders>
            <w:shd w:fill="F5F7FA" w:color="auto" w:val="clear"/>
            <w:tcMar>
              <w:top w:type="dxa" w:w="60"/>
              <w:left w:type="dxa" w:w="90"/>
              <w:bottom w:type="dxa" w:w="60"/>
              <w:right w:type="dxa" w:w="90"/>
            </w:tcMar>
          </w:tcPr>
          <w:p>
            <w:pPr>
              <w:jc w:val="right"/>
            </w:pPr>
            <w:r>
              <w:rPr>
                <w:rFonts w:ascii="Arial" w:cs="Arial" w:eastAsia="Arial" w:hAnsi="Arial"/>
                <w:b w:val="false"/>
                <w:bCs w:val="false"/>
                <w:sz w:val="18"/>
                <w:szCs w:val="18"/>
              </w:rPr>
              <w:t xml:space="preserve">12.1%</w:t>
            </w:r>
          </w:p>
        </w:tc>
        <w:tc>
          <w:tcPr>
            <w:tcW w:type="dxa" w:w="1938"/>
            <w:tcBorders>
              <w:top w:val="single" w:color="BFBFBF" w:sz="4"/>
              <w:left w:val="single" w:color="BFBFBF" w:sz="4"/>
              <w:bottom w:val="single" w:color="BFBFBF" w:sz="4"/>
              <w:right w:val="single" w:color="BFBFBF" w:sz="4"/>
            </w:tcBorders>
            <w:shd w:fill="F5F7FA" w:color="auto" w:val="clear"/>
            <w:tcMar>
              <w:top w:type="dxa" w:w="60"/>
              <w:left w:type="dxa" w:w="90"/>
              <w:bottom w:type="dxa" w:w="60"/>
              <w:right w:type="dxa" w:w="90"/>
            </w:tcMar>
          </w:tcPr>
          <w:p>
            <w:pPr>
              <w:jc w:val="right"/>
            </w:pPr>
            <w:r>
              <w:rPr>
                <w:rFonts w:ascii="Arial" w:cs="Arial" w:eastAsia="Arial" w:hAnsi="Arial"/>
                <w:b w:val="false"/>
                <w:bCs w:val="false"/>
                <w:sz w:val="18"/>
                <w:szCs w:val="18"/>
              </w:rPr>
              <w:t xml:space="preserve">₦47,393</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b w:val="false"/>
                <w:bCs w:val="false"/>
                <w:sz w:val="18"/>
                <w:szCs w:val="18"/>
              </w:rPr>
              <w:t xml:space="preserve">Bill Payment</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right"/>
            </w:pPr>
            <w:r>
              <w:rPr>
                <w:rFonts w:ascii="Arial" w:cs="Arial" w:eastAsia="Arial" w:hAnsi="Arial"/>
                <w:b w:val="false"/>
                <w:bCs w:val="false"/>
                <w:sz w:val="18"/>
                <w:szCs w:val="18"/>
              </w:rPr>
              <w:t xml:space="preserve">1,475</w:t>
            </w:r>
          </w:p>
        </w:tc>
        <w:tc>
          <w:tcPr>
            <w:tcW w:type="dxa" w:w="19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right"/>
            </w:pPr>
            <w:r>
              <w:rPr>
                <w:rFonts w:ascii="Arial" w:cs="Arial" w:eastAsia="Arial" w:hAnsi="Arial"/>
                <w:b w:val="false"/>
                <w:bCs w:val="false"/>
                <w:sz w:val="18"/>
                <w:szCs w:val="18"/>
              </w:rPr>
              <w:t xml:space="preserve">₦28.2M</w:t>
            </w:r>
          </w:p>
        </w:tc>
        <w:tc>
          <w:tcPr>
            <w:tcW w:type="dxa" w:w="19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right"/>
            </w:pPr>
            <w:r>
              <w:rPr>
                <w:rFonts w:ascii="Arial" w:cs="Arial" w:eastAsia="Arial" w:hAnsi="Arial"/>
                <w:b w:val="false"/>
                <w:bCs w:val="false"/>
                <w:sz w:val="18"/>
                <w:szCs w:val="18"/>
              </w:rPr>
              <w:t xml:space="preserve">5.0%</w:t>
            </w:r>
          </w:p>
        </w:tc>
        <w:tc>
          <w:tcPr>
            <w:tcW w:type="dxa" w:w="1938"/>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right"/>
            </w:pPr>
            <w:r>
              <w:rPr>
                <w:rFonts w:ascii="Arial" w:cs="Arial" w:eastAsia="Arial" w:hAnsi="Arial"/>
                <w:b w:val="false"/>
                <w:bCs w:val="false"/>
                <w:sz w:val="18"/>
                <w:szCs w:val="18"/>
              </w:rPr>
              <w:t xml:space="preserve">₦19,094</w:t>
            </w:r>
          </w:p>
        </w:tc>
      </w:tr>
      <w:tr>
        <w:trPr>
          <w:cantSplit/>
        </w:trPr>
        <w:tc>
          <w:tcPr>
            <w:tcW w:type="dxa" w:w="2200"/>
            <w:tcBorders>
              <w:top w:val="single" w:color="BFBFBF" w:sz="4"/>
              <w:left w:val="single" w:color="BFBFBF" w:sz="4"/>
              <w:bottom w:val="single" w:color="BFBFBF" w:sz="4"/>
              <w:right w:val="single" w:color="BFBFBF" w:sz="4"/>
            </w:tcBorders>
            <w:shd w:fill="F5F7FA" w:color="auto" w:val="clear"/>
            <w:tcMar>
              <w:top w:type="dxa" w:w="60"/>
              <w:left w:type="dxa" w:w="90"/>
              <w:bottom w:type="dxa" w:w="60"/>
              <w:right w:type="dxa" w:w="90"/>
            </w:tcMar>
          </w:tcPr>
          <w:p>
            <w:pPr>
              <w:jc w:val="left"/>
            </w:pPr>
            <w:r>
              <w:rPr>
                <w:rFonts w:ascii="Arial" w:cs="Arial" w:eastAsia="Arial" w:hAnsi="Arial"/>
                <w:b w:val="false"/>
                <w:bCs w:val="false"/>
                <w:sz w:val="18"/>
                <w:szCs w:val="18"/>
              </w:rPr>
              <w:t xml:space="preserve">Airtime/Data</w:t>
            </w:r>
          </w:p>
        </w:tc>
        <w:tc>
          <w:tcPr>
            <w:tcW w:type="dxa" w:w="1700"/>
            <w:tcBorders>
              <w:top w:val="single" w:color="BFBFBF" w:sz="4"/>
              <w:left w:val="single" w:color="BFBFBF" w:sz="4"/>
              <w:bottom w:val="single" w:color="BFBFBF" w:sz="4"/>
              <w:right w:val="single" w:color="BFBFBF" w:sz="4"/>
            </w:tcBorders>
            <w:shd w:fill="F5F7FA" w:color="auto" w:val="clear"/>
            <w:tcMar>
              <w:top w:type="dxa" w:w="60"/>
              <w:left w:type="dxa" w:w="90"/>
              <w:bottom w:type="dxa" w:w="60"/>
              <w:right w:type="dxa" w:w="90"/>
            </w:tcMar>
          </w:tcPr>
          <w:p>
            <w:pPr>
              <w:jc w:val="right"/>
            </w:pPr>
            <w:r>
              <w:rPr>
                <w:rFonts w:ascii="Arial" w:cs="Arial" w:eastAsia="Arial" w:hAnsi="Arial"/>
                <w:b w:val="false"/>
                <w:bCs w:val="false"/>
                <w:sz w:val="18"/>
                <w:szCs w:val="18"/>
              </w:rPr>
              <w:t xml:space="preserve">1,185</w:t>
            </w:r>
          </w:p>
        </w:tc>
        <w:tc>
          <w:tcPr>
            <w:tcW w:type="dxa" w:w="1900"/>
            <w:tcBorders>
              <w:top w:val="single" w:color="BFBFBF" w:sz="4"/>
              <w:left w:val="single" w:color="BFBFBF" w:sz="4"/>
              <w:bottom w:val="single" w:color="BFBFBF" w:sz="4"/>
              <w:right w:val="single" w:color="BFBFBF" w:sz="4"/>
            </w:tcBorders>
            <w:shd w:fill="F5F7FA" w:color="auto" w:val="clear"/>
            <w:tcMar>
              <w:top w:type="dxa" w:w="60"/>
              <w:left w:type="dxa" w:w="90"/>
              <w:bottom w:type="dxa" w:w="60"/>
              <w:right w:type="dxa" w:w="90"/>
            </w:tcMar>
          </w:tcPr>
          <w:p>
            <w:pPr>
              <w:jc w:val="right"/>
            </w:pPr>
            <w:r>
              <w:rPr>
                <w:rFonts w:ascii="Arial" w:cs="Arial" w:eastAsia="Arial" w:hAnsi="Arial"/>
                <w:b w:val="false"/>
                <w:bCs w:val="false"/>
                <w:sz w:val="18"/>
                <w:szCs w:val="18"/>
              </w:rPr>
              <w:t xml:space="preserve">₦9.8M</w:t>
            </w:r>
          </w:p>
        </w:tc>
        <w:tc>
          <w:tcPr>
            <w:tcW w:type="dxa" w:w="1900"/>
            <w:tcBorders>
              <w:top w:val="single" w:color="BFBFBF" w:sz="4"/>
              <w:left w:val="single" w:color="BFBFBF" w:sz="4"/>
              <w:bottom w:val="single" w:color="BFBFBF" w:sz="4"/>
              <w:right w:val="single" w:color="BFBFBF" w:sz="4"/>
            </w:tcBorders>
            <w:shd w:fill="F5F7FA" w:color="auto" w:val="clear"/>
            <w:tcMar>
              <w:top w:type="dxa" w:w="60"/>
              <w:left w:type="dxa" w:w="90"/>
              <w:bottom w:type="dxa" w:w="60"/>
              <w:right w:type="dxa" w:w="90"/>
            </w:tcMar>
          </w:tcPr>
          <w:p>
            <w:pPr>
              <w:jc w:val="right"/>
            </w:pPr>
            <w:r>
              <w:rPr>
                <w:rFonts w:ascii="Arial" w:cs="Arial" w:eastAsia="Arial" w:hAnsi="Arial"/>
                <w:b w:val="false"/>
                <w:bCs w:val="false"/>
                <w:sz w:val="18"/>
                <w:szCs w:val="18"/>
              </w:rPr>
              <w:t xml:space="preserve">1.7%</w:t>
            </w:r>
          </w:p>
        </w:tc>
        <w:tc>
          <w:tcPr>
            <w:tcW w:type="dxa" w:w="1938"/>
            <w:tcBorders>
              <w:top w:val="single" w:color="BFBFBF" w:sz="4"/>
              <w:left w:val="single" w:color="BFBFBF" w:sz="4"/>
              <w:bottom w:val="single" w:color="BFBFBF" w:sz="4"/>
              <w:right w:val="single" w:color="BFBFBF" w:sz="4"/>
            </w:tcBorders>
            <w:shd w:fill="F5F7FA" w:color="auto" w:val="clear"/>
            <w:tcMar>
              <w:top w:type="dxa" w:w="60"/>
              <w:left w:type="dxa" w:w="90"/>
              <w:bottom w:type="dxa" w:w="60"/>
              <w:right w:type="dxa" w:w="90"/>
            </w:tcMar>
          </w:tcPr>
          <w:p>
            <w:pPr>
              <w:jc w:val="right"/>
            </w:pPr>
            <w:r>
              <w:rPr>
                <w:rFonts w:ascii="Arial" w:cs="Arial" w:eastAsia="Arial" w:hAnsi="Arial"/>
                <w:b w:val="false"/>
                <w:bCs w:val="false"/>
                <w:sz w:val="18"/>
                <w:szCs w:val="18"/>
              </w:rPr>
              <w:t xml:space="preserve">₦8,250</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1700"/>
        <w:gridCol w:w="1900"/>
        <w:gridCol w:w="1900"/>
        <w:gridCol w:w="1938"/>
      </w:tblGrid>
      <w:tr>
        <w:trPr>
          <w:tblHeader/>
        </w:trPr>
        <w:tc>
          <w:tcPr>
            <w:tcW w:type="dxa" w:w="22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jc w:val="left"/>
            </w:pPr>
            <w:r>
              <w:rPr>
                <w:rFonts w:ascii="Arial" w:cs="Arial" w:eastAsia="Arial" w:hAnsi="Arial"/>
                <w:b/>
                <w:bCs/>
                <w:color w:val="FFFFFF"/>
                <w:sz w:val="18"/>
                <w:szCs w:val="18"/>
              </w:rPr>
              <w:t xml:space="preserve">Channel</w:t>
            </w:r>
          </w:p>
        </w:tc>
        <w:tc>
          <w:tcPr>
            <w:tcW w:type="dxa" w:w="17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jc w:val="left"/>
            </w:pPr>
            <w:r>
              <w:rPr>
                <w:rFonts w:ascii="Arial" w:cs="Arial" w:eastAsia="Arial" w:hAnsi="Arial"/>
                <w:b/>
                <w:bCs/>
                <w:color w:val="FFFFFF"/>
                <w:sz w:val="18"/>
                <w:szCs w:val="18"/>
              </w:rPr>
              <w:t xml:space="preserve">Transactions</w:t>
            </w:r>
          </w:p>
        </w:tc>
        <w:tc>
          <w:tcPr>
            <w:tcW w:type="dxa" w:w="19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jc w:val="left"/>
            </w:pPr>
            <w:r>
              <w:rPr>
                <w:rFonts w:ascii="Arial" w:cs="Arial" w:eastAsia="Arial" w:hAnsi="Arial"/>
                <w:b/>
                <w:bCs/>
                <w:color w:val="FFFFFF"/>
                <w:sz w:val="18"/>
                <w:szCs w:val="18"/>
              </w:rPr>
              <w:t xml:space="preserve">Share of txns</w:t>
            </w:r>
          </w:p>
        </w:tc>
        <w:tc>
          <w:tcPr>
            <w:tcW w:type="dxa" w:w="19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jc w:val="left"/>
            </w:pPr>
            <w:r>
              <w:rPr>
                <w:rFonts w:ascii="Arial" w:cs="Arial" w:eastAsia="Arial" w:hAnsi="Arial"/>
                <w:b/>
                <w:bCs/>
                <w:color w:val="FFFFFF"/>
                <w:sz w:val="18"/>
                <w:szCs w:val="18"/>
              </w:rPr>
              <w:t xml:space="preserve">Value</w:t>
            </w:r>
          </w:p>
        </w:tc>
        <w:tc>
          <w:tcPr>
            <w:tcW w:type="dxa" w:w="1938"/>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jc w:val="left"/>
            </w:pPr>
            <w:r>
              <w:rPr>
                <w:rFonts w:ascii="Arial" w:cs="Arial" w:eastAsia="Arial" w:hAnsi="Arial"/>
                <w:b/>
                <w:bCs/>
                <w:color w:val="FFFFFF"/>
                <w:sz w:val="18"/>
                <w:szCs w:val="18"/>
              </w:rPr>
              <w:t xml:space="preserve">Avg amount</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b w:val="false"/>
                <w:bCs w:val="false"/>
                <w:sz w:val="18"/>
                <w:szCs w:val="18"/>
              </w:rPr>
              <w:t xml:space="preserve">Mobile App</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right"/>
            </w:pPr>
            <w:r>
              <w:rPr>
                <w:rFonts w:ascii="Arial" w:cs="Arial" w:eastAsia="Arial" w:hAnsi="Arial"/>
                <w:b w:val="false"/>
                <w:bCs w:val="false"/>
                <w:sz w:val="18"/>
                <w:szCs w:val="18"/>
              </w:rPr>
              <w:t xml:space="preserve">5,102</w:t>
            </w:r>
          </w:p>
        </w:tc>
        <w:tc>
          <w:tcPr>
            <w:tcW w:type="dxa" w:w="19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right"/>
            </w:pPr>
            <w:r>
              <w:rPr>
                <w:rFonts w:ascii="Arial" w:cs="Arial" w:eastAsia="Arial" w:hAnsi="Arial"/>
                <w:b w:val="false"/>
                <w:bCs w:val="false"/>
                <w:sz w:val="18"/>
                <w:szCs w:val="18"/>
              </w:rPr>
              <w:t xml:space="preserve">42.5%</w:t>
            </w:r>
          </w:p>
        </w:tc>
        <w:tc>
          <w:tcPr>
            <w:tcW w:type="dxa" w:w="19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right"/>
            </w:pPr>
            <w:r>
              <w:rPr>
                <w:rFonts w:ascii="Arial" w:cs="Arial" w:eastAsia="Arial" w:hAnsi="Arial"/>
                <w:b w:val="false"/>
                <w:bCs w:val="false"/>
                <w:sz w:val="18"/>
                <w:szCs w:val="18"/>
              </w:rPr>
              <w:t xml:space="preserve">₦240.1M</w:t>
            </w:r>
          </w:p>
        </w:tc>
        <w:tc>
          <w:tcPr>
            <w:tcW w:type="dxa" w:w="1938"/>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right"/>
            </w:pPr>
            <w:r>
              <w:rPr>
                <w:rFonts w:ascii="Arial" w:cs="Arial" w:eastAsia="Arial" w:hAnsi="Arial"/>
                <w:b w:val="false"/>
                <w:bCs w:val="false"/>
                <w:sz w:val="18"/>
                <w:szCs w:val="18"/>
              </w:rPr>
              <w:t xml:space="preserve">₦47,061</w:t>
            </w:r>
          </w:p>
        </w:tc>
      </w:tr>
      <w:tr>
        <w:trPr>
          <w:cantSplit/>
        </w:trPr>
        <w:tc>
          <w:tcPr>
            <w:tcW w:type="dxa" w:w="2200"/>
            <w:tcBorders>
              <w:top w:val="single" w:color="BFBFBF" w:sz="4"/>
              <w:left w:val="single" w:color="BFBFBF" w:sz="4"/>
              <w:bottom w:val="single" w:color="BFBFBF" w:sz="4"/>
              <w:right w:val="single" w:color="BFBFBF" w:sz="4"/>
            </w:tcBorders>
            <w:shd w:fill="F5F7FA" w:color="auto" w:val="clear"/>
            <w:tcMar>
              <w:top w:type="dxa" w:w="60"/>
              <w:left w:type="dxa" w:w="90"/>
              <w:bottom w:type="dxa" w:w="60"/>
              <w:right w:type="dxa" w:w="90"/>
            </w:tcMar>
          </w:tcPr>
          <w:p>
            <w:pPr>
              <w:jc w:val="left"/>
            </w:pPr>
            <w:r>
              <w:rPr>
                <w:rFonts w:ascii="Arial" w:cs="Arial" w:eastAsia="Arial" w:hAnsi="Arial"/>
                <w:b w:val="false"/>
                <w:bCs w:val="false"/>
                <w:sz w:val="18"/>
                <w:szCs w:val="18"/>
              </w:rPr>
              <w:t xml:space="preserve">POS</w:t>
            </w:r>
          </w:p>
        </w:tc>
        <w:tc>
          <w:tcPr>
            <w:tcW w:type="dxa" w:w="1700"/>
            <w:tcBorders>
              <w:top w:val="single" w:color="BFBFBF" w:sz="4"/>
              <w:left w:val="single" w:color="BFBFBF" w:sz="4"/>
              <w:bottom w:val="single" w:color="BFBFBF" w:sz="4"/>
              <w:right w:val="single" w:color="BFBFBF" w:sz="4"/>
            </w:tcBorders>
            <w:shd w:fill="F5F7FA" w:color="auto" w:val="clear"/>
            <w:tcMar>
              <w:top w:type="dxa" w:w="60"/>
              <w:left w:type="dxa" w:w="90"/>
              <w:bottom w:type="dxa" w:w="60"/>
              <w:right w:type="dxa" w:w="90"/>
            </w:tcMar>
          </w:tcPr>
          <w:p>
            <w:pPr>
              <w:jc w:val="right"/>
            </w:pPr>
            <w:r>
              <w:rPr>
                <w:rFonts w:ascii="Arial" w:cs="Arial" w:eastAsia="Arial" w:hAnsi="Arial"/>
                <w:b w:val="false"/>
                <w:bCs w:val="false"/>
                <w:sz w:val="18"/>
                <w:szCs w:val="18"/>
              </w:rPr>
              <w:t xml:space="preserve">2,393</w:t>
            </w:r>
          </w:p>
        </w:tc>
        <w:tc>
          <w:tcPr>
            <w:tcW w:type="dxa" w:w="1900"/>
            <w:tcBorders>
              <w:top w:val="single" w:color="BFBFBF" w:sz="4"/>
              <w:left w:val="single" w:color="BFBFBF" w:sz="4"/>
              <w:bottom w:val="single" w:color="BFBFBF" w:sz="4"/>
              <w:right w:val="single" w:color="BFBFBF" w:sz="4"/>
            </w:tcBorders>
            <w:shd w:fill="F5F7FA" w:color="auto" w:val="clear"/>
            <w:tcMar>
              <w:top w:type="dxa" w:w="60"/>
              <w:left w:type="dxa" w:w="90"/>
              <w:bottom w:type="dxa" w:w="60"/>
              <w:right w:type="dxa" w:w="90"/>
            </w:tcMar>
          </w:tcPr>
          <w:p>
            <w:pPr>
              <w:jc w:val="right"/>
            </w:pPr>
            <w:r>
              <w:rPr>
                <w:rFonts w:ascii="Arial" w:cs="Arial" w:eastAsia="Arial" w:hAnsi="Arial"/>
                <w:b w:val="false"/>
                <w:bCs w:val="false"/>
                <w:sz w:val="18"/>
                <w:szCs w:val="18"/>
              </w:rPr>
              <w:t xml:space="preserve">19.9%</w:t>
            </w:r>
          </w:p>
        </w:tc>
        <w:tc>
          <w:tcPr>
            <w:tcW w:type="dxa" w:w="1900"/>
            <w:tcBorders>
              <w:top w:val="single" w:color="BFBFBF" w:sz="4"/>
              <w:left w:val="single" w:color="BFBFBF" w:sz="4"/>
              <w:bottom w:val="single" w:color="BFBFBF" w:sz="4"/>
              <w:right w:val="single" w:color="BFBFBF" w:sz="4"/>
            </w:tcBorders>
            <w:shd w:fill="F5F7FA" w:color="auto" w:val="clear"/>
            <w:tcMar>
              <w:top w:type="dxa" w:w="60"/>
              <w:left w:type="dxa" w:w="90"/>
              <w:bottom w:type="dxa" w:w="60"/>
              <w:right w:type="dxa" w:w="90"/>
            </w:tcMar>
          </w:tcPr>
          <w:p>
            <w:pPr>
              <w:jc w:val="right"/>
            </w:pPr>
            <w:r>
              <w:rPr>
                <w:rFonts w:ascii="Arial" w:cs="Arial" w:eastAsia="Arial" w:hAnsi="Arial"/>
                <w:b w:val="false"/>
                <w:bCs w:val="false"/>
                <w:sz w:val="18"/>
                <w:szCs w:val="18"/>
              </w:rPr>
              <w:t xml:space="preserve">₦104.3M</w:t>
            </w:r>
          </w:p>
        </w:tc>
        <w:tc>
          <w:tcPr>
            <w:tcW w:type="dxa" w:w="1938"/>
            <w:tcBorders>
              <w:top w:val="single" w:color="BFBFBF" w:sz="4"/>
              <w:left w:val="single" w:color="BFBFBF" w:sz="4"/>
              <w:bottom w:val="single" w:color="BFBFBF" w:sz="4"/>
              <w:right w:val="single" w:color="BFBFBF" w:sz="4"/>
            </w:tcBorders>
            <w:shd w:fill="F5F7FA" w:color="auto" w:val="clear"/>
            <w:tcMar>
              <w:top w:type="dxa" w:w="60"/>
              <w:left w:type="dxa" w:w="90"/>
              <w:bottom w:type="dxa" w:w="60"/>
              <w:right w:type="dxa" w:w="90"/>
            </w:tcMar>
          </w:tcPr>
          <w:p>
            <w:pPr>
              <w:jc w:val="right"/>
            </w:pPr>
            <w:r>
              <w:rPr>
                <w:rFonts w:ascii="Arial" w:cs="Arial" w:eastAsia="Arial" w:hAnsi="Arial"/>
                <w:b w:val="false"/>
                <w:bCs w:val="false"/>
                <w:sz w:val="18"/>
                <w:szCs w:val="18"/>
              </w:rPr>
              <w:t xml:space="preserve">₦43,605</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b w:val="false"/>
                <w:bCs w:val="false"/>
                <w:sz w:val="18"/>
                <w:szCs w:val="18"/>
              </w:rPr>
              <w:t xml:space="preserve">Web</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right"/>
            </w:pPr>
            <w:r>
              <w:rPr>
                <w:rFonts w:ascii="Arial" w:cs="Arial" w:eastAsia="Arial" w:hAnsi="Arial"/>
                <w:b w:val="false"/>
                <w:bCs w:val="false"/>
                <w:sz w:val="18"/>
                <w:szCs w:val="18"/>
              </w:rPr>
              <w:t xml:space="preserve">1,869</w:t>
            </w:r>
          </w:p>
        </w:tc>
        <w:tc>
          <w:tcPr>
            <w:tcW w:type="dxa" w:w="19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right"/>
            </w:pPr>
            <w:r>
              <w:rPr>
                <w:rFonts w:ascii="Arial" w:cs="Arial" w:eastAsia="Arial" w:hAnsi="Arial"/>
                <w:b w:val="false"/>
                <w:bCs w:val="false"/>
                <w:sz w:val="18"/>
                <w:szCs w:val="18"/>
              </w:rPr>
              <w:t xml:space="preserve">15.6%</w:t>
            </w:r>
          </w:p>
        </w:tc>
        <w:tc>
          <w:tcPr>
            <w:tcW w:type="dxa" w:w="19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right"/>
            </w:pPr>
            <w:r>
              <w:rPr>
                <w:rFonts w:ascii="Arial" w:cs="Arial" w:eastAsia="Arial" w:hAnsi="Arial"/>
                <w:b w:val="false"/>
                <w:bCs w:val="false"/>
                <w:sz w:val="18"/>
                <w:szCs w:val="18"/>
              </w:rPr>
              <w:t xml:space="preserve">₦89.3M</w:t>
            </w:r>
          </w:p>
        </w:tc>
        <w:tc>
          <w:tcPr>
            <w:tcW w:type="dxa" w:w="1938"/>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right"/>
            </w:pPr>
            <w:r>
              <w:rPr>
                <w:rFonts w:ascii="Arial" w:cs="Arial" w:eastAsia="Arial" w:hAnsi="Arial"/>
                <w:b w:val="false"/>
                <w:bCs w:val="false"/>
                <w:sz w:val="18"/>
                <w:szCs w:val="18"/>
              </w:rPr>
              <w:t xml:space="preserve">₦47,793</w:t>
            </w:r>
          </w:p>
        </w:tc>
      </w:tr>
      <w:tr>
        <w:trPr>
          <w:cantSplit/>
        </w:trPr>
        <w:tc>
          <w:tcPr>
            <w:tcW w:type="dxa" w:w="2200"/>
            <w:tcBorders>
              <w:top w:val="single" w:color="BFBFBF" w:sz="4"/>
              <w:left w:val="single" w:color="BFBFBF" w:sz="4"/>
              <w:bottom w:val="single" w:color="BFBFBF" w:sz="4"/>
              <w:right w:val="single" w:color="BFBFBF" w:sz="4"/>
            </w:tcBorders>
            <w:shd w:fill="F5F7FA" w:color="auto" w:val="clear"/>
            <w:tcMar>
              <w:top w:type="dxa" w:w="60"/>
              <w:left w:type="dxa" w:w="90"/>
              <w:bottom w:type="dxa" w:w="60"/>
              <w:right w:type="dxa" w:w="90"/>
            </w:tcMar>
          </w:tcPr>
          <w:p>
            <w:pPr>
              <w:jc w:val="left"/>
            </w:pPr>
            <w:r>
              <w:rPr>
                <w:rFonts w:ascii="Arial" w:cs="Arial" w:eastAsia="Arial" w:hAnsi="Arial"/>
                <w:b w:val="false"/>
                <w:bCs w:val="false"/>
                <w:sz w:val="18"/>
                <w:szCs w:val="18"/>
              </w:rPr>
              <w:t xml:space="preserve">ATM</w:t>
            </w:r>
          </w:p>
        </w:tc>
        <w:tc>
          <w:tcPr>
            <w:tcW w:type="dxa" w:w="1700"/>
            <w:tcBorders>
              <w:top w:val="single" w:color="BFBFBF" w:sz="4"/>
              <w:left w:val="single" w:color="BFBFBF" w:sz="4"/>
              <w:bottom w:val="single" w:color="BFBFBF" w:sz="4"/>
              <w:right w:val="single" w:color="BFBFBF" w:sz="4"/>
            </w:tcBorders>
            <w:shd w:fill="F5F7FA" w:color="auto" w:val="clear"/>
            <w:tcMar>
              <w:top w:type="dxa" w:w="60"/>
              <w:left w:type="dxa" w:w="90"/>
              <w:bottom w:type="dxa" w:w="60"/>
              <w:right w:type="dxa" w:w="90"/>
            </w:tcMar>
          </w:tcPr>
          <w:p>
            <w:pPr>
              <w:jc w:val="right"/>
            </w:pPr>
            <w:r>
              <w:rPr>
                <w:rFonts w:ascii="Arial" w:cs="Arial" w:eastAsia="Arial" w:hAnsi="Arial"/>
                <w:b w:val="false"/>
                <w:bCs w:val="false"/>
                <w:sz w:val="18"/>
                <w:szCs w:val="18"/>
              </w:rPr>
              <w:t xml:space="preserve">1,747</w:t>
            </w:r>
          </w:p>
        </w:tc>
        <w:tc>
          <w:tcPr>
            <w:tcW w:type="dxa" w:w="1900"/>
            <w:tcBorders>
              <w:top w:val="single" w:color="BFBFBF" w:sz="4"/>
              <w:left w:val="single" w:color="BFBFBF" w:sz="4"/>
              <w:bottom w:val="single" w:color="BFBFBF" w:sz="4"/>
              <w:right w:val="single" w:color="BFBFBF" w:sz="4"/>
            </w:tcBorders>
            <w:shd w:fill="F5F7FA" w:color="auto" w:val="clear"/>
            <w:tcMar>
              <w:top w:type="dxa" w:w="60"/>
              <w:left w:type="dxa" w:w="90"/>
              <w:bottom w:type="dxa" w:w="60"/>
              <w:right w:type="dxa" w:w="90"/>
            </w:tcMar>
          </w:tcPr>
          <w:p>
            <w:pPr>
              <w:jc w:val="right"/>
            </w:pPr>
            <w:r>
              <w:rPr>
                <w:rFonts w:ascii="Arial" w:cs="Arial" w:eastAsia="Arial" w:hAnsi="Arial"/>
                <w:b w:val="false"/>
                <w:bCs w:val="false"/>
                <w:sz w:val="18"/>
                <w:szCs w:val="18"/>
              </w:rPr>
              <w:t xml:space="preserve">14.6%</w:t>
            </w:r>
          </w:p>
        </w:tc>
        <w:tc>
          <w:tcPr>
            <w:tcW w:type="dxa" w:w="1900"/>
            <w:tcBorders>
              <w:top w:val="single" w:color="BFBFBF" w:sz="4"/>
              <w:left w:val="single" w:color="BFBFBF" w:sz="4"/>
              <w:bottom w:val="single" w:color="BFBFBF" w:sz="4"/>
              <w:right w:val="single" w:color="BFBFBF" w:sz="4"/>
            </w:tcBorders>
            <w:shd w:fill="F5F7FA" w:color="auto" w:val="clear"/>
            <w:tcMar>
              <w:top w:type="dxa" w:w="60"/>
              <w:left w:type="dxa" w:w="90"/>
              <w:bottom w:type="dxa" w:w="60"/>
              <w:right w:type="dxa" w:w="90"/>
            </w:tcMar>
          </w:tcPr>
          <w:p>
            <w:pPr>
              <w:jc w:val="right"/>
            </w:pPr>
            <w:r>
              <w:rPr>
                <w:rFonts w:ascii="Arial" w:cs="Arial" w:eastAsia="Arial" w:hAnsi="Arial"/>
                <w:b w:val="false"/>
                <w:bCs w:val="false"/>
                <w:sz w:val="18"/>
                <w:szCs w:val="18"/>
              </w:rPr>
              <w:t xml:space="preserve">₦83.9M</w:t>
            </w:r>
          </w:p>
        </w:tc>
        <w:tc>
          <w:tcPr>
            <w:tcW w:type="dxa" w:w="1938"/>
            <w:tcBorders>
              <w:top w:val="single" w:color="BFBFBF" w:sz="4"/>
              <w:left w:val="single" w:color="BFBFBF" w:sz="4"/>
              <w:bottom w:val="single" w:color="BFBFBF" w:sz="4"/>
              <w:right w:val="single" w:color="BFBFBF" w:sz="4"/>
            </w:tcBorders>
            <w:shd w:fill="F5F7FA" w:color="auto" w:val="clear"/>
            <w:tcMar>
              <w:top w:type="dxa" w:w="60"/>
              <w:left w:type="dxa" w:w="90"/>
              <w:bottom w:type="dxa" w:w="60"/>
              <w:right w:type="dxa" w:w="90"/>
            </w:tcMar>
          </w:tcPr>
          <w:p>
            <w:pPr>
              <w:jc w:val="right"/>
            </w:pPr>
            <w:r>
              <w:rPr>
                <w:rFonts w:ascii="Arial" w:cs="Arial" w:eastAsia="Arial" w:hAnsi="Arial"/>
                <w:b w:val="false"/>
                <w:bCs w:val="false"/>
                <w:sz w:val="18"/>
                <w:szCs w:val="18"/>
              </w:rPr>
              <w:t xml:space="preserve">₦48,049</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b w:val="false"/>
                <w:bCs w:val="false"/>
                <w:sz w:val="18"/>
                <w:szCs w:val="18"/>
              </w:rPr>
              <w:t xml:space="preserve">USSD</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right"/>
            </w:pPr>
            <w:r>
              <w:rPr>
                <w:rFonts w:ascii="Arial" w:cs="Arial" w:eastAsia="Arial" w:hAnsi="Arial"/>
                <w:b w:val="false"/>
                <w:bCs w:val="false"/>
                <w:sz w:val="18"/>
                <w:szCs w:val="18"/>
              </w:rPr>
              <w:t xml:space="preserve">889</w:t>
            </w:r>
          </w:p>
        </w:tc>
        <w:tc>
          <w:tcPr>
            <w:tcW w:type="dxa" w:w="19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right"/>
            </w:pPr>
            <w:r>
              <w:rPr>
                <w:rFonts w:ascii="Arial" w:cs="Arial" w:eastAsia="Arial" w:hAnsi="Arial"/>
                <w:b w:val="false"/>
                <w:bCs w:val="false"/>
                <w:sz w:val="18"/>
                <w:szCs w:val="18"/>
              </w:rPr>
              <w:t xml:space="preserve">7.4%</w:t>
            </w:r>
          </w:p>
        </w:tc>
        <w:tc>
          <w:tcPr>
            <w:tcW w:type="dxa" w:w="19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right"/>
            </w:pPr>
            <w:r>
              <w:rPr>
                <w:rFonts w:ascii="Arial" w:cs="Arial" w:eastAsia="Arial" w:hAnsi="Arial"/>
                <w:b w:val="false"/>
                <w:bCs w:val="false"/>
                <w:sz w:val="18"/>
                <w:szCs w:val="18"/>
              </w:rPr>
              <w:t xml:space="preserve">₦42.8M</w:t>
            </w:r>
          </w:p>
        </w:tc>
        <w:tc>
          <w:tcPr>
            <w:tcW w:type="dxa" w:w="1938"/>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right"/>
            </w:pPr>
            <w:r>
              <w:rPr>
                <w:rFonts w:ascii="Arial" w:cs="Arial" w:eastAsia="Arial" w:hAnsi="Arial"/>
                <w:b w:val="false"/>
                <w:bCs w:val="false"/>
                <w:sz w:val="18"/>
                <w:szCs w:val="18"/>
              </w:rPr>
              <w:t xml:space="preserve">₦48,098</w:t>
            </w:r>
          </w:p>
        </w:tc>
      </w:tr>
    </w:tbl>
    <w:p>
      <w:pPr>
        <w:spacing w:after="120"/>
      </w:pPr>
    </w:p>
    <w:p>
      <w:pPr>
        <w:spacing w:after="120" w:before="0" w:line="280"/>
      </w:pPr>
      <w:r>
        <w:rPr>
          <w:rFonts w:ascii="Arial" w:cs="Arial" w:eastAsia="Arial" w:hAnsi="Arial"/>
          <w:sz w:val="21"/>
          <w:szCs w:val="21"/>
        </w:rPr>
        <w:t xml:space="preserve"/>
      </w:r>
      <w:r>
        <w:rPr>
          <w:rFonts w:ascii="Arial" w:cs="Arial" w:eastAsia="Arial" w:hAnsi="Arial"/>
          <w:b/>
          <w:bCs/>
          <w:sz w:val="21"/>
          <w:szCs w:val="21"/>
        </w:rPr>
        <w:t xml:space="preserve">Finding:</w:t>
      </w:r>
      <w:r>
        <w:rPr>
          <w:rFonts w:ascii="Arial" w:cs="Arial" w:eastAsia="Arial" w:hAnsi="Arial"/>
          <w:sz w:val="21"/>
          <w:szCs w:val="21"/>
        </w:rPr>
        <w:t xml:space="preserve"> Transfers dominate value (₦237.9M, 42.4%). Deposits have the highest average amount (₦98.6k), while Airtime/Data is the smallest (₦8.3k average, ₦9.8M total). Mobile App leads on volume (42.5%) and value (₦240.1M). USSD is the smallest channel (7.4% of transactions). Every channel has a similar transaction-type mix, with Transfers first in each.</w:t>
      </w:r>
    </w:p>
    <w:p>
      <w:pPr>
        <w:pStyle w:val="Heading2"/>
      </w:pPr>
      <w:r>
        <w:rPr>
          <w:rFonts w:ascii="Arial" w:cs="Arial" w:eastAsia="Arial" w:hAnsi="Arial"/>
        </w:rPr>
        <w:t xml:space="preserve">Q3. How do transaction volume and value trend over time?</w:t>
      </w:r>
    </w:p>
    <w:p>
      <w:pPr>
        <w:spacing w:after="120" w:before="0" w:line="280"/>
      </w:pPr>
      <w:r>
        <w:rPr>
          <w:rFonts w:ascii="Arial" w:cs="Arial" w:eastAsia="Arial" w:hAnsi="Arial"/>
          <w:sz w:val="21"/>
          <w:szCs w:val="21"/>
        </w:rPr>
        <w:t xml:space="preserve"/>
      </w:r>
      <w:r>
        <w:rPr>
          <w:rFonts w:ascii="Arial" w:cs="Arial" w:eastAsia="Arial" w:hAnsi="Arial"/>
          <w:b/>
          <w:bCs/>
          <w:sz w:val="21"/>
          <w:szCs w:val="21"/>
        </w:rPr>
        <w:t xml:space="preserve">Why it matters:</w:t>
      </w:r>
      <w:r>
        <w:rPr>
          <w:rFonts w:ascii="Arial" w:cs="Arial" w:eastAsia="Arial" w:hAnsi="Arial"/>
          <w:sz w:val="21"/>
          <w:szCs w:val="21"/>
        </w:rPr>
        <w:t xml:space="preserve"> shows growth and helps planning and target-setting.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900"/>
        <w:gridCol w:w="2000"/>
        <w:gridCol w:w="1938"/>
      </w:tblGrid>
      <w:tr>
        <w:trPr>
          <w:tblHeader/>
        </w:trPr>
        <w:tc>
          <w:tcPr>
            <w:tcW w:type="dxa" w:w="20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jc w:val="left"/>
            </w:pPr>
            <w:r>
              <w:rPr>
                <w:rFonts w:ascii="Arial" w:cs="Arial" w:eastAsia="Arial" w:hAnsi="Arial"/>
                <w:b/>
                <w:bCs/>
                <w:color w:val="FFFFFF"/>
                <w:sz w:val="18"/>
                <w:szCs w:val="18"/>
              </w:rPr>
              <w:t xml:space="preserve">Month</w:t>
            </w:r>
          </w:p>
        </w:tc>
        <w:tc>
          <w:tcPr>
            <w:tcW w:type="dxa" w:w="18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jc w:val="left"/>
            </w:pPr>
            <w:r>
              <w:rPr>
                <w:rFonts w:ascii="Arial" w:cs="Arial" w:eastAsia="Arial" w:hAnsi="Arial"/>
                <w:b/>
                <w:bCs/>
                <w:color w:val="FFFFFF"/>
                <w:sz w:val="18"/>
                <w:szCs w:val="18"/>
              </w:rPr>
              <w:t xml:space="preserve">Transactions</w:t>
            </w:r>
          </w:p>
        </w:tc>
        <w:tc>
          <w:tcPr>
            <w:tcW w:type="dxa" w:w="19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jc w:val="left"/>
            </w:pPr>
            <w:r>
              <w:rPr>
                <w:rFonts w:ascii="Arial" w:cs="Arial" w:eastAsia="Arial" w:hAnsi="Arial"/>
                <w:b/>
                <w:bCs/>
                <w:color w:val="FFFFFF"/>
                <w:sz w:val="18"/>
                <w:szCs w:val="18"/>
              </w:rPr>
              <w:t xml:space="preserve">Value</w:t>
            </w:r>
          </w:p>
        </w:tc>
        <w:tc>
          <w:tcPr>
            <w:tcW w:type="dxa" w:w="20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jc w:val="left"/>
            </w:pPr>
            <w:r>
              <w:rPr>
                <w:rFonts w:ascii="Arial" w:cs="Arial" w:eastAsia="Arial" w:hAnsi="Arial"/>
                <w:b/>
                <w:bCs/>
                <w:color w:val="FFFFFF"/>
                <w:sz w:val="18"/>
                <w:szCs w:val="18"/>
              </w:rPr>
              <w:t xml:space="preserve">Transactions per day</w:t>
            </w:r>
          </w:p>
        </w:tc>
        <w:tc>
          <w:tcPr>
            <w:tcW w:type="dxa" w:w="1938"/>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jc w:val="left"/>
            </w:pPr>
            <w:r>
              <w:rPr>
                <w:rFonts w:ascii="Arial" w:cs="Arial" w:eastAsia="Arial" w:hAnsi="Arial"/>
                <w:b/>
                <w:bCs/>
                <w:color w:val="FFFFFF"/>
                <w:sz w:val="18"/>
                <w:szCs w:val="18"/>
              </w:rPr>
              <w:t xml:space="preserve">Value per day</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b w:val="false"/>
                <w:bCs w:val="false"/>
                <w:sz w:val="18"/>
                <w:szCs w:val="18"/>
              </w:rPr>
              <w:t xml:space="preserve">2026-01</w:t>
            </w:r>
          </w:p>
        </w:tc>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right"/>
            </w:pPr>
            <w:r>
              <w:rPr>
                <w:rFonts w:ascii="Arial" w:cs="Arial" w:eastAsia="Arial" w:hAnsi="Arial"/>
                <w:b w:val="false"/>
                <w:bCs w:val="false"/>
                <w:sz w:val="18"/>
                <w:szCs w:val="18"/>
              </w:rPr>
              <w:t xml:space="preserve">4,133</w:t>
            </w:r>
          </w:p>
        </w:tc>
        <w:tc>
          <w:tcPr>
            <w:tcW w:type="dxa" w:w="19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right"/>
            </w:pPr>
            <w:r>
              <w:rPr>
                <w:rFonts w:ascii="Arial" w:cs="Arial" w:eastAsia="Arial" w:hAnsi="Arial"/>
                <w:b w:val="false"/>
                <w:bCs w:val="false"/>
                <w:sz w:val="18"/>
                <w:szCs w:val="18"/>
              </w:rPr>
              <w:t xml:space="preserve">₦188.5M</w:t>
            </w:r>
          </w:p>
        </w:tc>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right"/>
            </w:pPr>
            <w:r>
              <w:rPr>
                <w:rFonts w:ascii="Arial" w:cs="Arial" w:eastAsia="Arial" w:hAnsi="Arial"/>
                <w:b w:val="false"/>
                <w:bCs w:val="false"/>
                <w:sz w:val="18"/>
                <w:szCs w:val="18"/>
              </w:rPr>
              <w:t xml:space="preserve">133</w:t>
            </w:r>
          </w:p>
        </w:tc>
        <w:tc>
          <w:tcPr>
            <w:tcW w:type="dxa" w:w="1938"/>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right"/>
            </w:pPr>
            <w:r>
              <w:rPr>
                <w:rFonts w:ascii="Arial" w:cs="Arial" w:eastAsia="Arial" w:hAnsi="Arial"/>
                <w:b w:val="false"/>
                <w:bCs w:val="false"/>
                <w:sz w:val="18"/>
                <w:szCs w:val="18"/>
              </w:rPr>
              <w:t xml:space="preserve">₦6.1M</w:t>
            </w:r>
          </w:p>
        </w:tc>
      </w:tr>
      <w:tr>
        <w:trPr>
          <w:cantSplit/>
        </w:trPr>
        <w:tc>
          <w:tcPr>
            <w:tcW w:type="dxa" w:w="2000"/>
            <w:tcBorders>
              <w:top w:val="single" w:color="BFBFBF" w:sz="4"/>
              <w:left w:val="single" w:color="BFBFBF" w:sz="4"/>
              <w:bottom w:val="single" w:color="BFBFBF" w:sz="4"/>
              <w:right w:val="single" w:color="BFBFBF" w:sz="4"/>
            </w:tcBorders>
            <w:shd w:fill="F5F7FA" w:color="auto" w:val="clear"/>
            <w:tcMar>
              <w:top w:type="dxa" w:w="60"/>
              <w:left w:type="dxa" w:w="90"/>
              <w:bottom w:type="dxa" w:w="60"/>
              <w:right w:type="dxa" w:w="90"/>
            </w:tcMar>
          </w:tcPr>
          <w:p>
            <w:pPr>
              <w:jc w:val="left"/>
            </w:pPr>
            <w:r>
              <w:rPr>
                <w:rFonts w:ascii="Arial" w:cs="Arial" w:eastAsia="Arial" w:hAnsi="Arial"/>
                <w:b w:val="false"/>
                <w:bCs w:val="false"/>
                <w:sz w:val="18"/>
                <w:szCs w:val="18"/>
              </w:rPr>
              <w:t xml:space="preserve">2026-02</w:t>
            </w:r>
          </w:p>
        </w:tc>
        <w:tc>
          <w:tcPr>
            <w:tcW w:type="dxa" w:w="1800"/>
            <w:tcBorders>
              <w:top w:val="single" w:color="BFBFBF" w:sz="4"/>
              <w:left w:val="single" w:color="BFBFBF" w:sz="4"/>
              <w:bottom w:val="single" w:color="BFBFBF" w:sz="4"/>
              <w:right w:val="single" w:color="BFBFBF" w:sz="4"/>
            </w:tcBorders>
            <w:shd w:fill="F5F7FA" w:color="auto" w:val="clear"/>
            <w:tcMar>
              <w:top w:type="dxa" w:w="60"/>
              <w:left w:type="dxa" w:w="90"/>
              <w:bottom w:type="dxa" w:w="60"/>
              <w:right w:type="dxa" w:w="90"/>
            </w:tcMar>
          </w:tcPr>
          <w:p>
            <w:pPr>
              <w:jc w:val="right"/>
            </w:pPr>
            <w:r>
              <w:rPr>
                <w:rFonts w:ascii="Arial" w:cs="Arial" w:eastAsia="Arial" w:hAnsi="Arial"/>
                <w:b w:val="false"/>
                <w:bCs w:val="false"/>
                <w:sz w:val="18"/>
                <w:szCs w:val="18"/>
              </w:rPr>
              <w:t xml:space="preserve">3,734</w:t>
            </w:r>
          </w:p>
        </w:tc>
        <w:tc>
          <w:tcPr>
            <w:tcW w:type="dxa" w:w="1900"/>
            <w:tcBorders>
              <w:top w:val="single" w:color="BFBFBF" w:sz="4"/>
              <w:left w:val="single" w:color="BFBFBF" w:sz="4"/>
              <w:bottom w:val="single" w:color="BFBFBF" w:sz="4"/>
              <w:right w:val="single" w:color="BFBFBF" w:sz="4"/>
            </w:tcBorders>
            <w:shd w:fill="F5F7FA" w:color="auto" w:val="clear"/>
            <w:tcMar>
              <w:top w:type="dxa" w:w="60"/>
              <w:left w:type="dxa" w:w="90"/>
              <w:bottom w:type="dxa" w:w="60"/>
              <w:right w:type="dxa" w:w="90"/>
            </w:tcMar>
          </w:tcPr>
          <w:p>
            <w:pPr>
              <w:jc w:val="right"/>
            </w:pPr>
            <w:r>
              <w:rPr>
                <w:rFonts w:ascii="Arial" w:cs="Arial" w:eastAsia="Arial" w:hAnsi="Arial"/>
                <w:b w:val="false"/>
                <w:bCs w:val="false"/>
                <w:sz w:val="18"/>
                <w:szCs w:val="18"/>
              </w:rPr>
              <w:t xml:space="preserve">₦175.8M</w:t>
            </w:r>
          </w:p>
        </w:tc>
        <w:tc>
          <w:tcPr>
            <w:tcW w:type="dxa" w:w="2000"/>
            <w:tcBorders>
              <w:top w:val="single" w:color="BFBFBF" w:sz="4"/>
              <w:left w:val="single" w:color="BFBFBF" w:sz="4"/>
              <w:bottom w:val="single" w:color="BFBFBF" w:sz="4"/>
              <w:right w:val="single" w:color="BFBFBF" w:sz="4"/>
            </w:tcBorders>
            <w:shd w:fill="F5F7FA" w:color="auto" w:val="clear"/>
            <w:tcMar>
              <w:top w:type="dxa" w:w="60"/>
              <w:left w:type="dxa" w:w="90"/>
              <w:bottom w:type="dxa" w:w="60"/>
              <w:right w:type="dxa" w:w="90"/>
            </w:tcMar>
          </w:tcPr>
          <w:p>
            <w:pPr>
              <w:jc w:val="right"/>
            </w:pPr>
            <w:r>
              <w:rPr>
                <w:rFonts w:ascii="Arial" w:cs="Arial" w:eastAsia="Arial" w:hAnsi="Arial"/>
                <w:b w:val="false"/>
                <w:bCs w:val="false"/>
                <w:sz w:val="18"/>
                <w:szCs w:val="18"/>
              </w:rPr>
              <w:t xml:space="preserve">133</w:t>
            </w:r>
          </w:p>
        </w:tc>
        <w:tc>
          <w:tcPr>
            <w:tcW w:type="dxa" w:w="1938"/>
            <w:tcBorders>
              <w:top w:val="single" w:color="BFBFBF" w:sz="4"/>
              <w:left w:val="single" w:color="BFBFBF" w:sz="4"/>
              <w:bottom w:val="single" w:color="BFBFBF" w:sz="4"/>
              <w:right w:val="single" w:color="BFBFBF" w:sz="4"/>
            </w:tcBorders>
            <w:shd w:fill="F5F7FA" w:color="auto" w:val="clear"/>
            <w:tcMar>
              <w:top w:type="dxa" w:w="60"/>
              <w:left w:type="dxa" w:w="90"/>
              <w:bottom w:type="dxa" w:w="60"/>
              <w:right w:type="dxa" w:w="90"/>
            </w:tcMar>
          </w:tcPr>
          <w:p>
            <w:pPr>
              <w:jc w:val="right"/>
            </w:pPr>
            <w:r>
              <w:rPr>
                <w:rFonts w:ascii="Arial" w:cs="Arial" w:eastAsia="Arial" w:hAnsi="Arial"/>
                <w:b w:val="false"/>
                <w:bCs w:val="false"/>
                <w:sz w:val="18"/>
                <w:szCs w:val="18"/>
              </w:rPr>
              <w:t xml:space="preserve">₦6.3M</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b w:val="false"/>
                <w:bCs w:val="false"/>
                <w:sz w:val="18"/>
                <w:szCs w:val="18"/>
              </w:rPr>
              <w:t xml:space="preserve">2026-03</w:t>
            </w:r>
          </w:p>
        </w:tc>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right"/>
            </w:pPr>
            <w:r>
              <w:rPr>
                <w:rFonts w:ascii="Arial" w:cs="Arial" w:eastAsia="Arial" w:hAnsi="Arial"/>
                <w:b w:val="false"/>
                <w:bCs w:val="false"/>
                <w:sz w:val="18"/>
                <w:szCs w:val="18"/>
              </w:rPr>
              <w:t xml:space="preserve">4,133</w:t>
            </w:r>
          </w:p>
        </w:tc>
        <w:tc>
          <w:tcPr>
            <w:tcW w:type="dxa" w:w="19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right"/>
            </w:pPr>
            <w:r>
              <w:rPr>
                <w:rFonts w:ascii="Arial" w:cs="Arial" w:eastAsia="Arial" w:hAnsi="Arial"/>
                <w:b w:val="false"/>
                <w:bCs w:val="false"/>
                <w:sz w:val="18"/>
                <w:szCs w:val="18"/>
              </w:rPr>
              <w:t xml:space="preserve">₦196.2M</w:t>
            </w:r>
          </w:p>
        </w:tc>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right"/>
            </w:pPr>
            <w:r>
              <w:rPr>
                <w:rFonts w:ascii="Arial" w:cs="Arial" w:eastAsia="Arial" w:hAnsi="Arial"/>
                <w:b w:val="false"/>
                <w:bCs w:val="false"/>
                <w:sz w:val="18"/>
                <w:szCs w:val="18"/>
              </w:rPr>
              <w:t xml:space="preserve">133</w:t>
            </w:r>
          </w:p>
        </w:tc>
        <w:tc>
          <w:tcPr>
            <w:tcW w:type="dxa" w:w="1938"/>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right"/>
            </w:pPr>
            <w:r>
              <w:rPr>
                <w:rFonts w:ascii="Arial" w:cs="Arial" w:eastAsia="Arial" w:hAnsi="Arial"/>
                <w:b w:val="false"/>
                <w:bCs w:val="false"/>
                <w:sz w:val="18"/>
                <w:szCs w:val="18"/>
              </w:rPr>
              <w:t xml:space="preserve">₦6.3M</w:t>
            </w:r>
          </w:p>
        </w:tc>
      </w:tr>
    </w:tbl>
    <w:p>
      <w:pPr>
        <w:spacing w:after="120"/>
      </w:pPr>
    </w:p>
    <w:p>
      <w:pPr>
        <w:spacing w:after="120" w:before="0" w:line="280"/>
      </w:pPr>
      <w:r>
        <w:rPr>
          <w:rFonts w:ascii="Arial" w:cs="Arial" w:eastAsia="Arial" w:hAnsi="Arial"/>
          <w:sz w:val="21"/>
          <w:szCs w:val="21"/>
        </w:rPr>
        <w:t xml:space="preserve"/>
      </w:r>
      <w:r>
        <w:rPr>
          <w:rFonts w:ascii="Arial" w:cs="Arial" w:eastAsia="Arial" w:hAnsi="Arial"/>
          <w:b/>
          <w:bCs/>
          <w:sz w:val="21"/>
          <w:szCs w:val="21"/>
        </w:rPr>
        <w:t xml:space="preserve">Finding:</w:t>
      </w:r>
      <w:r>
        <w:rPr>
          <w:rFonts w:ascii="Arial" w:cs="Arial" w:eastAsia="Arial" w:hAnsi="Arial"/>
          <w:sz w:val="21"/>
          <w:szCs w:val="21"/>
        </w:rPr>
        <w:t xml:space="preserve"> February appears lower only because it has fewer days. Daily volume is flat at about 133 transactions, while daily value grew from ₦6.08M (January) to ₦6.33M (March), about 4%. Hour-of-day and day-of-week views are almost perfectly uniform (500 transactions in every hour), which is unusual for real banking data, so peak-time analysis will add little value. This is recorded as a synthetic-data limitation.</w:t>
      </w:r>
    </w:p>
    <w:p>
      <w:pPr>
        <w:pStyle w:val="Heading2"/>
      </w:pPr>
      <w:r>
        <w:rPr>
          <w:rFonts w:ascii="Arial" w:cs="Arial" w:eastAsia="Arial" w:hAnsi="Arial"/>
        </w:rPr>
        <w:t xml:space="preserve">Q4. How often do transactions fail, reverse or stay pending, and does it differ by channel?</w:t>
      </w:r>
    </w:p>
    <w:p>
      <w:pPr>
        <w:spacing w:after="120" w:before="0" w:line="280"/>
      </w:pPr>
      <w:r>
        <w:rPr>
          <w:rFonts w:ascii="Arial" w:cs="Arial" w:eastAsia="Arial" w:hAnsi="Arial"/>
          <w:sz w:val="21"/>
          <w:szCs w:val="21"/>
        </w:rPr>
        <w:t xml:space="preserve"/>
      </w:r>
      <w:r>
        <w:rPr>
          <w:rFonts w:ascii="Arial" w:cs="Arial" w:eastAsia="Arial" w:hAnsi="Arial"/>
          <w:b/>
          <w:bCs/>
          <w:sz w:val="21"/>
          <w:szCs w:val="21"/>
        </w:rPr>
        <w:t xml:space="preserve">Why it matters:</w:t>
      </w:r>
      <w:r>
        <w:rPr>
          <w:rFonts w:ascii="Arial" w:cs="Arial" w:eastAsia="Arial" w:hAnsi="Arial"/>
          <w:sz w:val="21"/>
          <w:szCs w:val="21"/>
        </w:rPr>
        <w:t xml:space="preserve"> failed and reversed transactions mean customer friction and operational cost.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1700"/>
        <w:gridCol w:w="1900"/>
        <w:gridCol w:w="1900"/>
        <w:gridCol w:w="1938"/>
      </w:tblGrid>
      <w:tr>
        <w:trPr>
          <w:tblHeader/>
        </w:trPr>
        <w:tc>
          <w:tcPr>
            <w:tcW w:type="dxa" w:w="22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jc w:val="left"/>
            </w:pPr>
            <w:r>
              <w:rPr>
                <w:rFonts w:ascii="Arial" w:cs="Arial" w:eastAsia="Arial" w:hAnsi="Arial"/>
                <w:b/>
                <w:bCs/>
                <w:color w:val="FFFFFF"/>
                <w:sz w:val="18"/>
                <w:szCs w:val="18"/>
              </w:rPr>
              <w:t xml:space="preserve">Channel</w:t>
            </w:r>
          </w:p>
        </w:tc>
        <w:tc>
          <w:tcPr>
            <w:tcW w:type="dxa" w:w="17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jc w:val="left"/>
            </w:pPr>
            <w:r>
              <w:rPr>
                <w:rFonts w:ascii="Arial" w:cs="Arial" w:eastAsia="Arial" w:hAnsi="Arial"/>
                <w:b/>
                <w:bCs/>
                <w:color w:val="FFFFFF"/>
                <w:sz w:val="18"/>
                <w:szCs w:val="18"/>
              </w:rPr>
              <w:t xml:space="preserve">Transactions</w:t>
            </w:r>
          </w:p>
        </w:tc>
        <w:tc>
          <w:tcPr>
            <w:tcW w:type="dxa" w:w="19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jc w:val="left"/>
            </w:pPr>
            <w:r>
              <w:rPr>
                <w:rFonts w:ascii="Arial" w:cs="Arial" w:eastAsia="Arial" w:hAnsi="Arial"/>
                <w:b/>
                <w:bCs/>
                <w:color w:val="FFFFFF"/>
                <w:sz w:val="18"/>
                <w:szCs w:val="18"/>
              </w:rPr>
              <w:t xml:space="preserve">Failed</w:t>
            </w:r>
          </w:p>
        </w:tc>
        <w:tc>
          <w:tcPr>
            <w:tcW w:type="dxa" w:w="19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jc w:val="left"/>
            </w:pPr>
            <w:r>
              <w:rPr>
                <w:rFonts w:ascii="Arial" w:cs="Arial" w:eastAsia="Arial" w:hAnsi="Arial"/>
                <w:b/>
                <w:bCs/>
                <w:color w:val="FFFFFF"/>
                <w:sz w:val="18"/>
                <w:szCs w:val="18"/>
              </w:rPr>
              <w:t xml:space="preserve">Reversed</w:t>
            </w:r>
          </w:p>
        </w:tc>
        <w:tc>
          <w:tcPr>
            <w:tcW w:type="dxa" w:w="1938"/>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jc w:val="left"/>
            </w:pPr>
            <w:r>
              <w:rPr>
                <w:rFonts w:ascii="Arial" w:cs="Arial" w:eastAsia="Arial" w:hAnsi="Arial"/>
                <w:b/>
                <w:bCs/>
                <w:color w:val="FFFFFF"/>
                <w:sz w:val="18"/>
                <w:szCs w:val="18"/>
              </w:rPr>
              <w:t xml:space="preserve">Pending</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b w:val="false"/>
                <w:bCs w:val="false"/>
                <w:sz w:val="18"/>
                <w:szCs w:val="18"/>
              </w:rPr>
              <w:t xml:space="preserve">Mobile App</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right"/>
            </w:pPr>
            <w:r>
              <w:rPr>
                <w:rFonts w:ascii="Arial" w:cs="Arial" w:eastAsia="Arial" w:hAnsi="Arial"/>
                <w:b w:val="false"/>
                <w:bCs w:val="false"/>
                <w:sz w:val="18"/>
                <w:szCs w:val="18"/>
              </w:rPr>
              <w:t xml:space="preserve">5,102</w:t>
            </w:r>
          </w:p>
        </w:tc>
        <w:tc>
          <w:tcPr>
            <w:tcW w:type="dxa" w:w="19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right"/>
            </w:pPr>
            <w:r>
              <w:rPr>
                <w:rFonts w:ascii="Arial" w:cs="Arial" w:eastAsia="Arial" w:hAnsi="Arial"/>
                <w:b w:val="false"/>
                <w:bCs w:val="false"/>
                <w:sz w:val="18"/>
                <w:szCs w:val="18"/>
              </w:rPr>
              <w:t xml:space="preserve">5.8%</w:t>
            </w:r>
          </w:p>
        </w:tc>
        <w:tc>
          <w:tcPr>
            <w:tcW w:type="dxa" w:w="19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right"/>
            </w:pPr>
            <w:r>
              <w:rPr>
                <w:rFonts w:ascii="Arial" w:cs="Arial" w:eastAsia="Arial" w:hAnsi="Arial"/>
                <w:b w:val="false"/>
                <w:bCs w:val="false"/>
                <w:sz w:val="18"/>
                <w:szCs w:val="18"/>
              </w:rPr>
              <w:t xml:space="preserve">2.8%</w:t>
            </w:r>
          </w:p>
        </w:tc>
        <w:tc>
          <w:tcPr>
            <w:tcW w:type="dxa" w:w="1938"/>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right"/>
            </w:pPr>
            <w:r>
              <w:rPr>
                <w:rFonts w:ascii="Arial" w:cs="Arial" w:eastAsia="Arial" w:hAnsi="Arial"/>
                <w:b w:val="false"/>
                <w:bCs w:val="false"/>
                <w:sz w:val="18"/>
                <w:szCs w:val="18"/>
              </w:rPr>
              <w:t xml:space="preserve">1.6%</w:t>
            </w:r>
          </w:p>
        </w:tc>
      </w:tr>
      <w:tr>
        <w:trPr>
          <w:cantSplit/>
        </w:trPr>
        <w:tc>
          <w:tcPr>
            <w:tcW w:type="dxa" w:w="2200"/>
            <w:tcBorders>
              <w:top w:val="single" w:color="BFBFBF" w:sz="4"/>
              <w:left w:val="single" w:color="BFBFBF" w:sz="4"/>
              <w:bottom w:val="single" w:color="BFBFBF" w:sz="4"/>
              <w:right w:val="single" w:color="BFBFBF" w:sz="4"/>
            </w:tcBorders>
            <w:shd w:fill="F5F7FA" w:color="auto" w:val="clear"/>
            <w:tcMar>
              <w:top w:type="dxa" w:w="60"/>
              <w:left w:type="dxa" w:w="90"/>
              <w:bottom w:type="dxa" w:w="60"/>
              <w:right w:type="dxa" w:w="90"/>
            </w:tcMar>
          </w:tcPr>
          <w:p>
            <w:pPr>
              <w:jc w:val="left"/>
            </w:pPr>
            <w:r>
              <w:rPr>
                <w:rFonts w:ascii="Arial" w:cs="Arial" w:eastAsia="Arial" w:hAnsi="Arial"/>
                <w:b w:val="false"/>
                <w:bCs w:val="false"/>
                <w:sz w:val="18"/>
                <w:szCs w:val="18"/>
              </w:rPr>
              <w:t xml:space="preserve">USSD</w:t>
            </w:r>
          </w:p>
        </w:tc>
        <w:tc>
          <w:tcPr>
            <w:tcW w:type="dxa" w:w="1700"/>
            <w:tcBorders>
              <w:top w:val="single" w:color="BFBFBF" w:sz="4"/>
              <w:left w:val="single" w:color="BFBFBF" w:sz="4"/>
              <w:bottom w:val="single" w:color="BFBFBF" w:sz="4"/>
              <w:right w:val="single" w:color="BFBFBF" w:sz="4"/>
            </w:tcBorders>
            <w:shd w:fill="F5F7FA" w:color="auto" w:val="clear"/>
            <w:tcMar>
              <w:top w:type="dxa" w:w="60"/>
              <w:left w:type="dxa" w:w="90"/>
              <w:bottom w:type="dxa" w:w="60"/>
              <w:right w:type="dxa" w:w="90"/>
            </w:tcMar>
          </w:tcPr>
          <w:p>
            <w:pPr>
              <w:jc w:val="right"/>
            </w:pPr>
            <w:r>
              <w:rPr>
                <w:rFonts w:ascii="Arial" w:cs="Arial" w:eastAsia="Arial" w:hAnsi="Arial"/>
                <w:b w:val="false"/>
                <w:bCs w:val="false"/>
                <w:sz w:val="18"/>
                <w:szCs w:val="18"/>
              </w:rPr>
              <w:t xml:space="preserve">889</w:t>
            </w:r>
          </w:p>
        </w:tc>
        <w:tc>
          <w:tcPr>
            <w:tcW w:type="dxa" w:w="1900"/>
            <w:tcBorders>
              <w:top w:val="single" w:color="BFBFBF" w:sz="4"/>
              <w:left w:val="single" w:color="BFBFBF" w:sz="4"/>
              <w:bottom w:val="single" w:color="BFBFBF" w:sz="4"/>
              <w:right w:val="single" w:color="BFBFBF" w:sz="4"/>
            </w:tcBorders>
            <w:shd w:fill="F5F7FA" w:color="auto" w:val="clear"/>
            <w:tcMar>
              <w:top w:type="dxa" w:w="60"/>
              <w:left w:type="dxa" w:w="90"/>
              <w:bottom w:type="dxa" w:w="60"/>
              <w:right w:type="dxa" w:w="90"/>
            </w:tcMar>
          </w:tcPr>
          <w:p>
            <w:pPr>
              <w:jc w:val="right"/>
            </w:pPr>
            <w:r>
              <w:rPr>
                <w:rFonts w:ascii="Arial" w:cs="Arial" w:eastAsia="Arial" w:hAnsi="Arial"/>
                <w:b w:val="false"/>
                <w:bCs w:val="false"/>
                <w:sz w:val="18"/>
                <w:szCs w:val="18"/>
              </w:rPr>
              <w:t xml:space="preserve">5.4%</w:t>
            </w:r>
          </w:p>
        </w:tc>
        <w:tc>
          <w:tcPr>
            <w:tcW w:type="dxa" w:w="1900"/>
            <w:tcBorders>
              <w:top w:val="single" w:color="BFBFBF" w:sz="4"/>
              <w:left w:val="single" w:color="BFBFBF" w:sz="4"/>
              <w:bottom w:val="single" w:color="BFBFBF" w:sz="4"/>
              <w:right w:val="single" w:color="BFBFBF" w:sz="4"/>
            </w:tcBorders>
            <w:shd w:fill="F5F7FA" w:color="auto" w:val="clear"/>
            <w:tcMar>
              <w:top w:type="dxa" w:w="60"/>
              <w:left w:type="dxa" w:w="90"/>
              <w:bottom w:type="dxa" w:w="60"/>
              <w:right w:type="dxa" w:w="90"/>
            </w:tcMar>
          </w:tcPr>
          <w:p>
            <w:pPr>
              <w:jc w:val="right"/>
            </w:pPr>
            <w:r>
              <w:rPr>
                <w:rFonts w:ascii="Arial" w:cs="Arial" w:eastAsia="Arial" w:hAnsi="Arial"/>
                <w:b w:val="false"/>
                <w:bCs w:val="false"/>
                <w:sz w:val="18"/>
                <w:szCs w:val="18"/>
              </w:rPr>
              <w:t xml:space="preserve">3.3%</w:t>
            </w:r>
          </w:p>
        </w:tc>
        <w:tc>
          <w:tcPr>
            <w:tcW w:type="dxa" w:w="1938"/>
            <w:tcBorders>
              <w:top w:val="single" w:color="BFBFBF" w:sz="4"/>
              <w:left w:val="single" w:color="BFBFBF" w:sz="4"/>
              <w:bottom w:val="single" w:color="BFBFBF" w:sz="4"/>
              <w:right w:val="single" w:color="BFBFBF" w:sz="4"/>
            </w:tcBorders>
            <w:shd w:fill="F5F7FA" w:color="auto" w:val="clear"/>
            <w:tcMar>
              <w:top w:type="dxa" w:w="60"/>
              <w:left w:type="dxa" w:w="90"/>
              <w:bottom w:type="dxa" w:w="60"/>
              <w:right w:type="dxa" w:w="90"/>
            </w:tcMar>
          </w:tcPr>
          <w:p>
            <w:pPr>
              <w:jc w:val="right"/>
            </w:pPr>
            <w:r>
              <w:rPr>
                <w:rFonts w:ascii="Arial" w:cs="Arial" w:eastAsia="Arial" w:hAnsi="Arial"/>
                <w:b w:val="false"/>
                <w:bCs w:val="false"/>
                <w:sz w:val="18"/>
                <w:szCs w:val="18"/>
              </w:rPr>
              <w:t xml:space="preserve">1.0%</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b w:val="false"/>
                <w:bCs w:val="false"/>
                <w:sz w:val="18"/>
                <w:szCs w:val="18"/>
              </w:rPr>
              <w:t xml:space="preserve">POS</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right"/>
            </w:pPr>
            <w:r>
              <w:rPr>
                <w:rFonts w:ascii="Arial" w:cs="Arial" w:eastAsia="Arial" w:hAnsi="Arial"/>
                <w:b w:val="false"/>
                <w:bCs w:val="false"/>
                <w:sz w:val="18"/>
                <w:szCs w:val="18"/>
              </w:rPr>
              <w:t xml:space="preserve">2,393</w:t>
            </w:r>
          </w:p>
        </w:tc>
        <w:tc>
          <w:tcPr>
            <w:tcW w:type="dxa" w:w="19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right"/>
            </w:pPr>
            <w:r>
              <w:rPr>
                <w:rFonts w:ascii="Arial" w:cs="Arial" w:eastAsia="Arial" w:hAnsi="Arial"/>
                <w:b w:val="false"/>
                <w:bCs w:val="false"/>
                <w:sz w:val="18"/>
                <w:szCs w:val="18"/>
              </w:rPr>
              <w:t xml:space="preserve">5.2%</w:t>
            </w:r>
          </w:p>
        </w:tc>
        <w:tc>
          <w:tcPr>
            <w:tcW w:type="dxa" w:w="19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right"/>
            </w:pPr>
            <w:r>
              <w:rPr>
                <w:rFonts w:ascii="Arial" w:cs="Arial" w:eastAsia="Arial" w:hAnsi="Arial"/>
                <w:b w:val="false"/>
                <w:bCs w:val="false"/>
                <w:sz w:val="18"/>
                <w:szCs w:val="18"/>
              </w:rPr>
              <w:t xml:space="preserve">2.5%</w:t>
            </w:r>
          </w:p>
        </w:tc>
        <w:tc>
          <w:tcPr>
            <w:tcW w:type="dxa" w:w="1938"/>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right"/>
            </w:pPr>
            <w:r>
              <w:rPr>
                <w:rFonts w:ascii="Arial" w:cs="Arial" w:eastAsia="Arial" w:hAnsi="Arial"/>
                <w:b w:val="false"/>
                <w:bCs w:val="false"/>
                <w:sz w:val="18"/>
                <w:szCs w:val="18"/>
              </w:rPr>
              <w:t xml:space="preserve">1.4%</w:t>
            </w:r>
          </w:p>
        </w:tc>
      </w:tr>
      <w:tr>
        <w:trPr>
          <w:cantSplit/>
        </w:trPr>
        <w:tc>
          <w:tcPr>
            <w:tcW w:type="dxa" w:w="2200"/>
            <w:tcBorders>
              <w:top w:val="single" w:color="BFBFBF" w:sz="4"/>
              <w:left w:val="single" w:color="BFBFBF" w:sz="4"/>
              <w:bottom w:val="single" w:color="BFBFBF" w:sz="4"/>
              <w:right w:val="single" w:color="BFBFBF" w:sz="4"/>
            </w:tcBorders>
            <w:shd w:fill="F5F7FA" w:color="auto" w:val="clear"/>
            <w:tcMar>
              <w:top w:type="dxa" w:w="60"/>
              <w:left w:type="dxa" w:w="90"/>
              <w:bottom w:type="dxa" w:w="60"/>
              <w:right w:type="dxa" w:w="90"/>
            </w:tcMar>
          </w:tcPr>
          <w:p>
            <w:pPr>
              <w:jc w:val="left"/>
            </w:pPr>
            <w:r>
              <w:rPr>
                <w:rFonts w:ascii="Arial" w:cs="Arial" w:eastAsia="Arial" w:hAnsi="Arial"/>
                <w:b w:val="false"/>
                <w:bCs w:val="false"/>
                <w:sz w:val="18"/>
                <w:szCs w:val="18"/>
              </w:rPr>
              <w:t xml:space="preserve">Web</w:t>
            </w:r>
          </w:p>
        </w:tc>
        <w:tc>
          <w:tcPr>
            <w:tcW w:type="dxa" w:w="1700"/>
            <w:tcBorders>
              <w:top w:val="single" w:color="BFBFBF" w:sz="4"/>
              <w:left w:val="single" w:color="BFBFBF" w:sz="4"/>
              <w:bottom w:val="single" w:color="BFBFBF" w:sz="4"/>
              <w:right w:val="single" w:color="BFBFBF" w:sz="4"/>
            </w:tcBorders>
            <w:shd w:fill="F5F7FA" w:color="auto" w:val="clear"/>
            <w:tcMar>
              <w:top w:type="dxa" w:w="60"/>
              <w:left w:type="dxa" w:w="90"/>
              <w:bottom w:type="dxa" w:w="60"/>
              <w:right w:type="dxa" w:w="90"/>
            </w:tcMar>
          </w:tcPr>
          <w:p>
            <w:pPr>
              <w:jc w:val="right"/>
            </w:pPr>
            <w:r>
              <w:rPr>
                <w:rFonts w:ascii="Arial" w:cs="Arial" w:eastAsia="Arial" w:hAnsi="Arial"/>
                <w:b w:val="false"/>
                <w:bCs w:val="false"/>
                <w:sz w:val="18"/>
                <w:szCs w:val="18"/>
              </w:rPr>
              <w:t xml:space="preserve">1,869</w:t>
            </w:r>
          </w:p>
        </w:tc>
        <w:tc>
          <w:tcPr>
            <w:tcW w:type="dxa" w:w="1900"/>
            <w:tcBorders>
              <w:top w:val="single" w:color="BFBFBF" w:sz="4"/>
              <w:left w:val="single" w:color="BFBFBF" w:sz="4"/>
              <w:bottom w:val="single" w:color="BFBFBF" w:sz="4"/>
              <w:right w:val="single" w:color="BFBFBF" w:sz="4"/>
            </w:tcBorders>
            <w:shd w:fill="F5F7FA" w:color="auto" w:val="clear"/>
            <w:tcMar>
              <w:top w:type="dxa" w:w="60"/>
              <w:left w:type="dxa" w:w="90"/>
              <w:bottom w:type="dxa" w:w="60"/>
              <w:right w:type="dxa" w:w="90"/>
            </w:tcMar>
          </w:tcPr>
          <w:p>
            <w:pPr>
              <w:jc w:val="right"/>
            </w:pPr>
            <w:r>
              <w:rPr>
                <w:rFonts w:ascii="Arial" w:cs="Arial" w:eastAsia="Arial" w:hAnsi="Arial"/>
                <w:b w:val="false"/>
                <w:bCs w:val="false"/>
                <w:sz w:val="18"/>
                <w:szCs w:val="18"/>
              </w:rPr>
              <w:t xml:space="preserve">4.7%</w:t>
            </w:r>
          </w:p>
        </w:tc>
        <w:tc>
          <w:tcPr>
            <w:tcW w:type="dxa" w:w="1900"/>
            <w:tcBorders>
              <w:top w:val="single" w:color="BFBFBF" w:sz="4"/>
              <w:left w:val="single" w:color="BFBFBF" w:sz="4"/>
              <w:bottom w:val="single" w:color="BFBFBF" w:sz="4"/>
              <w:right w:val="single" w:color="BFBFBF" w:sz="4"/>
            </w:tcBorders>
            <w:shd w:fill="F5F7FA" w:color="auto" w:val="clear"/>
            <w:tcMar>
              <w:top w:type="dxa" w:w="60"/>
              <w:left w:type="dxa" w:w="90"/>
              <w:bottom w:type="dxa" w:w="60"/>
              <w:right w:type="dxa" w:w="90"/>
            </w:tcMar>
          </w:tcPr>
          <w:p>
            <w:pPr>
              <w:jc w:val="right"/>
            </w:pPr>
            <w:r>
              <w:rPr>
                <w:rFonts w:ascii="Arial" w:cs="Arial" w:eastAsia="Arial" w:hAnsi="Arial"/>
                <w:b w:val="false"/>
                <w:bCs w:val="false"/>
                <w:sz w:val="18"/>
                <w:szCs w:val="18"/>
              </w:rPr>
              <w:t xml:space="preserve">2.4%</w:t>
            </w:r>
          </w:p>
        </w:tc>
        <w:tc>
          <w:tcPr>
            <w:tcW w:type="dxa" w:w="1938"/>
            <w:tcBorders>
              <w:top w:val="single" w:color="BFBFBF" w:sz="4"/>
              <w:left w:val="single" w:color="BFBFBF" w:sz="4"/>
              <w:bottom w:val="single" w:color="BFBFBF" w:sz="4"/>
              <w:right w:val="single" w:color="BFBFBF" w:sz="4"/>
            </w:tcBorders>
            <w:shd w:fill="F5F7FA" w:color="auto" w:val="clear"/>
            <w:tcMar>
              <w:top w:type="dxa" w:w="60"/>
              <w:left w:type="dxa" w:w="90"/>
              <w:bottom w:type="dxa" w:w="60"/>
              <w:right w:type="dxa" w:w="90"/>
            </w:tcMar>
          </w:tcPr>
          <w:p>
            <w:pPr>
              <w:jc w:val="right"/>
            </w:pPr>
            <w:r>
              <w:rPr>
                <w:rFonts w:ascii="Arial" w:cs="Arial" w:eastAsia="Arial" w:hAnsi="Arial"/>
                <w:b w:val="false"/>
                <w:bCs w:val="false"/>
                <w:sz w:val="18"/>
                <w:szCs w:val="18"/>
              </w:rPr>
              <w:t xml:space="preserve">2.0%</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b w:val="false"/>
                <w:bCs w:val="false"/>
                <w:sz w:val="18"/>
                <w:szCs w:val="18"/>
              </w:rPr>
              <w:t xml:space="preserve">ATM</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right"/>
            </w:pPr>
            <w:r>
              <w:rPr>
                <w:rFonts w:ascii="Arial" w:cs="Arial" w:eastAsia="Arial" w:hAnsi="Arial"/>
                <w:b w:val="false"/>
                <w:bCs w:val="false"/>
                <w:sz w:val="18"/>
                <w:szCs w:val="18"/>
              </w:rPr>
              <w:t xml:space="preserve">1,747</w:t>
            </w:r>
          </w:p>
        </w:tc>
        <w:tc>
          <w:tcPr>
            <w:tcW w:type="dxa" w:w="19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right"/>
            </w:pPr>
            <w:r>
              <w:rPr>
                <w:rFonts w:ascii="Arial" w:cs="Arial" w:eastAsia="Arial" w:hAnsi="Arial"/>
                <w:b w:val="false"/>
                <w:bCs w:val="false"/>
                <w:sz w:val="18"/>
                <w:szCs w:val="18"/>
              </w:rPr>
              <w:t xml:space="preserve">4.2%</w:t>
            </w:r>
          </w:p>
        </w:tc>
        <w:tc>
          <w:tcPr>
            <w:tcW w:type="dxa" w:w="19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right"/>
            </w:pPr>
            <w:r>
              <w:rPr>
                <w:rFonts w:ascii="Arial" w:cs="Arial" w:eastAsia="Arial" w:hAnsi="Arial"/>
                <w:b w:val="false"/>
                <w:bCs w:val="false"/>
                <w:sz w:val="18"/>
                <w:szCs w:val="18"/>
              </w:rPr>
              <w:t xml:space="preserve">2.7%</w:t>
            </w:r>
          </w:p>
        </w:tc>
        <w:tc>
          <w:tcPr>
            <w:tcW w:type="dxa" w:w="1938"/>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right"/>
            </w:pPr>
            <w:r>
              <w:rPr>
                <w:rFonts w:ascii="Arial" w:cs="Arial" w:eastAsia="Arial" w:hAnsi="Arial"/>
                <w:b w:val="false"/>
                <w:bCs w:val="false"/>
                <w:sz w:val="18"/>
                <w:szCs w:val="18"/>
              </w:rPr>
              <w:t xml:space="preserve">1.4%</w:t>
            </w:r>
          </w:p>
        </w:tc>
      </w:tr>
    </w:tbl>
    <w:p>
      <w:pPr>
        <w:spacing w:after="120"/>
      </w:pPr>
    </w:p>
    <w:p>
      <w:pPr>
        <w:spacing w:after="120" w:before="0" w:line="280"/>
      </w:pPr>
      <w:r>
        <w:rPr>
          <w:rFonts w:ascii="Arial" w:cs="Arial" w:eastAsia="Arial" w:hAnsi="Arial"/>
          <w:sz w:val="21"/>
          <w:szCs w:val="21"/>
        </w:rPr>
        <w:t xml:space="preserve"/>
      </w:r>
      <w:r>
        <w:rPr>
          <w:rFonts w:ascii="Arial" w:cs="Arial" w:eastAsia="Arial" w:hAnsi="Arial"/>
          <w:b/>
          <w:bCs/>
          <w:sz w:val="21"/>
          <w:szCs w:val="21"/>
        </w:rPr>
        <w:t xml:space="preserve">Finding:</w:t>
      </w:r>
      <w:r>
        <w:rPr>
          <w:rFonts w:ascii="Arial" w:cs="Arial" w:eastAsia="Arial" w:hAnsi="Arial"/>
          <w:sz w:val="21"/>
          <w:szCs w:val="21"/>
        </w:rPr>
        <w:t xml:space="preserve"> overall 5.3% fail, 2.7% reverse and 1.6% stay pending (8.0% failed or reversed). Mobile App has the highest failure rate (5.8%) and ATM the lowest (4.2%), while USSD has the highest reversal rate (3.3%) and Web the highest pending rate (2.0%). By transaction type, Bill Payment fails most (5.8%) and Airtime/Data reverses most (3.6%). The gaps are small, so these are areas to monitor and test in Week 2 rather than firm conclusions. Mobile App matters most because it carries the largest volume (about 296 failures).</w:t>
      </w:r>
    </w:p>
    <w:p>
      <w:pPr>
        <w:pStyle w:val="Heading2"/>
      </w:pPr>
      <w:r>
        <w:rPr>
          <w:rFonts w:ascii="Arial" w:cs="Arial" w:eastAsia="Arial" w:hAnsi="Arial"/>
        </w:rPr>
        <w:t xml:space="preserve">Q5. Do more digitally engaged customers transact more?</w:t>
      </w:r>
    </w:p>
    <w:p>
      <w:pPr>
        <w:spacing w:after="120" w:before="0" w:line="280"/>
      </w:pPr>
      <w:r>
        <w:rPr>
          <w:rFonts w:ascii="Arial" w:cs="Arial" w:eastAsia="Arial" w:hAnsi="Arial"/>
          <w:sz w:val="21"/>
          <w:szCs w:val="21"/>
        </w:rPr>
        <w:t xml:space="preserve"/>
      </w:r>
      <w:r>
        <w:rPr>
          <w:rFonts w:ascii="Arial" w:cs="Arial" w:eastAsia="Arial" w:hAnsi="Arial"/>
          <w:b/>
          <w:bCs/>
          <w:sz w:val="21"/>
          <w:szCs w:val="21"/>
        </w:rPr>
        <w:t xml:space="preserve">Why it matters:</w:t>
      </w:r>
      <w:r>
        <w:rPr>
          <w:rFonts w:ascii="Arial" w:cs="Arial" w:eastAsia="Arial" w:hAnsi="Arial"/>
          <w:sz w:val="21"/>
          <w:szCs w:val="21"/>
        </w:rPr>
        <w:t xml:space="preserve"> tests whether the engagement score is useful for targeting and for later modelling.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1900"/>
        <w:gridCol w:w="2200"/>
        <w:gridCol w:w="2338"/>
      </w:tblGrid>
      <w:tr>
        <w:trPr>
          <w:tblHeader/>
        </w:trPr>
        <w:tc>
          <w:tcPr>
            <w:tcW w:type="dxa" w:w="32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jc w:val="left"/>
            </w:pPr>
            <w:r>
              <w:rPr>
                <w:rFonts w:ascii="Arial" w:cs="Arial" w:eastAsia="Arial" w:hAnsi="Arial"/>
                <w:b/>
                <w:bCs/>
                <w:color w:val="FFFFFF"/>
                <w:sz w:val="18"/>
                <w:szCs w:val="18"/>
              </w:rPr>
              <w:t xml:space="preserve">Engagement band</w:t>
            </w:r>
          </w:p>
        </w:tc>
        <w:tc>
          <w:tcPr>
            <w:tcW w:type="dxa" w:w="19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jc w:val="left"/>
            </w:pPr>
            <w:r>
              <w:rPr>
                <w:rFonts w:ascii="Arial" w:cs="Arial" w:eastAsia="Arial" w:hAnsi="Arial"/>
                <w:b/>
                <w:bCs/>
                <w:color w:val="FFFFFF"/>
                <w:sz w:val="18"/>
                <w:szCs w:val="18"/>
              </w:rPr>
              <w:t xml:space="preserve">Customers</w:t>
            </w:r>
          </w:p>
        </w:tc>
        <w:tc>
          <w:tcPr>
            <w:tcW w:type="dxa" w:w="22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jc w:val="left"/>
            </w:pPr>
            <w:r>
              <w:rPr>
                <w:rFonts w:ascii="Arial" w:cs="Arial" w:eastAsia="Arial" w:hAnsi="Arial"/>
                <w:b/>
                <w:bCs/>
                <w:color w:val="FFFFFF"/>
                <w:sz w:val="18"/>
                <w:szCs w:val="18"/>
              </w:rPr>
              <w:t xml:space="preserve">Avg transactions</w:t>
            </w:r>
          </w:p>
        </w:tc>
        <w:tc>
          <w:tcPr>
            <w:tcW w:type="dxa" w:w="2338"/>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jc w:val="left"/>
            </w:pPr>
            <w:r>
              <w:rPr>
                <w:rFonts w:ascii="Arial" w:cs="Arial" w:eastAsia="Arial" w:hAnsi="Arial"/>
                <w:b/>
                <w:bCs/>
                <w:color w:val="FFFFFF"/>
                <w:sz w:val="18"/>
                <w:szCs w:val="18"/>
              </w:rPr>
              <w:t xml:space="preserve">Avg total value</w:t>
            </w:r>
          </w:p>
        </w:tc>
      </w:tr>
      <w:tr>
        <w:trPr>
          <w:cantSplit/>
        </w:trPr>
        <w:tc>
          <w:tcPr>
            <w:tcW w:type="dxa" w:w="32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b w:val="false"/>
                <w:bCs w:val="false"/>
                <w:sz w:val="18"/>
                <w:szCs w:val="18"/>
              </w:rPr>
              <w:t xml:space="preserve">Low (&lt;50)</w:t>
            </w:r>
          </w:p>
        </w:tc>
        <w:tc>
          <w:tcPr>
            <w:tcW w:type="dxa" w:w="19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right"/>
            </w:pPr>
            <w:r>
              <w:rPr>
                <w:rFonts w:ascii="Arial" w:cs="Arial" w:eastAsia="Arial" w:hAnsi="Arial"/>
                <w:b w:val="false"/>
                <w:bCs w:val="false"/>
                <w:sz w:val="18"/>
                <w:szCs w:val="18"/>
              </w:rPr>
              <w:t xml:space="preserve">237</w:t>
            </w:r>
          </w:p>
        </w:tc>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right"/>
            </w:pPr>
            <w:r>
              <w:rPr>
                <w:rFonts w:ascii="Arial" w:cs="Arial" w:eastAsia="Arial" w:hAnsi="Arial"/>
                <w:b w:val="false"/>
                <w:bCs w:val="false"/>
                <w:sz w:val="18"/>
                <w:szCs w:val="18"/>
              </w:rPr>
              <w:t xml:space="preserve">7.8</w:t>
            </w:r>
          </w:p>
        </w:tc>
        <w:tc>
          <w:tcPr>
            <w:tcW w:type="dxa" w:w="2338"/>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right"/>
            </w:pPr>
            <w:r>
              <w:rPr>
                <w:rFonts w:ascii="Arial" w:cs="Arial" w:eastAsia="Arial" w:hAnsi="Arial"/>
                <w:b w:val="false"/>
                <w:bCs w:val="false"/>
                <w:sz w:val="18"/>
                <w:szCs w:val="18"/>
              </w:rPr>
              <w:t xml:space="preserve">₦348,730</w:t>
            </w:r>
          </w:p>
        </w:tc>
      </w:tr>
      <w:tr>
        <w:trPr>
          <w:cantSplit/>
        </w:trPr>
        <w:tc>
          <w:tcPr>
            <w:tcW w:type="dxa" w:w="3200"/>
            <w:tcBorders>
              <w:top w:val="single" w:color="BFBFBF" w:sz="4"/>
              <w:left w:val="single" w:color="BFBFBF" w:sz="4"/>
              <w:bottom w:val="single" w:color="BFBFBF" w:sz="4"/>
              <w:right w:val="single" w:color="BFBFBF" w:sz="4"/>
            </w:tcBorders>
            <w:shd w:fill="F5F7FA" w:color="auto" w:val="clear"/>
            <w:tcMar>
              <w:top w:type="dxa" w:w="60"/>
              <w:left w:type="dxa" w:w="90"/>
              <w:bottom w:type="dxa" w:w="60"/>
              <w:right w:type="dxa" w:w="90"/>
            </w:tcMar>
          </w:tcPr>
          <w:p>
            <w:pPr>
              <w:jc w:val="left"/>
            </w:pPr>
            <w:r>
              <w:rPr>
                <w:rFonts w:ascii="Arial" w:cs="Arial" w:eastAsia="Arial" w:hAnsi="Arial"/>
                <w:b w:val="false"/>
                <w:bCs w:val="false"/>
                <w:sz w:val="18"/>
                <w:szCs w:val="18"/>
              </w:rPr>
              <w:t xml:space="preserve">Medium (50-74)</w:t>
            </w:r>
          </w:p>
        </w:tc>
        <w:tc>
          <w:tcPr>
            <w:tcW w:type="dxa" w:w="1900"/>
            <w:tcBorders>
              <w:top w:val="single" w:color="BFBFBF" w:sz="4"/>
              <w:left w:val="single" w:color="BFBFBF" w:sz="4"/>
              <w:bottom w:val="single" w:color="BFBFBF" w:sz="4"/>
              <w:right w:val="single" w:color="BFBFBF" w:sz="4"/>
            </w:tcBorders>
            <w:shd w:fill="F5F7FA" w:color="auto" w:val="clear"/>
            <w:tcMar>
              <w:top w:type="dxa" w:w="60"/>
              <w:left w:type="dxa" w:w="90"/>
              <w:bottom w:type="dxa" w:w="60"/>
              <w:right w:type="dxa" w:w="90"/>
            </w:tcMar>
          </w:tcPr>
          <w:p>
            <w:pPr>
              <w:jc w:val="right"/>
            </w:pPr>
            <w:r>
              <w:rPr>
                <w:rFonts w:ascii="Arial" w:cs="Arial" w:eastAsia="Arial" w:hAnsi="Arial"/>
                <w:b w:val="false"/>
                <w:bCs w:val="false"/>
                <w:sz w:val="18"/>
                <w:szCs w:val="18"/>
              </w:rPr>
              <w:t xml:space="preserve">712</w:t>
            </w:r>
          </w:p>
        </w:tc>
        <w:tc>
          <w:tcPr>
            <w:tcW w:type="dxa" w:w="2200"/>
            <w:tcBorders>
              <w:top w:val="single" w:color="BFBFBF" w:sz="4"/>
              <w:left w:val="single" w:color="BFBFBF" w:sz="4"/>
              <w:bottom w:val="single" w:color="BFBFBF" w:sz="4"/>
              <w:right w:val="single" w:color="BFBFBF" w:sz="4"/>
            </w:tcBorders>
            <w:shd w:fill="F5F7FA" w:color="auto" w:val="clear"/>
            <w:tcMar>
              <w:top w:type="dxa" w:w="60"/>
              <w:left w:type="dxa" w:w="90"/>
              <w:bottom w:type="dxa" w:w="60"/>
              <w:right w:type="dxa" w:w="90"/>
            </w:tcMar>
          </w:tcPr>
          <w:p>
            <w:pPr>
              <w:jc w:val="right"/>
            </w:pPr>
            <w:r>
              <w:rPr>
                <w:rFonts w:ascii="Arial" w:cs="Arial" w:eastAsia="Arial" w:hAnsi="Arial"/>
                <w:b w:val="false"/>
                <w:bCs w:val="false"/>
                <w:sz w:val="18"/>
                <w:szCs w:val="18"/>
              </w:rPr>
              <w:t xml:space="preserve">8.0</w:t>
            </w:r>
          </w:p>
        </w:tc>
        <w:tc>
          <w:tcPr>
            <w:tcW w:type="dxa" w:w="2338"/>
            <w:tcBorders>
              <w:top w:val="single" w:color="BFBFBF" w:sz="4"/>
              <w:left w:val="single" w:color="BFBFBF" w:sz="4"/>
              <w:bottom w:val="single" w:color="BFBFBF" w:sz="4"/>
              <w:right w:val="single" w:color="BFBFBF" w:sz="4"/>
            </w:tcBorders>
            <w:shd w:fill="F5F7FA" w:color="auto" w:val="clear"/>
            <w:tcMar>
              <w:top w:type="dxa" w:w="60"/>
              <w:left w:type="dxa" w:w="90"/>
              <w:bottom w:type="dxa" w:w="60"/>
              <w:right w:type="dxa" w:w="90"/>
            </w:tcMar>
          </w:tcPr>
          <w:p>
            <w:pPr>
              <w:jc w:val="right"/>
            </w:pPr>
            <w:r>
              <w:rPr>
                <w:rFonts w:ascii="Arial" w:cs="Arial" w:eastAsia="Arial" w:hAnsi="Arial"/>
                <w:b w:val="false"/>
                <w:bCs w:val="false"/>
                <w:sz w:val="18"/>
                <w:szCs w:val="18"/>
              </w:rPr>
              <w:t xml:space="preserve">₦379,888</w:t>
            </w:r>
          </w:p>
        </w:tc>
      </w:tr>
      <w:tr>
        <w:trPr>
          <w:cantSplit/>
        </w:trPr>
        <w:tc>
          <w:tcPr>
            <w:tcW w:type="dxa" w:w="32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b w:val="false"/>
                <w:bCs w:val="false"/>
                <w:sz w:val="18"/>
                <w:szCs w:val="18"/>
              </w:rPr>
              <w:t xml:space="preserve">High (75+)</w:t>
            </w:r>
          </w:p>
        </w:tc>
        <w:tc>
          <w:tcPr>
            <w:tcW w:type="dxa" w:w="19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right"/>
            </w:pPr>
            <w:r>
              <w:rPr>
                <w:rFonts w:ascii="Arial" w:cs="Arial" w:eastAsia="Arial" w:hAnsi="Arial"/>
                <w:b w:val="false"/>
                <w:bCs w:val="false"/>
                <w:sz w:val="18"/>
                <w:szCs w:val="18"/>
              </w:rPr>
              <w:t xml:space="preserve">551</w:t>
            </w:r>
          </w:p>
        </w:tc>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right"/>
            </w:pPr>
            <w:r>
              <w:rPr>
                <w:rFonts w:ascii="Arial" w:cs="Arial" w:eastAsia="Arial" w:hAnsi="Arial"/>
                <w:b w:val="false"/>
                <w:bCs w:val="false"/>
                <w:sz w:val="18"/>
                <w:szCs w:val="18"/>
              </w:rPr>
              <w:t xml:space="preserve">8.1</w:t>
            </w:r>
          </w:p>
        </w:tc>
        <w:tc>
          <w:tcPr>
            <w:tcW w:type="dxa" w:w="2338"/>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right"/>
            </w:pPr>
            <w:r>
              <w:rPr>
                <w:rFonts w:ascii="Arial" w:cs="Arial" w:eastAsia="Arial" w:hAnsi="Arial"/>
                <w:b w:val="false"/>
                <w:bCs w:val="false"/>
                <w:sz w:val="18"/>
                <w:szCs w:val="18"/>
              </w:rPr>
              <w:t xml:space="preserve">₦376,312</w:t>
            </w:r>
          </w:p>
        </w:tc>
      </w:tr>
    </w:tbl>
    <w:p>
      <w:pPr>
        <w:spacing w:after="120"/>
      </w:pPr>
    </w:p>
    <w:p>
      <w:pPr>
        <w:spacing w:after="120" w:before="0" w:line="280"/>
      </w:pPr>
      <w:r>
        <w:rPr>
          <w:rFonts w:ascii="Arial" w:cs="Arial" w:eastAsia="Arial" w:hAnsi="Arial"/>
          <w:sz w:val="21"/>
          <w:szCs w:val="21"/>
        </w:rPr>
        <w:t xml:space="preserve"/>
      </w:r>
      <w:r>
        <w:rPr>
          <w:rFonts w:ascii="Arial" w:cs="Arial" w:eastAsia="Arial" w:hAnsi="Arial"/>
          <w:b/>
          <w:bCs/>
          <w:sz w:val="21"/>
          <w:szCs w:val="21"/>
        </w:rPr>
        <w:t xml:space="preserve">Finding:</w:t>
      </w:r>
      <w:r>
        <w:rPr>
          <w:rFonts w:ascii="Arial" w:cs="Arial" w:eastAsia="Arial" w:hAnsi="Arial"/>
          <w:sz w:val="21"/>
          <w:szCs w:val="21"/>
        </w:rPr>
        <w:t xml:space="preserve"> there is almost no difference in activity across engagement bands (7.8, 8.0 and 8.1 transactions). Medium and High engagement customers have slightly higher total value than Low (₦376k to ₦380k vs ₦349k). Digital_Engagement_Score does not appear to be a strong driver of activity in this dataset.</w:t>
      </w:r>
    </w:p>
    <w:p>
      <w:pPr>
        <w:pStyle w:val="Heading2"/>
      </w:pPr>
      <w:r>
        <w:rPr>
          <w:rFonts w:ascii="Arial" w:cs="Arial" w:eastAsia="Arial" w:hAnsi="Arial"/>
        </w:rPr>
        <w:t xml:space="preserve">Q6. Which transactions are flagged for risk review, and how do type, amount, channel and international status relate to the flag?</w:t>
      </w:r>
    </w:p>
    <w:p>
      <w:pPr>
        <w:spacing w:after="120" w:before="0" w:line="280"/>
      </w:pPr>
      <w:r>
        <w:rPr>
          <w:rFonts w:ascii="Arial" w:cs="Arial" w:eastAsia="Arial" w:hAnsi="Arial"/>
          <w:sz w:val="21"/>
          <w:szCs w:val="21"/>
        </w:rPr>
        <w:t xml:space="preserve"/>
      </w:r>
      <w:r>
        <w:rPr>
          <w:rFonts w:ascii="Arial" w:cs="Arial" w:eastAsia="Arial" w:hAnsi="Arial"/>
          <w:b/>
          <w:bCs/>
          <w:sz w:val="21"/>
          <w:szCs w:val="21"/>
        </w:rPr>
        <w:t xml:space="preserve">Why it matters:</w:t>
      </w:r>
      <w:r>
        <w:rPr>
          <w:rFonts w:ascii="Arial" w:cs="Arial" w:eastAsia="Arial" w:hAnsi="Arial"/>
          <w:sz w:val="21"/>
          <w:szCs w:val="21"/>
        </w:rPr>
        <w:t xml:space="preserve"> helps risk teams focus review effort and gives the Data Science track a starting point. Overall 2,352 of 12,000 transactions (19.6%) are flagged.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2000"/>
        <w:gridCol w:w="2438"/>
      </w:tblGrid>
      <w:tr>
        <w:trPr>
          <w:tblHeader/>
        </w:trPr>
        <w:tc>
          <w:tcPr>
            <w:tcW w:type="dxa" w:w="32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jc w:val="left"/>
            </w:pPr>
            <w:r>
              <w:rPr>
                <w:rFonts w:ascii="Arial" w:cs="Arial" w:eastAsia="Arial" w:hAnsi="Arial"/>
                <w:b/>
                <w:bCs/>
                <w:color w:val="FFFFFF"/>
                <w:sz w:val="18"/>
                <w:szCs w:val="18"/>
              </w:rPr>
              <w:t xml:space="preserve">Transaction type</w:t>
            </w:r>
          </w:p>
        </w:tc>
        <w:tc>
          <w:tcPr>
            <w:tcW w:type="dxa" w:w="20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jc w:val="left"/>
            </w:pPr>
            <w:r>
              <w:rPr>
                <w:rFonts w:ascii="Arial" w:cs="Arial" w:eastAsia="Arial" w:hAnsi="Arial"/>
                <w:b/>
                <w:bCs/>
                <w:color w:val="FFFFFF"/>
                <w:sz w:val="18"/>
                <w:szCs w:val="18"/>
              </w:rPr>
              <w:t xml:space="preserve">Transactions</w:t>
            </w:r>
          </w:p>
        </w:tc>
        <w:tc>
          <w:tcPr>
            <w:tcW w:type="dxa" w:w="20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jc w:val="left"/>
            </w:pPr>
            <w:r>
              <w:rPr>
                <w:rFonts w:ascii="Arial" w:cs="Arial" w:eastAsia="Arial" w:hAnsi="Arial"/>
                <w:b/>
                <w:bCs/>
                <w:color w:val="FFFFFF"/>
                <w:sz w:val="18"/>
                <w:szCs w:val="18"/>
              </w:rPr>
              <w:t xml:space="preserve">Flagged</w:t>
            </w:r>
          </w:p>
        </w:tc>
        <w:tc>
          <w:tcPr>
            <w:tcW w:type="dxa" w:w="2438"/>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jc w:val="left"/>
            </w:pPr>
            <w:r>
              <w:rPr>
                <w:rFonts w:ascii="Arial" w:cs="Arial" w:eastAsia="Arial" w:hAnsi="Arial"/>
                <w:b/>
                <w:bCs/>
                <w:color w:val="FFFFFF"/>
                <w:sz w:val="18"/>
                <w:szCs w:val="18"/>
              </w:rPr>
              <w:t xml:space="preserve">Flag rate</w:t>
            </w:r>
          </w:p>
        </w:tc>
      </w:tr>
      <w:tr>
        <w:trPr>
          <w:cantSplit/>
        </w:trPr>
        <w:tc>
          <w:tcPr>
            <w:tcW w:type="dxa" w:w="32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b w:val="false"/>
                <w:bCs w:val="false"/>
                <w:sz w:val="18"/>
                <w:szCs w:val="18"/>
              </w:rPr>
              <w:t xml:space="preserve">Transfer</w:t>
            </w:r>
          </w:p>
        </w:tc>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right"/>
            </w:pPr>
            <w:r>
              <w:rPr>
                <w:rFonts w:ascii="Arial" w:cs="Arial" w:eastAsia="Arial" w:hAnsi="Arial"/>
                <w:b w:val="false"/>
                <w:bCs w:val="false"/>
                <w:sz w:val="18"/>
                <w:szCs w:val="18"/>
              </w:rPr>
              <w:t xml:space="preserve">3,549</w:t>
            </w:r>
          </w:p>
        </w:tc>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right"/>
            </w:pPr>
            <w:r>
              <w:rPr>
                <w:rFonts w:ascii="Arial" w:cs="Arial" w:eastAsia="Arial" w:hAnsi="Arial"/>
                <w:b w:val="false"/>
                <w:bCs w:val="false"/>
                <w:sz w:val="18"/>
                <w:szCs w:val="18"/>
              </w:rPr>
              <w:t xml:space="preserve">1,011</w:t>
            </w:r>
          </w:p>
        </w:tc>
        <w:tc>
          <w:tcPr>
            <w:tcW w:type="dxa" w:w="2438"/>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right"/>
            </w:pPr>
            <w:r>
              <w:rPr>
                <w:rFonts w:ascii="Arial" w:cs="Arial" w:eastAsia="Arial" w:hAnsi="Arial"/>
                <w:b w:val="false"/>
                <w:bCs w:val="false"/>
                <w:sz w:val="18"/>
                <w:szCs w:val="18"/>
              </w:rPr>
              <w:t xml:space="preserve">28.5%</w:t>
            </w:r>
          </w:p>
        </w:tc>
      </w:tr>
      <w:tr>
        <w:trPr>
          <w:cantSplit/>
        </w:trPr>
        <w:tc>
          <w:tcPr>
            <w:tcW w:type="dxa" w:w="3200"/>
            <w:tcBorders>
              <w:top w:val="single" w:color="BFBFBF" w:sz="4"/>
              <w:left w:val="single" w:color="BFBFBF" w:sz="4"/>
              <w:bottom w:val="single" w:color="BFBFBF" w:sz="4"/>
              <w:right w:val="single" w:color="BFBFBF" w:sz="4"/>
            </w:tcBorders>
            <w:shd w:fill="F5F7FA" w:color="auto" w:val="clear"/>
            <w:tcMar>
              <w:top w:type="dxa" w:w="60"/>
              <w:left w:type="dxa" w:w="90"/>
              <w:bottom w:type="dxa" w:w="60"/>
              <w:right w:type="dxa" w:w="90"/>
            </w:tcMar>
          </w:tcPr>
          <w:p>
            <w:pPr>
              <w:jc w:val="left"/>
            </w:pPr>
            <w:r>
              <w:rPr>
                <w:rFonts w:ascii="Arial" w:cs="Arial" w:eastAsia="Arial" w:hAnsi="Arial"/>
                <w:b w:val="false"/>
                <w:bCs w:val="false"/>
                <w:sz w:val="18"/>
                <w:szCs w:val="18"/>
              </w:rPr>
              <w:t xml:space="preserve">Cash Withdrawal</w:t>
            </w:r>
          </w:p>
        </w:tc>
        <w:tc>
          <w:tcPr>
            <w:tcW w:type="dxa" w:w="2000"/>
            <w:tcBorders>
              <w:top w:val="single" w:color="BFBFBF" w:sz="4"/>
              <w:left w:val="single" w:color="BFBFBF" w:sz="4"/>
              <w:bottom w:val="single" w:color="BFBFBF" w:sz="4"/>
              <w:right w:val="single" w:color="BFBFBF" w:sz="4"/>
            </w:tcBorders>
            <w:shd w:fill="F5F7FA" w:color="auto" w:val="clear"/>
            <w:tcMar>
              <w:top w:type="dxa" w:w="60"/>
              <w:left w:type="dxa" w:w="90"/>
              <w:bottom w:type="dxa" w:w="60"/>
              <w:right w:type="dxa" w:w="90"/>
            </w:tcMar>
          </w:tcPr>
          <w:p>
            <w:pPr>
              <w:jc w:val="right"/>
            </w:pPr>
            <w:r>
              <w:rPr>
                <w:rFonts w:ascii="Arial" w:cs="Arial" w:eastAsia="Arial" w:hAnsi="Arial"/>
                <w:b w:val="false"/>
                <w:bCs w:val="false"/>
                <w:sz w:val="18"/>
                <w:szCs w:val="18"/>
              </w:rPr>
              <w:t xml:space="preserve">1,430</w:t>
            </w:r>
          </w:p>
        </w:tc>
        <w:tc>
          <w:tcPr>
            <w:tcW w:type="dxa" w:w="2000"/>
            <w:tcBorders>
              <w:top w:val="single" w:color="BFBFBF" w:sz="4"/>
              <w:left w:val="single" w:color="BFBFBF" w:sz="4"/>
              <w:bottom w:val="single" w:color="BFBFBF" w:sz="4"/>
              <w:right w:val="single" w:color="BFBFBF" w:sz="4"/>
            </w:tcBorders>
            <w:shd w:fill="F5F7FA" w:color="auto" w:val="clear"/>
            <w:tcMar>
              <w:top w:type="dxa" w:w="60"/>
              <w:left w:type="dxa" w:w="90"/>
              <w:bottom w:type="dxa" w:w="60"/>
              <w:right w:type="dxa" w:w="90"/>
            </w:tcMar>
          </w:tcPr>
          <w:p>
            <w:pPr>
              <w:jc w:val="right"/>
            </w:pPr>
            <w:r>
              <w:rPr>
                <w:rFonts w:ascii="Arial" w:cs="Arial" w:eastAsia="Arial" w:hAnsi="Arial"/>
                <w:b w:val="false"/>
                <w:bCs w:val="false"/>
                <w:sz w:val="18"/>
                <w:szCs w:val="18"/>
              </w:rPr>
              <w:t xml:space="preserve">362</w:t>
            </w:r>
          </w:p>
        </w:tc>
        <w:tc>
          <w:tcPr>
            <w:tcW w:type="dxa" w:w="2438"/>
            <w:tcBorders>
              <w:top w:val="single" w:color="BFBFBF" w:sz="4"/>
              <w:left w:val="single" w:color="BFBFBF" w:sz="4"/>
              <w:bottom w:val="single" w:color="BFBFBF" w:sz="4"/>
              <w:right w:val="single" w:color="BFBFBF" w:sz="4"/>
            </w:tcBorders>
            <w:shd w:fill="F5F7FA" w:color="auto" w:val="clear"/>
            <w:tcMar>
              <w:top w:type="dxa" w:w="60"/>
              <w:left w:type="dxa" w:w="90"/>
              <w:bottom w:type="dxa" w:w="60"/>
              <w:right w:type="dxa" w:w="90"/>
            </w:tcMar>
          </w:tcPr>
          <w:p>
            <w:pPr>
              <w:jc w:val="right"/>
            </w:pPr>
            <w:r>
              <w:rPr>
                <w:rFonts w:ascii="Arial" w:cs="Arial" w:eastAsia="Arial" w:hAnsi="Arial"/>
                <w:b w:val="false"/>
                <w:bCs w:val="false"/>
                <w:sz w:val="18"/>
                <w:szCs w:val="18"/>
              </w:rPr>
              <w:t xml:space="preserve">25.3%</w:t>
            </w:r>
          </w:p>
        </w:tc>
      </w:tr>
      <w:tr>
        <w:trPr>
          <w:cantSplit/>
        </w:trPr>
        <w:tc>
          <w:tcPr>
            <w:tcW w:type="dxa" w:w="32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b w:val="false"/>
                <w:bCs w:val="false"/>
                <w:sz w:val="18"/>
                <w:szCs w:val="18"/>
              </w:rPr>
              <w:t xml:space="preserve">Deposit</w:t>
            </w:r>
          </w:p>
        </w:tc>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right"/>
            </w:pPr>
            <w:r>
              <w:rPr>
                <w:rFonts w:ascii="Arial" w:cs="Arial" w:eastAsia="Arial" w:hAnsi="Arial"/>
                <w:b w:val="false"/>
                <w:bCs w:val="false"/>
                <w:sz w:val="18"/>
                <w:szCs w:val="18"/>
              </w:rPr>
              <w:t xml:space="preserve">1,328</w:t>
            </w:r>
          </w:p>
        </w:tc>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right"/>
            </w:pPr>
            <w:r>
              <w:rPr>
                <w:rFonts w:ascii="Arial" w:cs="Arial" w:eastAsia="Arial" w:hAnsi="Arial"/>
                <w:b w:val="false"/>
                <w:bCs w:val="false"/>
                <w:sz w:val="18"/>
                <w:szCs w:val="18"/>
              </w:rPr>
              <w:t xml:space="preserve">215</w:t>
            </w:r>
          </w:p>
        </w:tc>
        <w:tc>
          <w:tcPr>
            <w:tcW w:type="dxa" w:w="2438"/>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right"/>
            </w:pPr>
            <w:r>
              <w:rPr>
                <w:rFonts w:ascii="Arial" w:cs="Arial" w:eastAsia="Arial" w:hAnsi="Arial"/>
                <w:b w:val="false"/>
                <w:bCs w:val="false"/>
                <w:sz w:val="18"/>
                <w:szCs w:val="18"/>
              </w:rPr>
              <w:t xml:space="preserve">16.2%</w:t>
            </w:r>
          </w:p>
        </w:tc>
      </w:tr>
      <w:tr>
        <w:trPr>
          <w:cantSplit/>
        </w:trPr>
        <w:tc>
          <w:tcPr>
            <w:tcW w:type="dxa" w:w="3200"/>
            <w:tcBorders>
              <w:top w:val="single" w:color="BFBFBF" w:sz="4"/>
              <w:left w:val="single" w:color="BFBFBF" w:sz="4"/>
              <w:bottom w:val="single" w:color="BFBFBF" w:sz="4"/>
              <w:right w:val="single" w:color="BFBFBF" w:sz="4"/>
            </w:tcBorders>
            <w:shd w:fill="F5F7FA" w:color="auto" w:val="clear"/>
            <w:tcMar>
              <w:top w:type="dxa" w:w="60"/>
              <w:left w:type="dxa" w:w="90"/>
              <w:bottom w:type="dxa" w:w="60"/>
              <w:right w:type="dxa" w:w="90"/>
            </w:tcMar>
          </w:tcPr>
          <w:p>
            <w:pPr>
              <w:jc w:val="left"/>
            </w:pPr>
            <w:r>
              <w:rPr>
                <w:rFonts w:ascii="Arial" w:cs="Arial" w:eastAsia="Arial" w:hAnsi="Arial"/>
                <w:b w:val="false"/>
                <w:bCs w:val="false"/>
                <w:sz w:val="18"/>
                <w:szCs w:val="18"/>
              </w:rPr>
              <w:t xml:space="preserve">Airtime/Data</w:t>
            </w:r>
          </w:p>
        </w:tc>
        <w:tc>
          <w:tcPr>
            <w:tcW w:type="dxa" w:w="2000"/>
            <w:tcBorders>
              <w:top w:val="single" w:color="BFBFBF" w:sz="4"/>
              <w:left w:val="single" w:color="BFBFBF" w:sz="4"/>
              <w:bottom w:val="single" w:color="BFBFBF" w:sz="4"/>
              <w:right w:val="single" w:color="BFBFBF" w:sz="4"/>
            </w:tcBorders>
            <w:shd w:fill="F5F7FA" w:color="auto" w:val="clear"/>
            <w:tcMar>
              <w:top w:type="dxa" w:w="60"/>
              <w:left w:type="dxa" w:w="90"/>
              <w:bottom w:type="dxa" w:w="60"/>
              <w:right w:type="dxa" w:w="90"/>
            </w:tcMar>
          </w:tcPr>
          <w:p>
            <w:pPr>
              <w:jc w:val="right"/>
            </w:pPr>
            <w:r>
              <w:rPr>
                <w:rFonts w:ascii="Arial" w:cs="Arial" w:eastAsia="Arial" w:hAnsi="Arial"/>
                <w:b w:val="false"/>
                <w:bCs w:val="false"/>
                <w:sz w:val="18"/>
                <w:szCs w:val="18"/>
              </w:rPr>
              <w:t xml:space="preserve">1,185</w:t>
            </w:r>
          </w:p>
        </w:tc>
        <w:tc>
          <w:tcPr>
            <w:tcW w:type="dxa" w:w="2000"/>
            <w:tcBorders>
              <w:top w:val="single" w:color="BFBFBF" w:sz="4"/>
              <w:left w:val="single" w:color="BFBFBF" w:sz="4"/>
              <w:bottom w:val="single" w:color="BFBFBF" w:sz="4"/>
              <w:right w:val="single" w:color="BFBFBF" w:sz="4"/>
            </w:tcBorders>
            <w:shd w:fill="F5F7FA" w:color="auto" w:val="clear"/>
            <w:tcMar>
              <w:top w:type="dxa" w:w="60"/>
              <w:left w:type="dxa" w:w="90"/>
              <w:bottom w:type="dxa" w:w="60"/>
              <w:right w:type="dxa" w:w="90"/>
            </w:tcMar>
          </w:tcPr>
          <w:p>
            <w:pPr>
              <w:jc w:val="right"/>
            </w:pPr>
            <w:r>
              <w:rPr>
                <w:rFonts w:ascii="Arial" w:cs="Arial" w:eastAsia="Arial" w:hAnsi="Arial"/>
                <w:b w:val="false"/>
                <w:bCs w:val="false"/>
                <w:sz w:val="18"/>
                <w:szCs w:val="18"/>
              </w:rPr>
              <w:t xml:space="preserve">180</w:t>
            </w:r>
          </w:p>
        </w:tc>
        <w:tc>
          <w:tcPr>
            <w:tcW w:type="dxa" w:w="2438"/>
            <w:tcBorders>
              <w:top w:val="single" w:color="BFBFBF" w:sz="4"/>
              <w:left w:val="single" w:color="BFBFBF" w:sz="4"/>
              <w:bottom w:val="single" w:color="BFBFBF" w:sz="4"/>
              <w:right w:val="single" w:color="BFBFBF" w:sz="4"/>
            </w:tcBorders>
            <w:shd w:fill="F5F7FA" w:color="auto" w:val="clear"/>
            <w:tcMar>
              <w:top w:type="dxa" w:w="60"/>
              <w:left w:type="dxa" w:w="90"/>
              <w:bottom w:type="dxa" w:w="60"/>
              <w:right w:type="dxa" w:w="90"/>
            </w:tcMar>
          </w:tcPr>
          <w:p>
            <w:pPr>
              <w:jc w:val="right"/>
            </w:pPr>
            <w:r>
              <w:rPr>
                <w:rFonts w:ascii="Arial" w:cs="Arial" w:eastAsia="Arial" w:hAnsi="Arial"/>
                <w:b w:val="false"/>
                <w:bCs w:val="false"/>
                <w:sz w:val="18"/>
                <w:szCs w:val="18"/>
              </w:rPr>
              <w:t xml:space="preserve">15.2%</w:t>
            </w:r>
          </w:p>
        </w:tc>
      </w:tr>
      <w:tr>
        <w:trPr>
          <w:cantSplit/>
        </w:trPr>
        <w:tc>
          <w:tcPr>
            <w:tcW w:type="dxa" w:w="32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b w:val="false"/>
                <w:bCs w:val="false"/>
                <w:sz w:val="18"/>
                <w:szCs w:val="18"/>
              </w:rPr>
              <w:t xml:space="preserve">Card Purchase</w:t>
            </w:r>
          </w:p>
        </w:tc>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right"/>
            </w:pPr>
            <w:r>
              <w:rPr>
                <w:rFonts w:ascii="Arial" w:cs="Arial" w:eastAsia="Arial" w:hAnsi="Arial"/>
                <w:b w:val="false"/>
                <w:bCs w:val="false"/>
                <w:sz w:val="18"/>
                <w:szCs w:val="18"/>
              </w:rPr>
              <w:t xml:space="preserve">3,033</w:t>
            </w:r>
          </w:p>
        </w:tc>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right"/>
            </w:pPr>
            <w:r>
              <w:rPr>
                <w:rFonts w:ascii="Arial" w:cs="Arial" w:eastAsia="Arial" w:hAnsi="Arial"/>
                <w:b w:val="false"/>
                <w:bCs w:val="false"/>
                <w:sz w:val="18"/>
                <w:szCs w:val="18"/>
              </w:rPr>
              <w:t xml:space="preserve">395</w:t>
            </w:r>
          </w:p>
        </w:tc>
        <w:tc>
          <w:tcPr>
            <w:tcW w:type="dxa" w:w="2438"/>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right"/>
            </w:pPr>
            <w:r>
              <w:rPr>
                <w:rFonts w:ascii="Arial" w:cs="Arial" w:eastAsia="Arial" w:hAnsi="Arial"/>
                <w:b w:val="false"/>
                <w:bCs w:val="false"/>
                <w:sz w:val="18"/>
                <w:szCs w:val="18"/>
              </w:rPr>
              <w:t xml:space="preserve">13.0%</w:t>
            </w:r>
          </w:p>
        </w:tc>
      </w:tr>
      <w:tr>
        <w:trPr>
          <w:cantSplit/>
        </w:trPr>
        <w:tc>
          <w:tcPr>
            <w:tcW w:type="dxa" w:w="3200"/>
            <w:tcBorders>
              <w:top w:val="single" w:color="BFBFBF" w:sz="4"/>
              <w:left w:val="single" w:color="BFBFBF" w:sz="4"/>
              <w:bottom w:val="single" w:color="BFBFBF" w:sz="4"/>
              <w:right w:val="single" w:color="BFBFBF" w:sz="4"/>
            </w:tcBorders>
            <w:shd w:fill="F5F7FA" w:color="auto" w:val="clear"/>
            <w:tcMar>
              <w:top w:type="dxa" w:w="60"/>
              <w:left w:type="dxa" w:w="90"/>
              <w:bottom w:type="dxa" w:w="60"/>
              <w:right w:type="dxa" w:w="90"/>
            </w:tcMar>
          </w:tcPr>
          <w:p>
            <w:pPr>
              <w:jc w:val="left"/>
            </w:pPr>
            <w:r>
              <w:rPr>
                <w:rFonts w:ascii="Arial" w:cs="Arial" w:eastAsia="Arial" w:hAnsi="Arial"/>
                <w:b w:val="false"/>
                <w:bCs w:val="false"/>
                <w:sz w:val="18"/>
                <w:szCs w:val="18"/>
              </w:rPr>
              <w:t xml:space="preserve">Bill Payment</w:t>
            </w:r>
          </w:p>
        </w:tc>
        <w:tc>
          <w:tcPr>
            <w:tcW w:type="dxa" w:w="2000"/>
            <w:tcBorders>
              <w:top w:val="single" w:color="BFBFBF" w:sz="4"/>
              <w:left w:val="single" w:color="BFBFBF" w:sz="4"/>
              <w:bottom w:val="single" w:color="BFBFBF" w:sz="4"/>
              <w:right w:val="single" w:color="BFBFBF" w:sz="4"/>
            </w:tcBorders>
            <w:shd w:fill="F5F7FA" w:color="auto" w:val="clear"/>
            <w:tcMar>
              <w:top w:type="dxa" w:w="60"/>
              <w:left w:type="dxa" w:w="90"/>
              <w:bottom w:type="dxa" w:w="60"/>
              <w:right w:type="dxa" w:w="90"/>
            </w:tcMar>
          </w:tcPr>
          <w:p>
            <w:pPr>
              <w:jc w:val="right"/>
            </w:pPr>
            <w:r>
              <w:rPr>
                <w:rFonts w:ascii="Arial" w:cs="Arial" w:eastAsia="Arial" w:hAnsi="Arial"/>
                <w:b w:val="false"/>
                <w:bCs w:val="false"/>
                <w:sz w:val="18"/>
                <w:szCs w:val="18"/>
              </w:rPr>
              <w:t xml:space="preserve">1,475</w:t>
            </w:r>
          </w:p>
        </w:tc>
        <w:tc>
          <w:tcPr>
            <w:tcW w:type="dxa" w:w="2000"/>
            <w:tcBorders>
              <w:top w:val="single" w:color="BFBFBF" w:sz="4"/>
              <w:left w:val="single" w:color="BFBFBF" w:sz="4"/>
              <w:bottom w:val="single" w:color="BFBFBF" w:sz="4"/>
              <w:right w:val="single" w:color="BFBFBF" w:sz="4"/>
            </w:tcBorders>
            <w:shd w:fill="F5F7FA" w:color="auto" w:val="clear"/>
            <w:tcMar>
              <w:top w:type="dxa" w:w="60"/>
              <w:left w:type="dxa" w:w="90"/>
              <w:bottom w:type="dxa" w:w="60"/>
              <w:right w:type="dxa" w:w="90"/>
            </w:tcMar>
          </w:tcPr>
          <w:p>
            <w:pPr>
              <w:jc w:val="right"/>
            </w:pPr>
            <w:r>
              <w:rPr>
                <w:rFonts w:ascii="Arial" w:cs="Arial" w:eastAsia="Arial" w:hAnsi="Arial"/>
                <w:b w:val="false"/>
                <w:bCs w:val="false"/>
                <w:sz w:val="18"/>
                <w:szCs w:val="18"/>
              </w:rPr>
              <w:t xml:space="preserve">189</w:t>
            </w:r>
          </w:p>
        </w:tc>
        <w:tc>
          <w:tcPr>
            <w:tcW w:type="dxa" w:w="2438"/>
            <w:tcBorders>
              <w:top w:val="single" w:color="BFBFBF" w:sz="4"/>
              <w:left w:val="single" w:color="BFBFBF" w:sz="4"/>
              <w:bottom w:val="single" w:color="BFBFBF" w:sz="4"/>
              <w:right w:val="single" w:color="BFBFBF" w:sz="4"/>
            </w:tcBorders>
            <w:shd w:fill="F5F7FA" w:color="auto" w:val="clear"/>
            <w:tcMar>
              <w:top w:type="dxa" w:w="60"/>
              <w:left w:type="dxa" w:w="90"/>
              <w:bottom w:type="dxa" w:w="60"/>
              <w:right w:type="dxa" w:w="90"/>
            </w:tcMar>
          </w:tcPr>
          <w:p>
            <w:pPr>
              <w:jc w:val="right"/>
            </w:pPr>
            <w:r>
              <w:rPr>
                <w:rFonts w:ascii="Arial" w:cs="Arial" w:eastAsia="Arial" w:hAnsi="Arial"/>
                <w:b w:val="false"/>
                <w:bCs w:val="false"/>
                <w:sz w:val="18"/>
                <w:szCs w:val="18"/>
              </w:rPr>
              <w:t xml:space="preserve">12.8%</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2000"/>
        <w:gridCol w:w="2438"/>
      </w:tblGrid>
      <w:tr>
        <w:trPr>
          <w:tblHeader/>
        </w:trPr>
        <w:tc>
          <w:tcPr>
            <w:tcW w:type="dxa" w:w="32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jc w:val="left"/>
            </w:pPr>
            <w:r>
              <w:rPr>
                <w:rFonts w:ascii="Arial" w:cs="Arial" w:eastAsia="Arial" w:hAnsi="Arial"/>
                <w:b/>
                <w:bCs/>
                <w:color w:val="FFFFFF"/>
                <w:sz w:val="18"/>
                <w:szCs w:val="18"/>
              </w:rPr>
              <w:t xml:space="preserve">Amount band</w:t>
            </w:r>
          </w:p>
        </w:tc>
        <w:tc>
          <w:tcPr>
            <w:tcW w:type="dxa" w:w="20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jc w:val="left"/>
            </w:pPr>
            <w:r>
              <w:rPr>
                <w:rFonts w:ascii="Arial" w:cs="Arial" w:eastAsia="Arial" w:hAnsi="Arial"/>
                <w:b/>
                <w:bCs/>
                <w:color w:val="FFFFFF"/>
                <w:sz w:val="18"/>
                <w:szCs w:val="18"/>
              </w:rPr>
              <w:t xml:space="preserve">Transactions</w:t>
            </w:r>
          </w:p>
        </w:tc>
        <w:tc>
          <w:tcPr>
            <w:tcW w:type="dxa" w:w="20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jc w:val="left"/>
            </w:pPr>
            <w:r>
              <w:rPr>
                <w:rFonts w:ascii="Arial" w:cs="Arial" w:eastAsia="Arial" w:hAnsi="Arial"/>
                <w:b/>
                <w:bCs/>
                <w:color w:val="FFFFFF"/>
                <w:sz w:val="18"/>
                <w:szCs w:val="18"/>
              </w:rPr>
              <w:t xml:space="preserve">Flagged</w:t>
            </w:r>
          </w:p>
        </w:tc>
        <w:tc>
          <w:tcPr>
            <w:tcW w:type="dxa" w:w="2438"/>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jc w:val="left"/>
            </w:pPr>
            <w:r>
              <w:rPr>
                <w:rFonts w:ascii="Arial" w:cs="Arial" w:eastAsia="Arial" w:hAnsi="Arial"/>
                <w:b/>
                <w:bCs/>
                <w:color w:val="FFFFFF"/>
                <w:sz w:val="18"/>
                <w:szCs w:val="18"/>
              </w:rPr>
              <w:t xml:space="preserve">Flag rate</w:t>
            </w:r>
          </w:p>
        </w:tc>
      </w:tr>
      <w:tr>
        <w:trPr>
          <w:cantSplit/>
        </w:trPr>
        <w:tc>
          <w:tcPr>
            <w:tcW w:type="dxa" w:w="32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b w:val="false"/>
                <w:bCs w:val="false"/>
                <w:sz w:val="18"/>
                <w:szCs w:val="18"/>
              </w:rPr>
              <w:t xml:space="preserve">Under 10k</w:t>
            </w:r>
          </w:p>
        </w:tc>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right"/>
            </w:pPr>
            <w:r>
              <w:rPr>
                <w:rFonts w:ascii="Arial" w:cs="Arial" w:eastAsia="Arial" w:hAnsi="Arial"/>
                <w:b w:val="false"/>
                <w:bCs w:val="false"/>
                <w:sz w:val="18"/>
                <w:szCs w:val="18"/>
              </w:rPr>
              <w:t xml:space="preserve">5,947</w:t>
            </w:r>
          </w:p>
        </w:tc>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right"/>
            </w:pPr>
            <w:r>
              <w:rPr>
                <w:rFonts w:ascii="Arial" w:cs="Arial" w:eastAsia="Arial" w:hAnsi="Arial"/>
                <w:b w:val="false"/>
                <w:bCs w:val="false"/>
                <w:sz w:val="18"/>
                <w:szCs w:val="18"/>
              </w:rPr>
              <w:t xml:space="preserve">1,050</w:t>
            </w:r>
          </w:p>
        </w:tc>
        <w:tc>
          <w:tcPr>
            <w:tcW w:type="dxa" w:w="2438"/>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right"/>
            </w:pPr>
            <w:r>
              <w:rPr>
                <w:rFonts w:ascii="Arial" w:cs="Arial" w:eastAsia="Arial" w:hAnsi="Arial"/>
                <w:b w:val="false"/>
                <w:bCs w:val="false"/>
                <w:sz w:val="18"/>
                <w:szCs w:val="18"/>
              </w:rPr>
              <w:t xml:space="preserve">17.7%</w:t>
            </w:r>
          </w:p>
        </w:tc>
      </w:tr>
      <w:tr>
        <w:trPr>
          <w:cantSplit/>
        </w:trPr>
        <w:tc>
          <w:tcPr>
            <w:tcW w:type="dxa" w:w="3200"/>
            <w:tcBorders>
              <w:top w:val="single" w:color="BFBFBF" w:sz="4"/>
              <w:left w:val="single" w:color="BFBFBF" w:sz="4"/>
              <w:bottom w:val="single" w:color="BFBFBF" w:sz="4"/>
              <w:right w:val="single" w:color="BFBFBF" w:sz="4"/>
            </w:tcBorders>
            <w:shd w:fill="F5F7FA" w:color="auto" w:val="clear"/>
            <w:tcMar>
              <w:top w:type="dxa" w:w="60"/>
              <w:left w:type="dxa" w:w="90"/>
              <w:bottom w:type="dxa" w:w="60"/>
              <w:right w:type="dxa" w:w="90"/>
            </w:tcMar>
          </w:tcPr>
          <w:p>
            <w:pPr>
              <w:jc w:val="left"/>
            </w:pPr>
            <w:r>
              <w:rPr>
                <w:rFonts w:ascii="Arial" w:cs="Arial" w:eastAsia="Arial" w:hAnsi="Arial"/>
                <w:b w:val="false"/>
                <w:bCs w:val="false"/>
                <w:sz w:val="18"/>
                <w:szCs w:val="18"/>
              </w:rPr>
              <w:t xml:space="preserve">10k-50k</w:t>
            </w:r>
          </w:p>
        </w:tc>
        <w:tc>
          <w:tcPr>
            <w:tcW w:type="dxa" w:w="2000"/>
            <w:tcBorders>
              <w:top w:val="single" w:color="BFBFBF" w:sz="4"/>
              <w:left w:val="single" w:color="BFBFBF" w:sz="4"/>
              <w:bottom w:val="single" w:color="BFBFBF" w:sz="4"/>
              <w:right w:val="single" w:color="BFBFBF" w:sz="4"/>
            </w:tcBorders>
            <w:shd w:fill="F5F7FA" w:color="auto" w:val="clear"/>
            <w:tcMar>
              <w:top w:type="dxa" w:w="60"/>
              <w:left w:type="dxa" w:w="90"/>
              <w:bottom w:type="dxa" w:w="60"/>
              <w:right w:type="dxa" w:w="90"/>
            </w:tcMar>
          </w:tcPr>
          <w:p>
            <w:pPr>
              <w:jc w:val="right"/>
            </w:pPr>
            <w:r>
              <w:rPr>
                <w:rFonts w:ascii="Arial" w:cs="Arial" w:eastAsia="Arial" w:hAnsi="Arial"/>
                <w:b w:val="false"/>
                <w:bCs w:val="false"/>
                <w:sz w:val="18"/>
                <w:szCs w:val="18"/>
              </w:rPr>
              <w:t xml:space="preserve">3,110</w:t>
            </w:r>
          </w:p>
        </w:tc>
        <w:tc>
          <w:tcPr>
            <w:tcW w:type="dxa" w:w="2000"/>
            <w:tcBorders>
              <w:top w:val="single" w:color="BFBFBF" w:sz="4"/>
              <w:left w:val="single" w:color="BFBFBF" w:sz="4"/>
              <w:bottom w:val="single" w:color="BFBFBF" w:sz="4"/>
              <w:right w:val="single" w:color="BFBFBF" w:sz="4"/>
            </w:tcBorders>
            <w:shd w:fill="F5F7FA" w:color="auto" w:val="clear"/>
            <w:tcMar>
              <w:top w:type="dxa" w:w="60"/>
              <w:left w:type="dxa" w:w="90"/>
              <w:bottom w:type="dxa" w:w="60"/>
              <w:right w:type="dxa" w:w="90"/>
            </w:tcMar>
          </w:tcPr>
          <w:p>
            <w:pPr>
              <w:jc w:val="right"/>
            </w:pPr>
            <w:r>
              <w:rPr>
                <w:rFonts w:ascii="Arial" w:cs="Arial" w:eastAsia="Arial" w:hAnsi="Arial"/>
                <w:b w:val="false"/>
                <w:bCs w:val="false"/>
                <w:sz w:val="18"/>
                <w:szCs w:val="18"/>
              </w:rPr>
              <w:t xml:space="preserve">554</w:t>
            </w:r>
          </w:p>
        </w:tc>
        <w:tc>
          <w:tcPr>
            <w:tcW w:type="dxa" w:w="2438"/>
            <w:tcBorders>
              <w:top w:val="single" w:color="BFBFBF" w:sz="4"/>
              <w:left w:val="single" w:color="BFBFBF" w:sz="4"/>
              <w:bottom w:val="single" w:color="BFBFBF" w:sz="4"/>
              <w:right w:val="single" w:color="BFBFBF" w:sz="4"/>
            </w:tcBorders>
            <w:shd w:fill="F5F7FA" w:color="auto" w:val="clear"/>
            <w:tcMar>
              <w:top w:type="dxa" w:w="60"/>
              <w:left w:type="dxa" w:w="90"/>
              <w:bottom w:type="dxa" w:w="60"/>
              <w:right w:type="dxa" w:w="90"/>
            </w:tcMar>
          </w:tcPr>
          <w:p>
            <w:pPr>
              <w:jc w:val="right"/>
            </w:pPr>
            <w:r>
              <w:rPr>
                <w:rFonts w:ascii="Arial" w:cs="Arial" w:eastAsia="Arial" w:hAnsi="Arial"/>
                <w:b w:val="false"/>
                <w:bCs w:val="false"/>
                <w:sz w:val="18"/>
                <w:szCs w:val="18"/>
              </w:rPr>
              <w:t xml:space="preserve">17.8%</w:t>
            </w:r>
          </w:p>
        </w:tc>
      </w:tr>
      <w:tr>
        <w:trPr>
          <w:cantSplit/>
        </w:trPr>
        <w:tc>
          <w:tcPr>
            <w:tcW w:type="dxa" w:w="32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b w:val="false"/>
                <w:bCs w:val="false"/>
                <w:sz w:val="18"/>
                <w:szCs w:val="18"/>
              </w:rPr>
              <w:t xml:space="preserve">50k-200k</w:t>
            </w:r>
          </w:p>
        </w:tc>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right"/>
            </w:pPr>
            <w:r>
              <w:rPr>
                <w:rFonts w:ascii="Arial" w:cs="Arial" w:eastAsia="Arial" w:hAnsi="Arial"/>
                <w:b w:val="false"/>
                <w:bCs w:val="false"/>
                <w:sz w:val="18"/>
                <w:szCs w:val="18"/>
              </w:rPr>
              <w:t xml:space="preserve">2,208</w:t>
            </w:r>
          </w:p>
        </w:tc>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right"/>
            </w:pPr>
            <w:r>
              <w:rPr>
                <w:rFonts w:ascii="Arial" w:cs="Arial" w:eastAsia="Arial" w:hAnsi="Arial"/>
                <w:b w:val="false"/>
                <w:bCs w:val="false"/>
                <w:sz w:val="18"/>
                <w:szCs w:val="18"/>
              </w:rPr>
              <w:t xml:space="preserve">450</w:t>
            </w:r>
          </w:p>
        </w:tc>
        <w:tc>
          <w:tcPr>
            <w:tcW w:type="dxa" w:w="2438"/>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right"/>
            </w:pPr>
            <w:r>
              <w:rPr>
                <w:rFonts w:ascii="Arial" w:cs="Arial" w:eastAsia="Arial" w:hAnsi="Arial"/>
                <w:b w:val="false"/>
                <w:bCs w:val="false"/>
                <w:sz w:val="18"/>
                <w:szCs w:val="18"/>
              </w:rPr>
              <w:t xml:space="preserve">20.4%</w:t>
            </w:r>
          </w:p>
        </w:tc>
      </w:tr>
      <w:tr>
        <w:trPr>
          <w:cantSplit/>
        </w:trPr>
        <w:tc>
          <w:tcPr>
            <w:tcW w:type="dxa" w:w="3200"/>
            <w:tcBorders>
              <w:top w:val="single" w:color="BFBFBF" w:sz="4"/>
              <w:left w:val="single" w:color="BFBFBF" w:sz="4"/>
              <w:bottom w:val="single" w:color="BFBFBF" w:sz="4"/>
              <w:right w:val="single" w:color="BFBFBF" w:sz="4"/>
            </w:tcBorders>
            <w:shd w:fill="F5F7FA" w:color="auto" w:val="clear"/>
            <w:tcMar>
              <w:top w:type="dxa" w:w="60"/>
              <w:left w:type="dxa" w:w="90"/>
              <w:bottom w:type="dxa" w:w="60"/>
              <w:right w:type="dxa" w:w="90"/>
            </w:tcMar>
          </w:tcPr>
          <w:p>
            <w:pPr>
              <w:jc w:val="left"/>
            </w:pPr>
            <w:r>
              <w:rPr>
                <w:rFonts w:ascii="Arial" w:cs="Arial" w:eastAsia="Arial" w:hAnsi="Arial"/>
                <w:b w:val="false"/>
                <w:bCs w:val="false"/>
                <w:sz w:val="18"/>
                <w:szCs w:val="18"/>
              </w:rPr>
              <w:t xml:space="preserve">200k+</w:t>
            </w:r>
          </w:p>
        </w:tc>
        <w:tc>
          <w:tcPr>
            <w:tcW w:type="dxa" w:w="2000"/>
            <w:tcBorders>
              <w:top w:val="single" w:color="BFBFBF" w:sz="4"/>
              <w:left w:val="single" w:color="BFBFBF" w:sz="4"/>
              <w:bottom w:val="single" w:color="BFBFBF" w:sz="4"/>
              <w:right w:val="single" w:color="BFBFBF" w:sz="4"/>
            </w:tcBorders>
            <w:shd w:fill="F5F7FA" w:color="auto" w:val="clear"/>
            <w:tcMar>
              <w:top w:type="dxa" w:w="60"/>
              <w:left w:type="dxa" w:w="90"/>
              <w:bottom w:type="dxa" w:w="60"/>
              <w:right w:type="dxa" w:w="90"/>
            </w:tcMar>
          </w:tcPr>
          <w:p>
            <w:pPr>
              <w:jc w:val="right"/>
            </w:pPr>
            <w:r>
              <w:rPr>
                <w:rFonts w:ascii="Arial" w:cs="Arial" w:eastAsia="Arial" w:hAnsi="Arial"/>
                <w:b w:val="false"/>
                <w:bCs w:val="false"/>
                <w:sz w:val="18"/>
                <w:szCs w:val="18"/>
              </w:rPr>
              <w:t xml:space="preserve">735</w:t>
            </w:r>
          </w:p>
        </w:tc>
        <w:tc>
          <w:tcPr>
            <w:tcW w:type="dxa" w:w="2000"/>
            <w:tcBorders>
              <w:top w:val="single" w:color="BFBFBF" w:sz="4"/>
              <w:left w:val="single" w:color="BFBFBF" w:sz="4"/>
              <w:bottom w:val="single" w:color="BFBFBF" w:sz="4"/>
              <w:right w:val="single" w:color="BFBFBF" w:sz="4"/>
            </w:tcBorders>
            <w:shd w:fill="F5F7FA" w:color="auto" w:val="clear"/>
            <w:tcMar>
              <w:top w:type="dxa" w:w="60"/>
              <w:left w:type="dxa" w:w="90"/>
              <w:bottom w:type="dxa" w:w="60"/>
              <w:right w:type="dxa" w:w="90"/>
            </w:tcMar>
          </w:tcPr>
          <w:p>
            <w:pPr>
              <w:jc w:val="right"/>
            </w:pPr>
            <w:r>
              <w:rPr>
                <w:rFonts w:ascii="Arial" w:cs="Arial" w:eastAsia="Arial" w:hAnsi="Arial"/>
                <w:b w:val="false"/>
                <w:bCs w:val="false"/>
                <w:sz w:val="18"/>
                <w:szCs w:val="18"/>
              </w:rPr>
              <w:t xml:space="preserve">298</w:t>
            </w:r>
          </w:p>
        </w:tc>
        <w:tc>
          <w:tcPr>
            <w:tcW w:type="dxa" w:w="2438"/>
            <w:tcBorders>
              <w:top w:val="single" w:color="BFBFBF" w:sz="4"/>
              <w:left w:val="single" w:color="BFBFBF" w:sz="4"/>
              <w:bottom w:val="single" w:color="BFBFBF" w:sz="4"/>
              <w:right w:val="single" w:color="BFBFBF" w:sz="4"/>
            </w:tcBorders>
            <w:shd w:fill="F5F7FA" w:color="auto" w:val="clear"/>
            <w:tcMar>
              <w:top w:type="dxa" w:w="60"/>
              <w:left w:type="dxa" w:w="90"/>
              <w:bottom w:type="dxa" w:w="60"/>
              <w:right w:type="dxa" w:w="90"/>
            </w:tcMar>
          </w:tcPr>
          <w:p>
            <w:pPr>
              <w:jc w:val="right"/>
            </w:pPr>
            <w:r>
              <w:rPr>
                <w:rFonts w:ascii="Arial" w:cs="Arial" w:eastAsia="Arial" w:hAnsi="Arial"/>
                <w:b w:val="false"/>
                <w:bCs w:val="false"/>
                <w:sz w:val="18"/>
                <w:szCs w:val="18"/>
              </w:rPr>
              <w:t xml:space="preserve">40.5%</w:t>
            </w:r>
          </w:p>
        </w:tc>
      </w:tr>
    </w:tbl>
    <w:p>
      <w:pPr>
        <w:spacing w:after="120"/>
      </w:pPr>
    </w:p>
    <w:p>
      <w:pPr>
        <w:pStyle w:val="ListParagraph"/>
        <w:numPr>
          <w:ilvl w:val="0"/>
          <w:numId w:val="2"/>
        </w:numPr>
        <w:spacing w:after="60" w:line="270"/>
      </w:pPr>
      <w:r>
        <w:rPr>
          <w:rFonts w:ascii="Arial" w:cs="Arial" w:eastAsia="Arial" w:hAnsi="Arial"/>
          <w:sz w:val="21"/>
          <w:szCs w:val="21"/>
        </w:rPr>
        <w:t xml:space="preserve"/>
      </w:r>
      <w:r>
        <w:rPr>
          <w:rFonts w:ascii="Arial" w:cs="Arial" w:eastAsia="Arial" w:hAnsi="Arial"/>
          <w:b/>
          <w:bCs/>
          <w:sz w:val="21"/>
          <w:szCs w:val="21"/>
        </w:rPr>
        <w:t xml:space="preserve">International:</w:t>
      </w:r>
      <w:r>
        <w:rPr>
          <w:rFonts w:ascii="Arial" w:cs="Arial" w:eastAsia="Arial" w:hAnsi="Arial"/>
          <w:sz w:val="21"/>
          <w:szCs w:val="21"/>
        </w:rPr>
        <w:t xml:space="preserve"> 36.9% flagged (177 of 480) vs 18.9% for domestic (2,175 of 11,520).</w:t>
      </w:r>
    </w:p>
    <w:p>
      <w:pPr>
        <w:pStyle w:val="ListParagraph"/>
        <w:numPr>
          <w:ilvl w:val="0"/>
          <w:numId w:val="2"/>
        </w:numPr>
        <w:spacing w:after="60" w:line="270"/>
      </w:pPr>
      <w:r>
        <w:rPr>
          <w:rFonts w:ascii="Arial" w:cs="Arial" w:eastAsia="Arial" w:hAnsi="Arial"/>
          <w:sz w:val="21"/>
          <w:szCs w:val="21"/>
        </w:rPr>
        <w:t xml:space="preserve"/>
      </w:r>
      <w:r>
        <w:rPr>
          <w:rFonts w:ascii="Arial" w:cs="Arial" w:eastAsia="Arial" w:hAnsi="Arial"/>
          <w:b/>
          <w:bCs/>
          <w:sz w:val="21"/>
          <w:szCs w:val="21"/>
        </w:rPr>
        <w:t xml:space="preserve">Status:</w:t>
      </w:r>
      <w:r>
        <w:rPr>
          <w:rFonts w:ascii="Arial" w:cs="Arial" w:eastAsia="Arial" w:hAnsi="Arial"/>
          <w:sz w:val="21"/>
          <w:szCs w:val="21"/>
        </w:rPr>
        <w:t xml:space="preserve"> Failed transactions are flagged 27.0% of the time vs 19.2% for Successful, 18.4% Reversed and 17.6% Pending.</w:t>
      </w:r>
    </w:p>
    <w:p>
      <w:pPr>
        <w:pStyle w:val="ListParagraph"/>
        <w:numPr>
          <w:ilvl w:val="0"/>
          <w:numId w:val="2"/>
        </w:numPr>
        <w:spacing w:after="60" w:line="270"/>
      </w:pPr>
      <w:r>
        <w:rPr>
          <w:rFonts w:ascii="Arial" w:cs="Arial" w:eastAsia="Arial" w:hAnsi="Arial"/>
          <w:sz w:val="21"/>
          <w:szCs w:val="21"/>
        </w:rPr>
        <w:t xml:space="preserve"/>
      </w:r>
      <w:r>
        <w:rPr>
          <w:rFonts w:ascii="Arial" w:cs="Arial" w:eastAsia="Arial" w:hAnsi="Arial"/>
          <w:b/>
          <w:bCs/>
          <w:sz w:val="21"/>
          <w:szCs w:val="21"/>
        </w:rPr>
        <w:t xml:space="preserve">Channel:</w:t>
      </w:r>
      <w:r>
        <w:rPr>
          <w:rFonts w:ascii="Arial" w:cs="Arial" w:eastAsia="Arial" w:hAnsi="Arial"/>
          <w:sz w:val="21"/>
          <w:szCs w:val="21"/>
        </w:rPr>
        <w:t xml:space="preserve"> Web (21.3%) and ATM (21.2%) are highest; USSD (17.3%) is lowest. The spread is modest.</w:t>
      </w:r>
    </w:p>
    <w:p>
      <w:pPr>
        <w:pStyle w:val="ListParagraph"/>
        <w:numPr>
          <w:ilvl w:val="0"/>
          <w:numId w:val="2"/>
        </w:numPr>
        <w:spacing w:after="60" w:line="270"/>
      </w:pPr>
      <w:r>
        <w:rPr>
          <w:rFonts w:ascii="Arial" w:cs="Arial" w:eastAsia="Arial" w:hAnsi="Arial"/>
          <w:sz w:val="21"/>
          <w:szCs w:val="21"/>
        </w:rPr>
        <w:t xml:space="preserve"/>
      </w:r>
      <w:r>
        <w:rPr>
          <w:rFonts w:ascii="Arial" w:cs="Arial" w:eastAsia="Arial" w:hAnsi="Arial"/>
          <w:b/>
          <w:bCs/>
          <w:sz w:val="21"/>
          <w:szCs w:val="21"/>
        </w:rPr>
        <w:t xml:space="preserve">Segment:</w:t>
      </w:r>
      <w:r>
        <w:rPr>
          <w:rFonts w:ascii="Arial" w:cs="Arial" w:eastAsia="Arial" w:hAnsi="Arial"/>
          <w:sz w:val="21"/>
          <w:szCs w:val="21"/>
        </w:rPr>
        <w:t xml:space="preserve"> flag rates are almost identical across segments (19.3% to 20.3%).</w:t>
      </w:r>
    </w:p>
    <w:p>
      <w:pPr>
        <w:pStyle w:val="ListParagraph"/>
        <w:numPr>
          <w:ilvl w:val="0"/>
          <w:numId w:val="2"/>
        </w:numPr>
        <w:spacing w:after="60" w:line="270"/>
      </w:pPr>
      <w:r>
        <w:rPr>
          <w:rFonts w:ascii="Arial" w:cs="Arial" w:eastAsia="Arial" w:hAnsi="Arial"/>
          <w:sz w:val="21"/>
          <w:szCs w:val="21"/>
        </w:rPr>
        <w:t xml:space="preserve"/>
      </w:r>
      <w:r>
        <w:rPr>
          <w:rFonts w:ascii="Arial" w:cs="Arial" w:eastAsia="Arial" w:hAnsi="Arial"/>
          <w:b/>
          <w:bCs/>
          <w:sz w:val="21"/>
          <w:szCs w:val="21"/>
        </w:rPr>
        <w:t xml:space="preserve">Amount:</w:t>
      </w:r>
      <w:r>
        <w:rPr>
          <w:rFonts w:ascii="Arial" w:cs="Arial" w:eastAsia="Arial" w:hAnsi="Arial"/>
          <w:sz w:val="21"/>
          <w:szCs w:val="21"/>
        </w:rPr>
        <w:t xml:space="preserve"> flagged transactions average ₦68,786 vs ₦41,324 for non-flagged.</w:t>
      </w:r>
    </w:p>
    <w:p>
      <w:pPr>
        <w:pStyle w:val="ListParagraph"/>
        <w:numPr>
          <w:ilvl w:val="0"/>
          <w:numId w:val="2"/>
        </w:numPr>
        <w:spacing w:after="60" w:line="270"/>
      </w:pPr>
      <w:r>
        <w:rPr>
          <w:rFonts w:ascii="Arial" w:cs="Arial" w:eastAsia="Arial" w:hAnsi="Arial"/>
          <w:sz w:val="21"/>
          <w:szCs w:val="21"/>
        </w:rPr>
        <w:t xml:space="preserve"/>
      </w:r>
      <w:r>
        <w:rPr>
          <w:rFonts w:ascii="Arial" w:cs="Arial" w:eastAsia="Arial" w:hAnsi="Arial"/>
          <w:b/>
          <w:bCs/>
          <w:sz w:val="21"/>
          <w:szCs w:val="21"/>
        </w:rPr>
        <w:t xml:space="preserve">Customers:</w:t>
      </w:r>
      <w:r>
        <w:rPr>
          <w:rFonts w:ascii="Arial" w:cs="Arial" w:eastAsia="Arial" w:hAnsi="Arial"/>
          <w:sz w:val="21"/>
          <w:szCs w:val="21"/>
        </w:rPr>
        <w:t xml:space="preserve"> 78.6% of customers have at least one flagged transaction, and 21.1% have three or more.</w:t>
      </w:r>
    </w:p>
    <w:p>
      <w:pPr>
        <w:spacing w:after="120" w:before="0" w:line="280"/>
      </w:pPr>
      <w:r>
        <w:rPr>
          <w:rFonts w:ascii="Arial" w:cs="Arial" w:eastAsia="Arial" w:hAnsi="Arial"/>
          <w:sz w:val="21"/>
          <w:szCs w:val="21"/>
        </w:rPr>
        <w:t xml:space="preserve"/>
      </w:r>
      <w:r>
        <w:rPr>
          <w:rFonts w:ascii="Arial" w:cs="Arial" w:eastAsia="Arial" w:hAnsi="Arial"/>
          <w:b/>
          <w:bCs/>
          <w:sz w:val="21"/>
          <w:szCs w:val="21"/>
        </w:rPr>
        <w:t xml:space="preserve">Finding:</w:t>
      </w:r>
      <w:r>
        <w:rPr>
          <w:rFonts w:ascii="Arial" w:cs="Arial" w:eastAsia="Arial" w:hAnsi="Arial"/>
          <w:sz w:val="21"/>
          <w:szCs w:val="21"/>
        </w:rPr>
        <w:t xml:space="preserve"> the flag is strongly associated with Transfers, Cash Withdrawals, international activity and large amounts (40.5% flagged at ₦200k and above), and only weakly with channel or segment. These are associations in a synthetic label, not proof of fraud. They give the Data Science track candidate features to test.</w:t>
      </w:r>
    </w:p>
    <w:p>
      <w:pPr>
        <w:pStyle w:val="Heading2"/>
      </w:pPr>
      <w:r>
        <w:rPr>
          <w:rFonts w:ascii="Arial" w:cs="Arial" w:eastAsia="Arial" w:hAnsi="Arial"/>
        </w:rPr>
        <w:t xml:space="preserve">Q7. Are Dormant or Restricted accounts still transacting?</w:t>
      </w:r>
    </w:p>
    <w:p>
      <w:pPr>
        <w:spacing w:after="120" w:before="0" w:line="280"/>
      </w:pPr>
      <w:r>
        <w:rPr>
          <w:rFonts w:ascii="Arial" w:cs="Arial" w:eastAsia="Arial" w:hAnsi="Arial"/>
          <w:sz w:val="21"/>
          <w:szCs w:val="21"/>
        </w:rPr>
        <w:t xml:space="preserve"/>
      </w:r>
      <w:r>
        <w:rPr>
          <w:rFonts w:ascii="Arial" w:cs="Arial" w:eastAsia="Arial" w:hAnsi="Arial"/>
          <w:b/>
          <w:bCs/>
          <w:sz w:val="21"/>
          <w:szCs w:val="21"/>
        </w:rPr>
        <w:t xml:space="preserve">Why it matters:</w:t>
      </w:r>
      <w:r>
        <w:rPr>
          <w:rFonts w:ascii="Arial" w:cs="Arial" w:eastAsia="Arial" w:hAnsi="Arial"/>
          <w:sz w:val="21"/>
          <w:szCs w:val="21"/>
        </w:rPr>
        <w:t xml:space="preserve"> activity on non-active accounts may indicate control gaps or data inconsistencies.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1700"/>
        <w:gridCol w:w="1900"/>
        <w:gridCol w:w="1900"/>
        <w:gridCol w:w="1938"/>
      </w:tblGrid>
      <w:tr>
        <w:trPr>
          <w:tblHeader/>
        </w:trPr>
        <w:tc>
          <w:tcPr>
            <w:tcW w:type="dxa" w:w="22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jc w:val="left"/>
            </w:pPr>
            <w:r>
              <w:rPr>
                <w:rFonts w:ascii="Arial" w:cs="Arial" w:eastAsia="Arial" w:hAnsi="Arial"/>
                <w:b/>
                <w:bCs/>
                <w:color w:val="FFFFFF"/>
                <w:sz w:val="18"/>
                <w:szCs w:val="18"/>
              </w:rPr>
              <w:t xml:space="preserve">Account status</w:t>
            </w:r>
          </w:p>
        </w:tc>
        <w:tc>
          <w:tcPr>
            <w:tcW w:type="dxa" w:w="17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jc w:val="left"/>
            </w:pPr>
            <w:r>
              <w:rPr>
                <w:rFonts w:ascii="Arial" w:cs="Arial" w:eastAsia="Arial" w:hAnsi="Arial"/>
                <w:b/>
                <w:bCs/>
                <w:color w:val="FFFFFF"/>
                <w:sz w:val="18"/>
                <w:szCs w:val="18"/>
              </w:rPr>
              <w:t xml:space="preserve">Customers</w:t>
            </w:r>
          </w:p>
        </w:tc>
        <w:tc>
          <w:tcPr>
            <w:tcW w:type="dxa" w:w="19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jc w:val="left"/>
            </w:pPr>
            <w:r>
              <w:rPr>
                <w:rFonts w:ascii="Arial" w:cs="Arial" w:eastAsia="Arial" w:hAnsi="Arial"/>
                <w:b/>
                <w:bCs/>
                <w:color w:val="FFFFFF"/>
                <w:sz w:val="18"/>
                <w:szCs w:val="18"/>
              </w:rPr>
              <w:t xml:space="preserve">Transactions</w:t>
            </w:r>
          </w:p>
        </w:tc>
        <w:tc>
          <w:tcPr>
            <w:tcW w:type="dxa" w:w="19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jc w:val="left"/>
            </w:pPr>
            <w:r>
              <w:rPr>
                <w:rFonts w:ascii="Arial" w:cs="Arial" w:eastAsia="Arial" w:hAnsi="Arial"/>
                <w:b/>
                <w:bCs/>
                <w:color w:val="FFFFFF"/>
                <w:sz w:val="18"/>
                <w:szCs w:val="18"/>
              </w:rPr>
              <w:t xml:space="preserve">Value</w:t>
            </w:r>
          </w:p>
        </w:tc>
        <w:tc>
          <w:tcPr>
            <w:tcW w:type="dxa" w:w="1938"/>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jc w:val="left"/>
            </w:pPr>
            <w:r>
              <w:rPr>
                <w:rFonts w:ascii="Arial" w:cs="Arial" w:eastAsia="Arial" w:hAnsi="Arial"/>
                <w:b/>
                <w:bCs/>
                <w:color w:val="FFFFFF"/>
                <w:sz w:val="18"/>
                <w:szCs w:val="18"/>
              </w:rPr>
              <w:t xml:space="preserve">Share of txns</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b w:val="false"/>
                <w:bCs w:val="false"/>
                <w:sz w:val="18"/>
                <w:szCs w:val="18"/>
              </w:rPr>
              <w:t xml:space="preserve">Active</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right"/>
            </w:pPr>
            <w:r>
              <w:rPr>
                <w:rFonts w:ascii="Arial" w:cs="Arial" w:eastAsia="Arial" w:hAnsi="Arial"/>
                <w:b w:val="false"/>
                <w:bCs w:val="false"/>
                <w:sz w:val="18"/>
                <w:szCs w:val="18"/>
              </w:rPr>
              <w:t xml:space="preserve">1,367</w:t>
            </w:r>
          </w:p>
        </w:tc>
        <w:tc>
          <w:tcPr>
            <w:tcW w:type="dxa" w:w="19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right"/>
            </w:pPr>
            <w:r>
              <w:rPr>
                <w:rFonts w:ascii="Arial" w:cs="Arial" w:eastAsia="Arial" w:hAnsi="Arial"/>
                <w:b w:val="false"/>
                <w:bCs w:val="false"/>
                <w:sz w:val="18"/>
                <w:szCs w:val="18"/>
              </w:rPr>
              <w:t xml:space="preserve">10,910</w:t>
            </w:r>
          </w:p>
        </w:tc>
        <w:tc>
          <w:tcPr>
            <w:tcW w:type="dxa" w:w="19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right"/>
            </w:pPr>
            <w:r>
              <w:rPr>
                <w:rFonts w:ascii="Arial" w:cs="Arial" w:eastAsia="Arial" w:hAnsi="Arial"/>
                <w:b w:val="false"/>
                <w:bCs w:val="false"/>
                <w:sz w:val="18"/>
                <w:szCs w:val="18"/>
              </w:rPr>
              <w:t xml:space="preserve">₦510.9M</w:t>
            </w:r>
          </w:p>
        </w:tc>
        <w:tc>
          <w:tcPr>
            <w:tcW w:type="dxa" w:w="1938"/>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right"/>
            </w:pPr>
            <w:r>
              <w:rPr>
                <w:rFonts w:ascii="Arial" w:cs="Arial" w:eastAsia="Arial" w:hAnsi="Arial"/>
                <w:b w:val="false"/>
                <w:bCs w:val="false"/>
                <w:sz w:val="18"/>
                <w:szCs w:val="18"/>
              </w:rPr>
              <w:t xml:space="preserve">90.9%</w:t>
            </w:r>
          </w:p>
        </w:tc>
      </w:tr>
      <w:tr>
        <w:trPr>
          <w:cantSplit/>
        </w:trPr>
        <w:tc>
          <w:tcPr>
            <w:tcW w:type="dxa" w:w="2200"/>
            <w:tcBorders>
              <w:top w:val="single" w:color="BFBFBF" w:sz="4"/>
              <w:left w:val="single" w:color="BFBFBF" w:sz="4"/>
              <w:bottom w:val="single" w:color="BFBFBF" w:sz="4"/>
              <w:right w:val="single" w:color="BFBFBF" w:sz="4"/>
            </w:tcBorders>
            <w:shd w:fill="F5F7FA" w:color="auto" w:val="clear"/>
            <w:tcMar>
              <w:top w:type="dxa" w:w="60"/>
              <w:left w:type="dxa" w:w="90"/>
              <w:bottom w:type="dxa" w:w="60"/>
              <w:right w:type="dxa" w:w="90"/>
            </w:tcMar>
          </w:tcPr>
          <w:p>
            <w:pPr>
              <w:jc w:val="left"/>
            </w:pPr>
            <w:r>
              <w:rPr>
                <w:rFonts w:ascii="Arial" w:cs="Arial" w:eastAsia="Arial" w:hAnsi="Arial"/>
                <w:b w:val="false"/>
                <w:bCs w:val="false"/>
                <w:sz w:val="18"/>
                <w:szCs w:val="18"/>
              </w:rPr>
              <w:t xml:space="preserve">Dormant</w:t>
            </w:r>
          </w:p>
        </w:tc>
        <w:tc>
          <w:tcPr>
            <w:tcW w:type="dxa" w:w="1700"/>
            <w:tcBorders>
              <w:top w:val="single" w:color="BFBFBF" w:sz="4"/>
              <w:left w:val="single" w:color="BFBFBF" w:sz="4"/>
              <w:bottom w:val="single" w:color="BFBFBF" w:sz="4"/>
              <w:right w:val="single" w:color="BFBFBF" w:sz="4"/>
            </w:tcBorders>
            <w:shd w:fill="F5F7FA" w:color="auto" w:val="clear"/>
            <w:tcMar>
              <w:top w:type="dxa" w:w="60"/>
              <w:left w:type="dxa" w:w="90"/>
              <w:bottom w:type="dxa" w:w="60"/>
              <w:right w:type="dxa" w:w="90"/>
            </w:tcMar>
          </w:tcPr>
          <w:p>
            <w:pPr>
              <w:jc w:val="right"/>
            </w:pPr>
            <w:r>
              <w:rPr>
                <w:rFonts w:ascii="Arial" w:cs="Arial" w:eastAsia="Arial" w:hAnsi="Arial"/>
                <w:b w:val="false"/>
                <w:bCs w:val="false"/>
                <w:sz w:val="18"/>
                <w:szCs w:val="18"/>
              </w:rPr>
              <w:t xml:space="preserve">107</w:t>
            </w:r>
          </w:p>
        </w:tc>
        <w:tc>
          <w:tcPr>
            <w:tcW w:type="dxa" w:w="1900"/>
            <w:tcBorders>
              <w:top w:val="single" w:color="BFBFBF" w:sz="4"/>
              <w:left w:val="single" w:color="BFBFBF" w:sz="4"/>
              <w:bottom w:val="single" w:color="BFBFBF" w:sz="4"/>
              <w:right w:val="single" w:color="BFBFBF" w:sz="4"/>
            </w:tcBorders>
            <w:shd w:fill="F5F7FA" w:color="auto" w:val="clear"/>
            <w:tcMar>
              <w:top w:type="dxa" w:w="60"/>
              <w:left w:type="dxa" w:w="90"/>
              <w:bottom w:type="dxa" w:w="60"/>
              <w:right w:type="dxa" w:w="90"/>
            </w:tcMar>
          </w:tcPr>
          <w:p>
            <w:pPr>
              <w:jc w:val="right"/>
            </w:pPr>
            <w:r>
              <w:rPr>
                <w:rFonts w:ascii="Arial" w:cs="Arial" w:eastAsia="Arial" w:hAnsi="Arial"/>
                <w:b w:val="false"/>
                <w:bCs w:val="false"/>
                <w:sz w:val="18"/>
                <w:szCs w:val="18"/>
              </w:rPr>
              <w:t xml:space="preserve">866</w:t>
            </w:r>
          </w:p>
        </w:tc>
        <w:tc>
          <w:tcPr>
            <w:tcW w:type="dxa" w:w="1900"/>
            <w:tcBorders>
              <w:top w:val="single" w:color="BFBFBF" w:sz="4"/>
              <w:left w:val="single" w:color="BFBFBF" w:sz="4"/>
              <w:bottom w:val="single" w:color="BFBFBF" w:sz="4"/>
              <w:right w:val="single" w:color="BFBFBF" w:sz="4"/>
            </w:tcBorders>
            <w:shd w:fill="F5F7FA" w:color="auto" w:val="clear"/>
            <w:tcMar>
              <w:top w:type="dxa" w:w="60"/>
              <w:left w:type="dxa" w:w="90"/>
              <w:bottom w:type="dxa" w:w="60"/>
              <w:right w:type="dxa" w:w="90"/>
            </w:tcMar>
          </w:tcPr>
          <w:p>
            <w:pPr>
              <w:jc w:val="right"/>
            </w:pPr>
            <w:r>
              <w:rPr>
                <w:rFonts w:ascii="Arial" w:cs="Arial" w:eastAsia="Arial" w:hAnsi="Arial"/>
                <w:b w:val="false"/>
                <w:bCs w:val="false"/>
                <w:sz w:val="18"/>
                <w:szCs w:val="18"/>
              </w:rPr>
              <w:t xml:space="preserve">₦38.7M</w:t>
            </w:r>
          </w:p>
        </w:tc>
        <w:tc>
          <w:tcPr>
            <w:tcW w:type="dxa" w:w="1938"/>
            <w:tcBorders>
              <w:top w:val="single" w:color="BFBFBF" w:sz="4"/>
              <w:left w:val="single" w:color="BFBFBF" w:sz="4"/>
              <w:bottom w:val="single" w:color="BFBFBF" w:sz="4"/>
              <w:right w:val="single" w:color="BFBFBF" w:sz="4"/>
            </w:tcBorders>
            <w:shd w:fill="F5F7FA" w:color="auto" w:val="clear"/>
            <w:tcMar>
              <w:top w:type="dxa" w:w="60"/>
              <w:left w:type="dxa" w:w="90"/>
              <w:bottom w:type="dxa" w:w="60"/>
              <w:right w:type="dxa" w:w="90"/>
            </w:tcMar>
          </w:tcPr>
          <w:p>
            <w:pPr>
              <w:jc w:val="right"/>
            </w:pPr>
            <w:r>
              <w:rPr>
                <w:rFonts w:ascii="Arial" w:cs="Arial" w:eastAsia="Arial" w:hAnsi="Arial"/>
                <w:b w:val="false"/>
                <w:bCs w:val="false"/>
                <w:sz w:val="18"/>
                <w:szCs w:val="18"/>
              </w:rPr>
              <w:t xml:space="preserve">7.2%</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b w:val="false"/>
                <w:bCs w:val="false"/>
                <w:sz w:val="18"/>
                <w:szCs w:val="18"/>
              </w:rPr>
              <w:t xml:space="preserve">Restricted</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right"/>
            </w:pPr>
            <w:r>
              <w:rPr>
                <w:rFonts w:ascii="Arial" w:cs="Arial" w:eastAsia="Arial" w:hAnsi="Arial"/>
                <w:b w:val="false"/>
                <w:bCs w:val="false"/>
                <w:sz w:val="18"/>
                <w:szCs w:val="18"/>
              </w:rPr>
              <w:t xml:space="preserve">26</w:t>
            </w:r>
          </w:p>
        </w:tc>
        <w:tc>
          <w:tcPr>
            <w:tcW w:type="dxa" w:w="19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right"/>
            </w:pPr>
            <w:r>
              <w:rPr>
                <w:rFonts w:ascii="Arial" w:cs="Arial" w:eastAsia="Arial" w:hAnsi="Arial"/>
                <w:b w:val="false"/>
                <w:bCs w:val="false"/>
                <w:sz w:val="18"/>
                <w:szCs w:val="18"/>
              </w:rPr>
              <w:t xml:space="preserve">224</w:t>
            </w:r>
          </w:p>
        </w:tc>
        <w:tc>
          <w:tcPr>
            <w:tcW w:type="dxa" w:w="19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right"/>
            </w:pPr>
            <w:r>
              <w:rPr>
                <w:rFonts w:ascii="Arial" w:cs="Arial" w:eastAsia="Arial" w:hAnsi="Arial"/>
                <w:b w:val="false"/>
                <w:bCs w:val="false"/>
                <w:sz w:val="18"/>
                <w:szCs w:val="18"/>
              </w:rPr>
              <w:t xml:space="preserve">₦10.9M</w:t>
            </w:r>
          </w:p>
        </w:tc>
        <w:tc>
          <w:tcPr>
            <w:tcW w:type="dxa" w:w="1938"/>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right"/>
            </w:pPr>
            <w:r>
              <w:rPr>
                <w:rFonts w:ascii="Arial" w:cs="Arial" w:eastAsia="Arial" w:hAnsi="Arial"/>
                <w:b w:val="false"/>
                <w:bCs w:val="false"/>
                <w:sz w:val="18"/>
                <w:szCs w:val="18"/>
              </w:rPr>
              <w:t xml:space="preserve">1.9%</w:t>
            </w:r>
          </w:p>
        </w:tc>
      </w:tr>
    </w:tbl>
    <w:p>
      <w:pPr>
        <w:spacing w:after="120"/>
      </w:pPr>
    </w:p>
    <w:p>
      <w:pPr>
        <w:spacing w:after="120" w:before="0" w:line="280"/>
      </w:pPr>
      <w:r>
        <w:rPr>
          <w:rFonts w:ascii="Arial" w:cs="Arial" w:eastAsia="Arial" w:hAnsi="Arial"/>
          <w:sz w:val="21"/>
          <w:szCs w:val="21"/>
        </w:rPr>
        <w:t xml:space="preserve"/>
      </w:r>
      <w:r>
        <w:rPr>
          <w:rFonts w:ascii="Arial" w:cs="Arial" w:eastAsia="Arial" w:hAnsi="Arial"/>
          <w:b/>
          <w:bCs/>
          <w:sz w:val="21"/>
          <w:szCs w:val="21"/>
        </w:rPr>
        <w:t xml:space="preserve">Finding:</w:t>
      </w:r>
      <w:r>
        <w:rPr>
          <w:rFonts w:ascii="Arial" w:cs="Arial" w:eastAsia="Arial" w:hAnsi="Arial"/>
          <w:sz w:val="21"/>
          <w:szCs w:val="21"/>
        </w:rPr>
        <w:t xml:space="preserve"> all 107 Dormant and 26 Restricted customers have transactions. Together they account for 1,090 transactions (9.1%) worth ₦49.6M (8.9%), and 989 of those succeeded. Dormant and restricted customers transact at about the same rate as active ones (8.1 and 8.6 transactions per customer vs 8.0). Either the status field is not current, or the accounts are not properly controlled; this should be raised with stakeholders and checked in Week 2.</w:t>
      </w:r>
    </w:p>
    <w:p>
      <w:pPr>
        <w:pStyle w:val="Heading1"/>
      </w:pPr>
      <w:r>
        <w:rPr>
          <w:rFonts w:ascii="Arial" w:cs="Arial" w:eastAsia="Arial" w:hAnsi="Arial"/>
        </w:rPr>
        <w:t xml:space="preserve">5. KPI Planning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2600"/>
        <w:gridCol w:w="2038"/>
      </w:tblGrid>
      <w:tr>
        <w:trPr>
          <w:tblHeader/>
        </w:trPr>
        <w:tc>
          <w:tcPr>
            <w:tcW w:type="dxa" w:w="20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jc w:val="left"/>
            </w:pPr>
            <w:r>
              <w:rPr>
                <w:rFonts w:ascii="Arial" w:cs="Arial" w:eastAsia="Arial" w:hAnsi="Arial"/>
                <w:b/>
                <w:bCs/>
                <w:color w:val="FFFFFF"/>
                <w:sz w:val="17"/>
                <w:szCs w:val="17"/>
              </w:rPr>
              <w:t xml:space="preserve">KPI</w:t>
            </w:r>
          </w:p>
        </w:tc>
        <w:tc>
          <w:tcPr>
            <w:tcW w:type="dxa" w:w="30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jc w:val="left"/>
            </w:pPr>
            <w:r>
              <w:rPr>
                <w:rFonts w:ascii="Arial" w:cs="Arial" w:eastAsia="Arial" w:hAnsi="Arial"/>
                <w:b/>
                <w:bCs/>
                <w:color w:val="FFFFFF"/>
                <w:sz w:val="17"/>
                <w:szCs w:val="17"/>
              </w:rPr>
              <w:t xml:space="preserve">Definition</w:t>
            </w:r>
          </w:p>
        </w:tc>
        <w:tc>
          <w:tcPr>
            <w:tcW w:type="dxa" w:w="26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jc w:val="left"/>
            </w:pPr>
            <w:r>
              <w:rPr>
                <w:rFonts w:ascii="Arial" w:cs="Arial" w:eastAsia="Arial" w:hAnsi="Arial"/>
                <w:b/>
                <w:bCs/>
                <w:color w:val="FFFFFF"/>
                <w:sz w:val="17"/>
                <w:szCs w:val="17"/>
              </w:rPr>
              <w:t xml:space="preserve">Why it matters</w:t>
            </w:r>
          </w:p>
        </w:tc>
        <w:tc>
          <w:tcPr>
            <w:tcW w:type="dxa" w:w="2038"/>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jc w:val="left"/>
            </w:pPr>
            <w:r>
              <w:rPr>
                <w:rFonts w:ascii="Arial" w:cs="Arial" w:eastAsia="Arial" w:hAnsi="Arial"/>
                <w:b/>
                <w:bCs/>
                <w:color w:val="FFFFFF"/>
                <w:sz w:val="17"/>
                <w:szCs w:val="17"/>
              </w:rPr>
              <w:t xml:space="preserve">Required data</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Total transaction value</w:t>
            </w:r>
          </w:p>
        </w:tc>
        <w:tc>
          <w:tcPr>
            <w:tcW w:type="dxa" w:w="30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Sum of Amount_NGN over the period</w:t>
            </w:r>
          </w:p>
        </w:tc>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Measures overall activity and business scale</w:t>
            </w:r>
          </w:p>
        </w:tc>
        <w:tc>
          <w:tcPr>
            <w:tcW w:type="dxa" w:w="2038"/>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Amount_NGN, Transaction_DateTime</w:t>
            </w:r>
          </w:p>
        </w:tc>
      </w:tr>
      <w:tr>
        <w:trPr>
          <w:cantSplit/>
        </w:trPr>
        <w:tc>
          <w:tcPr>
            <w:tcW w:type="dxa" w:w="2000"/>
            <w:tcBorders>
              <w:top w:val="single" w:color="BFBFBF" w:sz="4"/>
              <w:left w:val="single" w:color="BFBFBF" w:sz="4"/>
              <w:bottom w:val="single" w:color="BFBFBF" w:sz="4"/>
              <w:right w:val="single" w:color="BFBFBF" w:sz="4"/>
            </w:tcBorders>
            <w:shd w:fill="F5F7FA" w:color="auto" w:val="clear"/>
            <w:tcMar>
              <w:top w:type="dxa" w:w="60"/>
              <w:left w:type="dxa" w:w="90"/>
              <w:bottom w:type="dxa" w:w="60"/>
              <w:right w:type="dxa" w:w="90"/>
            </w:tcMar>
          </w:tcPr>
          <w:p>
            <w:pPr>
              <w:jc w:val="left"/>
            </w:pPr>
            <w:r>
              <w:rPr>
                <w:rFonts w:ascii="Arial" w:cs="Arial" w:eastAsia="Arial" w:hAnsi="Arial"/>
                <w:b w:val="false"/>
                <w:bCs w:val="false"/>
                <w:sz w:val="17"/>
                <w:szCs w:val="17"/>
              </w:rPr>
              <w:t xml:space="preserve">Transaction success rate</w:t>
            </w:r>
          </w:p>
        </w:tc>
        <w:tc>
          <w:tcPr>
            <w:tcW w:type="dxa" w:w="3000"/>
            <w:tcBorders>
              <w:top w:val="single" w:color="BFBFBF" w:sz="4"/>
              <w:left w:val="single" w:color="BFBFBF" w:sz="4"/>
              <w:bottom w:val="single" w:color="BFBFBF" w:sz="4"/>
              <w:right w:val="single" w:color="BFBFBF" w:sz="4"/>
            </w:tcBorders>
            <w:shd w:fill="F5F7FA" w:color="auto" w:val="clear"/>
            <w:tcMar>
              <w:top w:type="dxa" w:w="60"/>
              <w:left w:type="dxa" w:w="90"/>
              <w:bottom w:type="dxa" w:w="60"/>
              <w:right w:type="dxa" w:w="90"/>
            </w:tcMar>
          </w:tcPr>
          <w:p>
            <w:pPr>
              <w:jc w:val="left"/>
            </w:pPr>
            <w:r>
              <w:rPr>
                <w:rFonts w:ascii="Arial" w:cs="Arial" w:eastAsia="Arial" w:hAnsi="Arial"/>
                <w:b w:val="false"/>
                <w:bCs w:val="false"/>
                <w:sz w:val="17"/>
                <w:szCs w:val="17"/>
              </w:rPr>
              <w:t xml:space="preserve">Successful transactions ÷ total transactions</w:t>
            </w:r>
          </w:p>
        </w:tc>
        <w:tc>
          <w:tcPr>
            <w:tcW w:type="dxa" w:w="2600"/>
            <w:tcBorders>
              <w:top w:val="single" w:color="BFBFBF" w:sz="4"/>
              <w:left w:val="single" w:color="BFBFBF" w:sz="4"/>
              <w:bottom w:val="single" w:color="BFBFBF" w:sz="4"/>
              <w:right w:val="single" w:color="BFBFBF" w:sz="4"/>
            </w:tcBorders>
            <w:shd w:fill="F5F7FA" w:color="auto" w:val="clear"/>
            <w:tcMar>
              <w:top w:type="dxa" w:w="60"/>
              <w:left w:type="dxa" w:w="90"/>
              <w:bottom w:type="dxa" w:w="60"/>
              <w:right w:type="dxa" w:w="90"/>
            </w:tcMar>
          </w:tcPr>
          <w:p>
            <w:pPr>
              <w:jc w:val="left"/>
            </w:pPr>
            <w:r>
              <w:rPr>
                <w:rFonts w:ascii="Arial" w:cs="Arial" w:eastAsia="Arial" w:hAnsi="Arial"/>
                <w:b w:val="false"/>
                <w:bCs w:val="false"/>
                <w:sz w:val="17"/>
                <w:szCs w:val="17"/>
              </w:rPr>
              <w:t xml:space="preserve">Measures service reliability and customer experience</w:t>
            </w:r>
          </w:p>
        </w:tc>
        <w:tc>
          <w:tcPr>
            <w:tcW w:type="dxa" w:w="2038"/>
            <w:tcBorders>
              <w:top w:val="single" w:color="BFBFBF" w:sz="4"/>
              <w:left w:val="single" w:color="BFBFBF" w:sz="4"/>
              <w:bottom w:val="single" w:color="BFBFBF" w:sz="4"/>
              <w:right w:val="single" w:color="BFBFBF" w:sz="4"/>
            </w:tcBorders>
            <w:shd w:fill="F5F7FA" w:color="auto" w:val="clear"/>
            <w:tcMar>
              <w:top w:type="dxa" w:w="60"/>
              <w:left w:type="dxa" w:w="90"/>
              <w:bottom w:type="dxa" w:w="60"/>
              <w:right w:type="dxa" w:w="90"/>
            </w:tcMar>
          </w:tcPr>
          <w:p>
            <w:pPr>
              <w:jc w:val="left"/>
            </w:pPr>
            <w:r>
              <w:rPr>
                <w:rFonts w:ascii="Arial" w:cs="Arial" w:eastAsia="Arial" w:hAnsi="Arial"/>
                <w:b w:val="false"/>
                <w:bCs w:val="false"/>
                <w:sz w:val="17"/>
                <w:szCs w:val="17"/>
              </w:rPr>
              <w:t xml:space="preserve">Transaction_Status</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Failure + reversal rate</w:t>
            </w:r>
          </w:p>
        </w:tc>
        <w:tc>
          <w:tcPr>
            <w:tcW w:type="dxa" w:w="30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(Failed + Reversed) ÷ total transactions</w:t>
            </w:r>
          </w:p>
        </w:tc>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Shows customer friction and operational cost</w:t>
            </w:r>
          </w:p>
        </w:tc>
        <w:tc>
          <w:tcPr>
            <w:tcW w:type="dxa" w:w="2038"/>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Transaction_Status, Channel</w:t>
            </w:r>
          </w:p>
        </w:tc>
      </w:tr>
      <w:tr>
        <w:trPr>
          <w:cantSplit/>
        </w:trPr>
        <w:tc>
          <w:tcPr>
            <w:tcW w:type="dxa" w:w="2000"/>
            <w:tcBorders>
              <w:top w:val="single" w:color="BFBFBF" w:sz="4"/>
              <w:left w:val="single" w:color="BFBFBF" w:sz="4"/>
              <w:bottom w:val="single" w:color="BFBFBF" w:sz="4"/>
              <w:right w:val="single" w:color="BFBFBF" w:sz="4"/>
            </w:tcBorders>
            <w:shd w:fill="F5F7FA" w:color="auto" w:val="clear"/>
            <w:tcMar>
              <w:top w:type="dxa" w:w="60"/>
              <w:left w:type="dxa" w:w="90"/>
              <w:bottom w:type="dxa" w:w="60"/>
              <w:right w:type="dxa" w:w="90"/>
            </w:tcMar>
          </w:tcPr>
          <w:p>
            <w:pPr>
              <w:jc w:val="left"/>
            </w:pPr>
            <w:r>
              <w:rPr>
                <w:rFonts w:ascii="Arial" w:cs="Arial" w:eastAsia="Arial" w:hAnsi="Arial"/>
                <w:b w:val="false"/>
                <w:bCs w:val="false"/>
                <w:sz w:val="17"/>
                <w:szCs w:val="17"/>
              </w:rPr>
              <w:t xml:space="preserve">Risk review rate</w:t>
            </w:r>
          </w:p>
        </w:tc>
        <w:tc>
          <w:tcPr>
            <w:tcW w:type="dxa" w:w="3000"/>
            <w:tcBorders>
              <w:top w:val="single" w:color="BFBFBF" w:sz="4"/>
              <w:left w:val="single" w:color="BFBFBF" w:sz="4"/>
              <w:bottom w:val="single" w:color="BFBFBF" w:sz="4"/>
              <w:right w:val="single" w:color="BFBFBF" w:sz="4"/>
            </w:tcBorders>
            <w:shd w:fill="F5F7FA" w:color="auto" w:val="clear"/>
            <w:tcMar>
              <w:top w:type="dxa" w:w="60"/>
              <w:left w:type="dxa" w:w="90"/>
              <w:bottom w:type="dxa" w:w="60"/>
              <w:right w:type="dxa" w:w="90"/>
            </w:tcMar>
          </w:tcPr>
          <w:p>
            <w:pPr>
              <w:jc w:val="left"/>
            </w:pPr>
            <w:r>
              <w:rPr>
                <w:rFonts w:ascii="Arial" w:cs="Arial" w:eastAsia="Arial" w:hAnsi="Arial"/>
                <w:b w:val="false"/>
                <w:bCs w:val="false"/>
                <w:sz w:val="17"/>
                <w:szCs w:val="17"/>
              </w:rPr>
              <w:t xml:space="preserve">Transactions with Risk_Review_Flag = Yes ÷ total transactions</w:t>
            </w:r>
          </w:p>
        </w:tc>
        <w:tc>
          <w:tcPr>
            <w:tcW w:type="dxa" w:w="2600"/>
            <w:tcBorders>
              <w:top w:val="single" w:color="BFBFBF" w:sz="4"/>
              <w:left w:val="single" w:color="BFBFBF" w:sz="4"/>
              <w:bottom w:val="single" w:color="BFBFBF" w:sz="4"/>
              <w:right w:val="single" w:color="BFBFBF" w:sz="4"/>
            </w:tcBorders>
            <w:shd w:fill="F5F7FA" w:color="auto" w:val="clear"/>
            <w:tcMar>
              <w:top w:type="dxa" w:w="60"/>
              <w:left w:type="dxa" w:w="90"/>
              <w:bottom w:type="dxa" w:w="60"/>
              <w:right w:type="dxa" w:w="90"/>
            </w:tcMar>
          </w:tcPr>
          <w:p>
            <w:pPr>
              <w:jc w:val="left"/>
            </w:pPr>
            <w:r>
              <w:rPr>
                <w:rFonts w:ascii="Arial" w:cs="Arial" w:eastAsia="Arial" w:hAnsi="Arial"/>
                <w:b w:val="false"/>
                <w:bCs w:val="false"/>
                <w:sz w:val="17"/>
                <w:szCs w:val="17"/>
              </w:rPr>
              <w:t xml:space="preserve">Shows the size of review workload and risk exposure</w:t>
            </w:r>
          </w:p>
        </w:tc>
        <w:tc>
          <w:tcPr>
            <w:tcW w:type="dxa" w:w="2038"/>
            <w:tcBorders>
              <w:top w:val="single" w:color="BFBFBF" w:sz="4"/>
              <w:left w:val="single" w:color="BFBFBF" w:sz="4"/>
              <w:bottom w:val="single" w:color="BFBFBF" w:sz="4"/>
              <w:right w:val="single" w:color="BFBFBF" w:sz="4"/>
            </w:tcBorders>
            <w:shd w:fill="F5F7FA" w:color="auto" w:val="clear"/>
            <w:tcMar>
              <w:top w:type="dxa" w:w="60"/>
              <w:left w:type="dxa" w:w="90"/>
              <w:bottom w:type="dxa" w:w="60"/>
              <w:right w:type="dxa" w:w="90"/>
            </w:tcMar>
          </w:tcPr>
          <w:p>
            <w:pPr>
              <w:jc w:val="left"/>
            </w:pPr>
            <w:r>
              <w:rPr>
                <w:rFonts w:ascii="Arial" w:cs="Arial" w:eastAsia="Arial" w:hAnsi="Arial"/>
                <w:b w:val="false"/>
                <w:bCs w:val="false"/>
                <w:sz w:val="17"/>
                <w:szCs w:val="17"/>
              </w:rPr>
              <w:t xml:space="preserve">Risk_Review_Flag, Amount_NGN, Transaction_Type</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Digital channel share</w:t>
            </w:r>
          </w:p>
        </w:tc>
        <w:tc>
          <w:tcPr>
            <w:tcW w:type="dxa" w:w="30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Mobile App + Web + USSD transactions ÷ total transactions</w:t>
            </w:r>
          </w:p>
        </w:tc>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Tracks digital adoption</w:t>
            </w:r>
          </w:p>
        </w:tc>
        <w:tc>
          <w:tcPr>
            <w:tcW w:type="dxa" w:w="2038"/>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Channel</w:t>
            </w:r>
          </w:p>
        </w:tc>
      </w:tr>
      <w:tr>
        <w:trPr>
          <w:cantSplit/>
        </w:trPr>
        <w:tc>
          <w:tcPr>
            <w:tcW w:type="dxa" w:w="2000"/>
            <w:tcBorders>
              <w:top w:val="single" w:color="BFBFBF" w:sz="4"/>
              <w:left w:val="single" w:color="BFBFBF" w:sz="4"/>
              <w:bottom w:val="single" w:color="BFBFBF" w:sz="4"/>
              <w:right w:val="single" w:color="BFBFBF" w:sz="4"/>
            </w:tcBorders>
            <w:shd w:fill="F5F7FA" w:color="auto" w:val="clear"/>
            <w:tcMar>
              <w:top w:type="dxa" w:w="60"/>
              <w:left w:type="dxa" w:w="90"/>
              <w:bottom w:type="dxa" w:w="60"/>
              <w:right w:type="dxa" w:w="90"/>
            </w:tcMar>
          </w:tcPr>
          <w:p>
            <w:pPr>
              <w:jc w:val="left"/>
            </w:pPr>
            <w:r>
              <w:rPr>
                <w:rFonts w:ascii="Arial" w:cs="Arial" w:eastAsia="Arial" w:hAnsi="Arial"/>
                <w:b w:val="false"/>
                <w:bCs w:val="false"/>
                <w:sz w:val="17"/>
                <w:szCs w:val="17"/>
              </w:rPr>
              <w:t xml:space="preserve">International transaction share</w:t>
            </w:r>
          </w:p>
        </w:tc>
        <w:tc>
          <w:tcPr>
            <w:tcW w:type="dxa" w:w="3000"/>
            <w:tcBorders>
              <w:top w:val="single" w:color="BFBFBF" w:sz="4"/>
              <w:left w:val="single" w:color="BFBFBF" w:sz="4"/>
              <w:bottom w:val="single" w:color="BFBFBF" w:sz="4"/>
              <w:right w:val="single" w:color="BFBFBF" w:sz="4"/>
            </w:tcBorders>
            <w:shd w:fill="F5F7FA" w:color="auto" w:val="clear"/>
            <w:tcMar>
              <w:top w:type="dxa" w:w="60"/>
              <w:left w:type="dxa" w:w="90"/>
              <w:bottom w:type="dxa" w:w="60"/>
              <w:right w:type="dxa" w:w="90"/>
            </w:tcMar>
          </w:tcPr>
          <w:p>
            <w:pPr>
              <w:jc w:val="left"/>
            </w:pPr>
            <w:r>
              <w:rPr>
                <w:rFonts w:ascii="Arial" w:cs="Arial" w:eastAsia="Arial" w:hAnsi="Arial"/>
                <w:b w:val="false"/>
                <w:bCs w:val="false"/>
                <w:sz w:val="17"/>
                <w:szCs w:val="17"/>
              </w:rPr>
              <w:t xml:space="preserve">International_Transaction = Yes ÷ total transactions</w:t>
            </w:r>
          </w:p>
        </w:tc>
        <w:tc>
          <w:tcPr>
            <w:tcW w:type="dxa" w:w="2600"/>
            <w:tcBorders>
              <w:top w:val="single" w:color="BFBFBF" w:sz="4"/>
              <w:left w:val="single" w:color="BFBFBF" w:sz="4"/>
              <w:bottom w:val="single" w:color="BFBFBF" w:sz="4"/>
              <w:right w:val="single" w:color="BFBFBF" w:sz="4"/>
            </w:tcBorders>
            <w:shd w:fill="F5F7FA" w:color="auto" w:val="clear"/>
            <w:tcMar>
              <w:top w:type="dxa" w:w="60"/>
              <w:left w:type="dxa" w:w="90"/>
              <w:bottom w:type="dxa" w:w="60"/>
              <w:right w:type="dxa" w:w="90"/>
            </w:tcMar>
          </w:tcPr>
          <w:p>
            <w:pPr>
              <w:jc w:val="left"/>
            </w:pPr>
            <w:r>
              <w:rPr>
                <w:rFonts w:ascii="Arial" w:cs="Arial" w:eastAsia="Arial" w:hAnsi="Arial"/>
                <w:b w:val="false"/>
                <w:bCs w:val="false"/>
                <w:sz w:val="17"/>
                <w:szCs w:val="17"/>
              </w:rPr>
              <w:t xml:space="preserve">Tracks the higher-risk cross-border mix</w:t>
            </w:r>
          </w:p>
        </w:tc>
        <w:tc>
          <w:tcPr>
            <w:tcW w:type="dxa" w:w="2038"/>
            <w:tcBorders>
              <w:top w:val="single" w:color="BFBFBF" w:sz="4"/>
              <w:left w:val="single" w:color="BFBFBF" w:sz="4"/>
              <w:bottom w:val="single" w:color="BFBFBF" w:sz="4"/>
              <w:right w:val="single" w:color="BFBFBF" w:sz="4"/>
            </w:tcBorders>
            <w:shd w:fill="F5F7FA" w:color="auto" w:val="clear"/>
            <w:tcMar>
              <w:top w:type="dxa" w:w="60"/>
              <w:left w:type="dxa" w:w="90"/>
              <w:bottom w:type="dxa" w:w="60"/>
              <w:right w:type="dxa" w:w="90"/>
            </w:tcMar>
          </w:tcPr>
          <w:p>
            <w:pPr>
              <w:jc w:val="left"/>
            </w:pPr>
            <w:r>
              <w:rPr>
                <w:rFonts w:ascii="Arial" w:cs="Arial" w:eastAsia="Arial" w:hAnsi="Arial"/>
                <w:b w:val="false"/>
                <w:bCs w:val="false"/>
                <w:sz w:val="17"/>
                <w:szCs w:val="17"/>
              </w:rPr>
              <w:t xml:space="preserve">International_Transaction, Risk_Review_Flag</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Average transactions per customer</w:t>
            </w:r>
          </w:p>
        </w:tc>
        <w:tc>
          <w:tcPr>
            <w:tcW w:type="dxa" w:w="30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Total transactions ÷ distinct customers</w:t>
            </w:r>
          </w:p>
        </w:tc>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Measures customer engagement</w:t>
            </w:r>
          </w:p>
        </w:tc>
        <w:tc>
          <w:tcPr>
            <w:tcW w:type="dxa" w:w="2038"/>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Customer_ID, Transaction_ID</w:t>
            </w:r>
          </w:p>
        </w:tc>
      </w:tr>
    </w:tbl>
    <w:p>
      <w:pPr>
        <w:spacing w:after="120"/>
      </w:pPr>
    </w:p>
    <w:p>
      <w:pPr>
        <w:pStyle w:val="Heading3"/>
      </w:pPr>
      <w:r>
        <w:rPr>
          <w:rFonts w:ascii="Arial" w:cs="Arial" w:eastAsia="Arial" w:hAnsi="Arial"/>
        </w:rPr>
        <w:t xml:space="preserve">Baseline KPI values (Q1 2026)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00"/>
        <w:gridCol w:w="5438"/>
      </w:tblGrid>
      <w:tr>
        <w:trPr>
          <w:tblHeader/>
        </w:trPr>
        <w:tc>
          <w:tcPr>
            <w:tcW w:type="dxa" w:w="42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jc w:val="left"/>
            </w:pPr>
            <w:r>
              <w:rPr>
                <w:rFonts w:ascii="Arial" w:cs="Arial" w:eastAsia="Arial" w:hAnsi="Arial"/>
                <w:b/>
                <w:bCs/>
                <w:color w:val="FFFFFF"/>
                <w:sz w:val="18"/>
                <w:szCs w:val="18"/>
              </w:rPr>
              <w:t xml:space="preserve">KPI</w:t>
            </w:r>
          </w:p>
        </w:tc>
        <w:tc>
          <w:tcPr>
            <w:tcW w:type="dxa" w:w="5438"/>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jc w:val="left"/>
            </w:pPr>
            <w:r>
              <w:rPr>
                <w:rFonts w:ascii="Arial" w:cs="Arial" w:eastAsia="Arial" w:hAnsi="Arial"/>
                <w:b/>
                <w:bCs/>
                <w:color w:val="FFFFFF"/>
                <w:sz w:val="18"/>
                <w:szCs w:val="18"/>
              </w:rPr>
              <w:t xml:space="preserve">Baseline value</w:t>
            </w:r>
          </w:p>
        </w:tc>
      </w:tr>
      <w:tr>
        <w:trPr>
          <w:cantSplit/>
        </w:trPr>
        <w:tc>
          <w:tcPr>
            <w:tcW w:type="dxa" w:w="42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b w:val="false"/>
                <w:bCs w:val="false"/>
                <w:sz w:val="18"/>
                <w:szCs w:val="18"/>
              </w:rPr>
              <w:t xml:space="preserve">Total transaction value</w:t>
            </w:r>
          </w:p>
        </w:tc>
        <w:tc>
          <w:tcPr>
            <w:tcW w:type="dxa" w:w="5438"/>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b w:val="false"/>
                <w:bCs w:val="false"/>
                <w:sz w:val="18"/>
                <w:szCs w:val="18"/>
              </w:rPr>
              <w:t xml:space="preserve">₦560.5M (₦560,477,355)</w:t>
            </w:r>
          </w:p>
        </w:tc>
      </w:tr>
      <w:tr>
        <w:trPr>
          <w:cantSplit/>
        </w:trPr>
        <w:tc>
          <w:tcPr>
            <w:tcW w:type="dxa" w:w="4200"/>
            <w:tcBorders>
              <w:top w:val="single" w:color="BFBFBF" w:sz="4"/>
              <w:left w:val="single" w:color="BFBFBF" w:sz="4"/>
              <w:bottom w:val="single" w:color="BFBFBF" w:sz="4"/>
              <w:right w:val="single" w:color="BFBFBF" w:sz="4"/>
            </w:tcBorders>
            <w:shd w:fill="F5F7FA" w:color="auto" w:val="clear"/>
            <w:tcMar>
              <w:top w:type="dxa" w:w="60"/>
              <w:left w:type="dxa" w:w="90"/>
              <w:bottom w:type="dxa" w:w="60"/>
              <w:right w:type="dxa" w:w="90"/>
            </w:tcMar>
          </w:tcPr>
          <w:p>
            <w:pPr>
              <w:jc w:val="left"/>
            </w:pPr>
            <w:r>
              <w:rPr>
                <w:rFonts w:ascii="Arial" w:cs="Arial" w:eastAsia="Arial" w:hAnsi="Arial"/>
                <w:b w:val="false"/>
                <w:bCs w:val="false"/>
                <w:sz w:val="18"/>
                <w:szCs w:val="18"/>
              </w:rPr>
              <w:t xml:space="preserve">Total transactions</w:t>
            </w:r>
          </w:p>
        </w:tc>
        <w:tc>
          <w:tcPr>
            <w:tcW w:type="dxa" w:w="5438"/>
            <w:tcBorders>
              <w:top w:val="single" w:color="BFBFBF" w:sz="4"/>
              <w:left w:val="single" w:color="BFBFBF" w:sz="4"/>
              <w:bottom w:val="single" w:color="BFBFBF" w:sz="4"/>
              <w:right w:val="single" w:color="BFBFBF" w:sz="4"/>
            </w:tcBorders>
            <w:shd w:fill="F5F7FA" w:color="auto" w:val="clear"/>
            <w:tcMar>
              <w:top w:type="dxa" w:w="60"/>
              <w:left w:type="dxa" w:w="90"/>
              <w:bottom w:type="dxa" w:w="60"/>
              <w:right w:type="dxa" w:w="90"/>
            </w:tcMar>
          </w:tcPr>
          <w:p>
            <w:pPr>
              <w:jc w:val="left"/>
            </w:pPr>
            <w:r>
              <w:rPr>
                <w:rFonts w:ascii="Arial" w:cs="Arial" w:eastAsia="Arial" w:hAnsi="Arial"/>
                <w:b w:val="false"/>
                <w:bCs w:val="false"/>
                <w:sz w:val="18"/>
                <w:szCs w:val="18"/>
              </w:rPr>
              <w:t xml:space="preserve">12,000</w:t>
            </w:r>
          </w:p>
        </w:tc>
      </w:tr>
      <w:tr>
        <w:trPr>
          <w:cantSplit/>
        </w:trPr>
        <w:tc>
          <w:tcPr>
            <w:tcW w:type="dxa" w:w="42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b w:val="false"/>
                <w:bCs w:val="false"/>
                <w:sz w:val="18"/>
                <w:szCs w:val="18"/>
              </w:rPr>
              <w:t xml:space="preserve">Transaction success rate</w:t>
            </w:r>
          </w:p>
        </w:tc>
        <w:tc>
          <w:tcPr>
            <w:tcW w:type="dxa" w:w="5438"/>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b w:val="false"/>
                <w:bCs w:val="false"/>
                <w:sz w:val="18"/>
                <w:szCs w:val="18"/>
              </w:rPr>
              <w:t xml:space="preserve">90.5%</w:t>
            </w:r>
          </w:p>
        </w:tc>
      </w:tr>
      <w:tr>
        <w:trPr>
          <w:cantSplit/>
        </w:trPr>
        <w:tc>
          <w:tcPr>
            <w:tcW w:type="dxa" w:w="4200"/>
            <w:tcBorders>
              <w:top w:val="single" w:color="BFBFBF" w:sz="4"/>
              <w:left w:val="single" w:color="BFBFBF" w:sz="4"/>
              <w:bottom w:val="single" w:color="BFBFBF" w:sz="4"/>
              <w:right w:val="single" w:color="BFBFBF" w:sz="4"/>
            </w:tcBorders>
            <w:shd w:fill="F5F7FA" w:color="auto" w:val="clear"/>
            <w:tcMar>
              <w:top w:type="dxa" w:w="60"/>
              <w:left w:type="dxa" w:w="90"/>
              <w:bottom w:type="dxa" w:w="60"/>
              <w:right w:type="dxa" w:w="90"/>
            </w:tcMar>
          </w:tcPr>
          <w:p>
            <w:pPr>
              <w:jc w:val="left"/>
            </w:pPr>
            <w:r>
              <w:rPr>
                <w:rFonts w:ascii="Arial" w:cs="Arial" w:eastAsia="Arial" w:hAnsi="Arial"/>
                <w:b w:val="false"/>
                <w:bCs w:val="false"/>
                <w:sz w:val="18"/>
                <w:szCs w:val="18"/>
              </w:rPr>
              <w:t xml:space="preserve">Failure + reversal rate</w:t>
            </w:r>
          </w:p>
        </w:tc>
        <w:tc>
          <w:tcPr>
            <w:tcW w:type="dxa" w:w="5438"/>
            <w:tcBorders>
              <w:top w:val="single" w:color="BFBFBF" w:sz="4"/>
              <w:left w:val="single" w:color="BFBFBF" w:sz="4"/>
              <w:bottom w:val="single" w:color="BFBFBF" w:sz="4"/>
              <w:right w:val="single" w:color="BFBFBF" w:sz="4"/>
            </w:tcBorders>
            <w:shd w:fill="F5F7FA" w:color="auto" w:val="clear"/>
            <w:tcMar>
              <w:top w:type="dxa" w:w="60"/>
              <w:left w:type="dxa" w:w="90"/>
              <w:bottom w:type="dxa" w:w="60"/>
              <w:right w:type="dxa" w:w="90"/>
            </w:tcMar>
          </w:tcPr>
          <w:p>
            <w:pPr>
              <w:jc w:val="left"/>
            </w:pPr>
            <w:r>
              <w:rPr>
                <w:rFonts w:ascii="Arial" w:cs="Arial" w:eastAsia="Arial" w:hAnsi="Arial"/>
                <w:b w:val="false"/>
                <w:bCs w:val="false"/>
                <w:sz w:val="18"/>
                <w:szCs w:val="18"/>
              </w:rPr>
              <w:t xml:space="preserve">8.0% (failed 5.3%, reversed 2.7%)</w:t>
            </w:r>
          </w:p>
        </w:tc>
      </w:tr>
      <w:tr>
        <w:trPr>
          <w:cantSplit/>
        </w:trPr>
        <w:tc>
          <w:tcPr>
            <w:tcW w:type="dxa" w:w="42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b w:val="false"/>
                <w:bCs w:val="false"/>
                <w:sz w:val="18"/>
                <w:szCs w:val="18"/>
              </w:rPr>
              <w:t xml:space="preserve">Risk review rate</w:t>
            </w:r>
          </w:p>
        </w:tc>
        <w:tc>
          <w:tcPr>
            <w:tcW w:type="dxa" w:w="5438"/>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b w:val="false"/>
                <w:bCs w:val="false"/>
                <w:sz w:val="18"/>
                <w:szCs w:val="18"/>
              </w:rPr>
              <w:t xml:space="preserve">19.6%</w:t>
            </w:r>
          </w:p>
        </w:tc>
      </w:tr>
      <w:tr>
        <w:trPr>
          <w:cantSplit/>
        </w:trPr>
        <w:tc>
          <w:tcPr>
            <w:tcW w:type="dxa" w:w="4200"/>
            <w:tcBorders>
              <w:top w:val="single" w:color="BFBFBF" w:sz="4"/>
              <w:left w:val="single" w:color="BFBFBF" w:sz="4"/>
              <w:bottom w:val="single" w:color="BFBFBF" w:sz="4"/>
              <w:right w:val="single" w:color="BFBFBF" w:sz="4"/>
            </w:tcBorders>
            <w:shd w:fill="F5F7FA" w:color="auto" w:val="clear"/>
            <w:tcMar>
              <w:top w:type="dxa" w:w="60"/>
              <w:left w:type="dxa" w:w="90"/>
              <w:bottom w:type="dxa" w:w="60"/>
              <w:right w:type="dxa" w:w="90"/>
            </w:tcMar>
          </w:tcPr>
          <w:p>
            <w:pPr>
              <w:jc w:val="left"/>
            </w:pPr>
            <w:r>
              <w:rPr>
                <w:rFonts w:ascii="Arial" w:cs="Arial" w:eastAsia="Arial" w:hAnsi="Arial"/>
                <w:b w:val="false"/>
                <w:bCs w:val="false"/>
                <w:sz w:val="18"/>
                <w:szCs w:val="18"/>
              </w:rPr>
              <w:t xml:space="preserve">Digital channel share</w:t>
            </w:r>
          </w:p>
        </w:tc>
        <w:tc>
          <w:tcPr>
            <w:tcW w:type="dxa" w:w="5438"/>
            <w:tcBorders>
              <w:top w:val="single" w:color="BFBFBF" w:sz="4"/>
              <w:left w:val="single" w:color="BFBFBF" w:sz="4"/>
              <w:bottom w:val="single" w:color="BFBFBF" w:sz="4"/>
              <w:right w:val="single" w:color="BFBFBF" w:sz="4"/>
            </w:tcBorders>
            <w:shd w:fill="F5F7FA" w:color="auto" w:val="clear"/>
            <w:tcMar>
              <w:top w:type="dxa" w:w="60"/>
              <w:left w:type="dxa" w:w="90"/>
              <w:bottom w:type="dxa" w:w="60"/>
              <w:right w:type="dxa" w:w="90"/>
            </w:tcMar>
          </w:tcPr>
          <w:p>
            <w:pPr>
              <w:jc w:val="left"/>
            </w:pPr>
            <w:r>
              <w:rPr>
                <w:rFonts w:ascii="Arial" w:cs="Arial" w:eastAsia="Arial" w:hAnsi="Arial"/>
                <w:b w:val="false"/>
                <w:bCs w:val="false"/>
                <w:sz w:val="18"/>
                <w:szCs w:val="18"/>
              </w:rPr>
              <w:t xml:space="preserve">65.5%</w:t>
            </w:r>
          </w:p>
        </w:tc>
      </w:tr>
      <w:tr>
        <w:trPr>
          <w:cantSplit/>
        </w:trPr>
        <w:tc>
          <w:tcPr>
            <w:tcW w:type="dxa" w:w="42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b w:val="false"/>
                <w:bCs w:val="false"/>
                <w:sz w:val="18"/>
                <w:szCs w:val="18"/>
              </w:rPr>
              <w:t xml:space="preserve">International transaction share</w:t>
            </w:r>
          </w:p>
        </w:tc>
        <w:tc>
          <w:tcPr>
            <w:tcW w:type="dxa" w:w="5438"/>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b w:val="false"/>
                <w:bCs w:val="false"/>
                <w:sz w:val="18"/>
                <w:szCs w:val="18"/>
              </w:rPr>
              <w:t xml:space="preserve">4.0%</w:t>
            </w:r>
          </w:p>
        </w:tc>
      </w:tr>
      <w:tr>
        <w:trPr>
          <w:cantSplit/>
        </w:trPr>
        <w:tc>
          <w:tcPr>
            <w:tcW w:type="dxa" w:w="4200"/>
            <w:tcBorders>
              <w:top w:val="single" w:color="BFBFBF" w:sz="4"/>
              <w:left w:val="single" w:color="BFBFBF" w:sz="4"/>
              <w:bottom w:val="single" w:color="BFBFBF" w:sz="4"/>
              <w:right w:val="single" w:color="BFBFBF" w:sz="4"/>
            </w:tcBorders>
            <w:shd w:fill="F5F7FA" w:color="auto" w:val="clear"/>
            <w:tcMar>
              <w:top w:type="dxa" w:w="60"/>
              <w:left w:type="dxa" w:w="90"/>
              <w:bottom w:type="dxa" w:w="60"/>
              <w:right w:type="dxa" w:w="90"/>
            </w:tcMar>
          </w:tcPr>
          <w:p>
            <w:pPr>
              <w:jc w:val="left"/>
            </w:pPr>
            <w:r>
              <w:rPr>
                <w:rFonts w:ascii="Arial" w:cs="Arial" w:eastAsia="Arial" w:hAnsi="Arial"/>
                <w:b w:val="false"/>
                <w:bCs w:val="false"/>
                <w:sz w:val="18"/>
                <w:szCs w:val="18"/>
              </w:rPr>
              <w:t xml:space="preserve">Average transactions per customer</w:t>
            </w:r>
          </w:p>
        </w:tc>
        <w:tc>
          <w:tcPr>
            <w:tcW w:type="dxa" w:w="5438"/>
            <w:tcBorders>
              <w:top w:val="single" w:color="BFBFBF" w:sz="4"/>
              <w:left w:val="single" w:color="BFBFBF" w:sz="4"/>
              <w:bottom w:val="single" w:color="BFBFBF" w:sz="4"/>
              <w:right w:val="single" w:color="BFBFBF" w:sz="4"/>
            </w:tcBorders>
            <w:shd w:fill="F5F7FA" w:color="auto" w:val="clear"/>
            <w:tcMar>
              <w:top w:type="dxa" w:w="60"/>
              <w:left w:type="dxa" w:w="90"/>
              <w:bottom w:type="dxa" w:w="60"/>
              <w:right w:type="dxa" w:w="90"/>
            </w:tcMar>
          </w:tcPr>
          <w:p>
            <w:pPr>
              <w:jc w:val="left"/>
            </w:pPr>
            <w:r>
              <w:rPr>
                <w:rFonts w:ascii="Arial" w:cs="Arial" w:eastAsia="Arial" w:hAnsi="Arial"/>
                <w:b w:val="false"/>
                <w:bCs w:val="false"/>
                <w:sz w:val="18"/>
                <w:szCs w:val="18"/>
              </w:rPr>
              <w:t xml:space="preserve">8.0</w:t>
            </w:r>
          </w:p>
        </w:tc>
      </w:tr>
    </w:tbl>
    <w:p>
      <w:pPr>
        <w:spacing w:after="120"/>
      </w:pPr>
    </w:p>
    <w:p>
      <w:pPr>
        <w:pStyle w:val="Heading1"/>
      </w:pPr>
      <w:r>
        <w:rPr>
          <w:rFonts w:ascii="Arial" w:cs="Arial" w:eastAsia="Arial" w:hAnsi="Arial"/>
        </w:rPr>
        <w:t xml:space="preserve">6. Dashboard Wireframe</w:t>
      </w:r>
    </w:p>
    <w:p>
      <w:pPr>
        <w:spacing w:after="120" w:before="0" w:line="280"/>
      </w:pPr>
      <w:r>
        <w:rPr>
          <w:rFonts w:ascii="Arial" w:cs="Arial" w:eastAsia="Arial" w:hAnsi="Arial"/>
          <w:sz w:val="21"/>
          <w:szCs w:val="21"/>
        </w:rPr>
        <w:t xml:space="preserve">The dashboard has four pages. Each page carries the same global filters (date range, segment, city, channel, transaction type, status), with page-specific filters where relevant. Values shown in the wireframes are the Q1 2026 baselines and are illustrative of layout; the charts are placeholders to be built in Power BI in Week 3.</w:t>
      </w:r>
    </w:p>
    <w:p>
      <w:pPr>
        <w:pStyle w:val="Heading2"/>
      </w:pPr>
      <w:r>
        <w:rPr>
          <w:rFonts w:ascii="Arial" w:cs="Arial" w:eastAsia="Arial" w:hAnsi="Arial"/>
        </w:rPr>
        <w:t xml:space="preserve">Page 1: Executive Overview</w:t>
      </w:r>
    </w:p>
    <w:p>
      <w:pPr>
        <w:keepNext/>
        <w:spacing w:after="120" w:before="0" w:line="280"/>
      </w:pPr>
      <w:r>
        <w:rPr>
          <w:rFonts w:ascii="Arial" w:cs="Arial" w:eastAsia="Arial" w:hAnsi="Arial"/>
          <w:sz w:val="21"/>
          <w:szCs w:val="21"/>
        </w:rPr>
        <w:t xml:space="preserve">Management sees total value, volume, reliability, risk and digital share at a glance, with a monthly trend, value by transaction type, and channel share.</w:t>
      </w:r>
    </w:p>
    <w:p>
      <w:pPr>
        <w:keepNext/>
        <w:spacing w:after="120" w:before="0" w:line="280"/>
      </w:pPr>
      <w:r>
        <w:rPr>
          <w:rFonts w:ascii="Arial" w:cs="Arial" w:eastAsia="Arial" w:hAnsi="Arial"/>
          <w:i/>
          <w:iCs/>
          <w:sz w:val="21"/>
          <w:szCs w:val="21"/>
        </w:rPr>
        <w:t xml:space="preserve">Expect to show: Transfers and Deposits drive most of the value, Mobile App leads volume, and daily value is trending up slightly.</w:t>
      </w:r>
    </w:p>
    <w:p>
      <w:pPr>
        <w:spacing w:after="160"/>
        <w:jc w:val="center"/>
      </w:pPr>
      <w:r>
        <w:drawing>
          <wp:inline distT="0" distB="0" distL="0" distR="0">
            <wp:extent cx="5715000" cy="3324225"/>
            <wp:effectExtent t="0" r="0" b="0" l="0"/>
            <wp:docPr id="1" name="wf1.png" descr="Dashboard wireframe: Page 1: Executive Overview" title="Page 1: Executive Over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324225"/>
                    </a:xfrm>
                    <a:prstGeom prst="rect">
                      <a:avLst/>
                    </a:prstGeom>
                  </pic:spPr>
                </pic:pic>
              </a:graphicData>
            </a:graphic>
          </wp:inline>
        </w:drawing>
      </w:r>
    </w:p>
    <w:p>
      <w:pPr>
        <w:pStyle w:val="Heading2"/>
      </w:pPr>
      <w:r>
        <w:rPr>
          <w:rFonts w:ascii="Arial" w:cs="Arial" w:eastAsia="Arial" w:hAnsi="Arial"/>
        </w:rPr>
        <w:t xml:space="preserve">Page 2: Customer Insights</w:t>
      </w:r>
    </w:p>
    <w:p>
      <w:pPr>
        <w:keepNext/>
        <w:spacing w:after="120" w:before="0" w:line="280"/>
      </w:pPr>
      <w:r>
        <w:rPr>
          <w:rFonts w:ascii="Arial" w:cs="Arial" w:eastAsia="Arial" w:hAnsi="Arial"/>
          <w:sz w:val="21"/>
          <w:szCs w:val="21"/>
        </w:rPr>
        <w:t xml:space="preserve">Shows who generates value and how customers behave, by segment, city, income band and engagement.</w:t>
      </w:r>
    </w:p>
    <w:p>
      <w:pPr>
        <w:keepNext/>
        <w:spacing w:after="120" w:before="0" w:line="280"/>
      </w:pPr>
      <w:r>
        <w:rPr>
          <w:rFonts w:ascii="Arial" w:cs="Arial" w:eastAsia="Arial" w:hAnsi="Arial"/>
          <w:i/>
          <w:iCs/>
          <w:sz w:val="21"/>
          <w:szCs w:val="21"/>
        </w:rPr>
        <w:t xml:space="preserve">Expect to show: Lagos and Abuja produce about half of value, engagement score has little link to activity, and 9.1% of transactions come from non-active accounts.</w:t>
      </w:r>
    </w:p>
    <w:p>
      <w:pPr>
        <w:spacing w:after="160"/>
        <w:jc w:val="center"/>
      </w:pPr>
      <w:r>
        <w:drawing>
          <wp:inline distT="0" distB="0" distL="0" distR="0">
            <wp:extent cx="5715000" cy="3324225"/>
            <wp:effectExtent t="0" r="0" b="0" l="0"/>
            <wp:docPr id="1" name="wf2.png" descr="Dashboard wireframe: Page 2: Customer Insights" title="Page 2: Customer Insigh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324225"/>
                    </a:xfrm>
                    <a:prstGeom prst="rect">
                      <a:avLst/>
                    </a:prstGeom>
                  </pic:spPr>
                </pic:pic>
              </a:graphicData>
            </a:graphic>
          </wp:inline>
        </w:drawing>
      </w:r>
    </w:p>
    <w:p>
      <w:pPr>
        <w:pStyle w:val="Heading2"/>
      </w:pPr>
      <w:r>
        <w:rPr>
          <w:rFonts w:ascii="Arial" w:cs="Arial" w:eastAsia="Arial" w:hAnsi="Arial"/>
        </w:rPr>
        <w:t xml:space="preserve">Page 3: Channels and Operations</w:t>
      </w:r>
    </w:p>
    <w:p>
      <w:pPr>
        <w:keepNext/>
        <w:spacing w:after="120" w:before="0" w:line="280"/>
      </w:pPr>
      <w:r>
        <w:rPr>
          <w:rFonts w:ascii="Arial" w:cs="Arial" w:eastAsia="Arial" w:hAnsi="Arial"/>
          <w:sz w:val="21"/>
          <w:szCs w:val="21"/>
        </w:rPr>
        <w:t xml:space="preserve">Compares channel reliability and usage, with failure by device and a data-quality panel.</w:t>
      </w:r>
    </w:p>
    <w:p>
      <w:pPr>
        <w:keepNext/>
        <w:spacing w:after="120" w:before="0" w:line="280"/>
      </w:pPr>
      <w:r>
        <w:rPr>
          <w:rFonts w:ascii="Arial" w:cs="Arial" w:eastAsia="Arial" w:hAnsi="Arial"/>
          <w:i/>
          <w:iCs/>
          <w:sz w:val="21"/>
          <w:szCs w:val="21"/>
        </w:rPr>
        <w:t xml:space="preserve">Expect to show: failure rates are similar across channels (4.2% to 5.8%), Mobile App has the largest absolute failures, and device data is unreliable.</w:t>
      </w:r>
    </w:p>
    <w:p>
      <w:pPr>
        <w:spacing w:after="160"/>
        <w:jc w:val="center"/>
      </w:pPr>
      <w:r>
        <w:drawing>
          <wp:inline distT="0" distB="0" distL="0" distR="0">
            <wp:extent cx="5715000" cy="3324225"/>
            <wp:effectExtent t="0" r="0" b="0" l="0"/>
            <wp:docPr id="1" name="wf3.png" descr="Dashboard wireframe: Page 3: Channels and Operations" title="Page 3: Channels and Oper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324225"/>
                    </a:xfrm>
                    <a:prstGeom prst="rect">
                      <a:avLst/>
                    </a:prstGeom>
                  </pic:spPr>
                </pic:pic>
              </a:graphicData>
            </a:graphic>
          </wp:inline>
        </w:drawing>
      </w:r>
    </w:p>
    <w:p>
      <w:pPr>
        <w:pStyle w:val="Heading2"/>
      </w:pPr>
      <w:r>
        <w:rPr>
          <w:rFonts w:ascii="Arial" w:cs="Arial" w:eastAsia="Arial" w:hAnsi="Arial"/>
        </w:rPr>
        <w:t xml:space="preserve">Page 4: Risk Review Patterns</w:t>
      </w:r>
    </w:p>
    <w:p>
      <w:pPr>
        <w:keepNext/>
        <w:spacing w:after="120" w:before="0" w:line="280"/>
      </w:pPr>
      <w:r>
        <w:rPr>
          <w:rFonts w:ascii="Arial" w:cs="Arial" w:eastAsia="Arial" w:hAnsi="Arial"/>
          <w:sz w:val="21"/>
          <w:szCs w:val="21"/>
        </w:rPr>
        <w:t xml:space="preserve">Shows where flagged activity concentrates and how flagged and non-flagged amounts differ.</w:t>
      </w:r>
    </w:p>
    <w:p>
      <w:pPr>
        <w:keepNext/>
        <w:spacing w:after="120" w:before="0" w:line="280"/>
      </w:pPr>
      <w:r>
        <w:rPr>
          <w:rFonts w:ascii="Arial" w:cs="Arial" w:eastAsia="Arial" w:hAnsi="Arial"/>
          <w:i/>
          <w:iCs/>
          <w:sz w:val="21"/>
          <w:szCs w:val="21"/>
        </w:rPr>
        <w:t xml:space="preserve">Expect to show: the flag rate is highest for Transfers, Cash Withdrawals, international transactions and amounts of ₦200k and above.</w:t>
      </w:r>
    </w:p>
    <w:p>
      <w:pPr>
        <w:spacing w:after="160"/>
        <w:jc w:val="center"/>
      </w:pPr>
      <w:r>
        <w:drawing>
          <wp:inline distT="0" distB="0" distL="0" distR="0">
            <wp:extent cx="5715000" cy="3324225"/>
            <wp:effectExtent t="0" r="0" b="0" l="0"/>
            <wp:docPr id="1" name="wf4.png" descr="Dashboard wireframe: Page 4: Risk Review Patterns" title="Page 4: Risk Review Patter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324225"/>
                    </a:xfrm>
                    <a:prstGeom prst="rect">
                      <a:avLst/>
                    </a:prstGeom>
                  </pic:spPr>
                </pic:pic>
              </a:graphicData>
            </a:graphic>
          </wp:inline>
        </w:drawing>
      </w:r>
    </w:p>
    <w:p>
      <w:pPr>
        <w:pStyle w:val="Heading1"/>
      </w:pPr>
      <w:r>
        <w:rPr>
          <w:rFonts w:ascii="Arial" w:cs="Arial" w:eastAsia="Arial" w:hAnsi="Arial"/>
        </w:rPr>
        <w:t xml:space="preserve">7. Objectives, Success Criteria and Initial Analysis Plan</w:t>
      </w:r>
    </w:p>
    <w:p>
      <w:pPr>
        <w:pStyle w:val="Heading2"/>
      </w:pPr>
      <w:r>
        <w:rPr>
          <w:rFonts w:ascii="Arial" w:cs="Arial" w:eastAsia="Arial" w:hAnsi="Arial"/>
        </w:rPr>
        <w:t xml:space="preserve">7.1 Track objectives</w:t>
      </w:r>
    </w:p>
    <w:p>
      <w:pPr>
        <w:pStyle w:val="ListParagraph"/>
        <w:numPr>
          <w:ilvl w:val="0"/>
          <w:numId w:val="4"/>
        </w:numPr>
        <w:spacing w:after="60" w:line="270"/>
      </w:pPr>
      <w:r>
        <w:rPr>
          <w:rFonts w:ascii="Arial" w:cs="Arial" w:eastAsia="Arial" w:hAnsi="Arial"/>
          <w:sz w:val="21"/>
          <w:szCs w:val="21"/>
        </w:rPr>
        <w:t xml:space="preserve">Profile both datasets, document their structure and data-quality issues, and agree cleaning rules by the end of Week 2.</w:t>
      </w:r>
    </w:p>
    <w:p>
      <w:pPr>
        <w:pStyle w:val="ListParagraph"/>
        <w:numPr>
          <w:ilvl w:val="0"/>
          <w:numId w:val="4"/>
        </w:numPr>
        <w:spacing w:after="60" w:line="270"/>
      </w:pPr>
      <w:r>
        <w:rPr>
          <w:rFonts w:ascii="Arial" w:cs="Arial" w:eastAsia="Arial" w:hAnsi="Arial"/>
          <w:sz w:val="21"/>
          <w:szCs w:val="21"/>
        </w:rPr>
        <w:t xml:space="preserve">Answer the seven core analytical questions in SQL and validate results against source counts by the end of Week 2.</w:t>
      </w:r>
    </w:p>
    <w:p>
      <w:pPr>
        <w:pStyle w:val="ListParagraph"/>
        <w:numPr>
          <w:ilvl w:val="0"/>
          <w:numId w:val="4"/>
        </w:numPr>
        <w:spacing w:after="60" w:line="270"/>
      </w:pPr>
      <w:r>
        <w:rPr>
          <w:rFonts w:ascii="Arial" w:cs="Arial" w:eastAsia="Arial" w:hAnsi="Arial"/>
          <w:sz w:val="21"/>
          <w:szCs w:val="21"/>
        </w:rPr>
        <w:t xml:space="preserve">Define and calculate a set of seven KPIs with documented definitions and baseline values.</w:t>
      </w:r>
    </w:p>
    <w:p>
      <w:pPr>
        <w:pStyle w:val="ListParagraph"/>
        <w:numPr>
          <w:ilvl w:val="0"/>
          <w:numId w:val="4"/>
        </w:numPr>
        <w:spacing w:after="60" w:line="270"/>
      </w:pPr>
      <w:r>
        <w:rPr>
          <w:rFonts w:ascii="Arial" w:cs="Arial" w:eastAsia="Arial" w:hAnsi="Arial"/>
          <w:sz w:val="21"/>
          <w:szCs w:val="21"/>
        </w:rPr>
        <w:t xml:space="preserve">Design and build a four-page Power BI dashboard in Week 3, with filters and drill-down.</w:t>
      </w:r>
    </w:p>
    <w:p>
      <w:pPr>
        <w:pStyle w:val="ListParagraph"/>
        <w:numPr>
          <w:ilvl w:val="0"/>
          <w:numId w:val="4"/>
        </w:numPr>
        <w:spacing w:after="60" w:line="270"/>
      </w:pPr>
      <w:r>
        <w:rPr>
          <w:rFonts w:ascii="Arial" w:cs="Arial" w:eastAsia="Arial" w:hAnsi="Arial"/>
          <w:sz w:val="21"/>
          <w:szCs w:val="21"/>
        </w:rPr>
        <w:t xml:space="preserve">Communicate the main insights and data limitations clearly to management and to the other tracks in Week 4.</w:t>
      </w:r>
    </w:p>
    <w:p>
      <w:pPr>
        <w:pStyle w:val="Heading2"/>
      </w:pPr>
      <w:r>
        <w:rPr>
          <w:rFonts w:ascii="Arial" w:cs="Arial" w:eastAsia="Arial" w:hAnsi="Arial"/>
        </w:rPr>
        <w:t xml:space="preserve">7.2 Success criteria</w:t>
      </w:r>
    </w:p>
    <w:p>
      <w:pPr>
        <w:pStyle w:val="ListParagraph"/>
        <w:numPr>
          <w:ilvl w:val="0"/>
          <w:numId w:val="2"/>
        </w:numPr>
        <w:spacing w:after="60" w:line="270"/>
      </w:pPr>
      <w:r>
        <w:rPr>
          <w:rFonts w:ascii="Arial" w:cs="Arial" w:eastAsia="Arial" w:hAnsi="Arial"/>
          <w:sz w:val="21"/>
          <w:szCs w:val="21"/>
        </w:rPr>
        <w:t xml:space="preserve"/>
      </w:r>
      <w:r>
        <w:rPr>
          <w:rFonts w:ascii="Arial" w:cs="Arial" w:eastAsia="Arial" w:hAnsi="Arial"/>
          <w:b/>
          <w:bCs/>
          <w:sz w:val="21"/>
          <w:szCs w:val="21"/>
        </w:rPr>
        <w:t xml:space="preserve">Accuracy:</w:t>
      </w:r>
      <w:r>
        <w:rPr>
          <w:rFonts w:ascii="Arial" w:cs="Arial" w:eastAsia="Arial" w:hAnsi="Arial"/>
          <w:sz w:val="21"/>
          <w:szCs w:val="21"/>
        </w:rPr>
        <w:t xml:space="preserve"> KPI values reconcile with SQL totals and with the row counts (12,000 transactions, 1,500 customers).</w:t>
      </w:r>
    </w:p>
    <w:p>
      <w:pPr>
        <w:pStyle w:val="ListParagraph"/>
        <w:numPr>
          <w:ilvl w:val="0"/>
          <w:numId w:val="2"/>
        </w:numPr>
        <w:spacing w:after="60" w:line="270"/>
      </w:pPr>
      <w:r>
        <w:rPr>
          <w:rFonts w:ascii="Arial" w:cs="Arial" w:eastAsia="Arial" w:hAnsi="Arial"/>
          <w:sz w:val="21"/>
          <w:szCs w:val="21"/>
        </w:rPr>
        <w:t xml:space="preserve"/>
      </w:r>
      <w:r>
        <w:rPr>
          <w:rFonts w:ascii="Arial" w:cs="Arial" w:eastAsia="Arial" w:hAnsi="Arial"/>
          <w:b/>
          <w:bCs/>
          <w:sz w:val="21"/>
          <w:szCs w:val="21"/>
        </w:rPr>
        <w:t xml:space="preserve">Coverage:</w:t>
      </w:r>
      <w:r>
        <w:rPr>
          <w:rFonts w:ascii="Arial" w:cs="Arial" w:eastAsia="Arial" w:hAnsi="Arial"/>
          <w:sz w:val="21"/>
          <w:szCs w:val="21"/>
        </w:rPr>
        <w:t xml:space="preserve"> the dashboard answers every analytical question and shows all defined KPIs.</w:t>
      </w:r>
    </w:p>
    <w:p>
      <w:pPr>
        <w:pStyle w:val="ListParagraph"/>
        <w:numPr>
          <w:ilvl w:val="0"/>
          <w:numId w:val="2"/>
        </w:numPr>
        <w:spacing w:after="60" w:line="270"/>
      </w:pPr>
      <w:r>
        <w:rPr>
          <w:rFonts w:ascii="Arial" w:cs="Arial" w:eastAsia="Arial" w:hAnsi="Arial"/>
          <w:sz w:val="21"/>
          <w:szCs w:val="21"/>
        </w:rPr>
        <w:t xml:space="preserve"/>
      </w:r>
      <w:r>
        <w:rPr>
          <w:rFonts w:ascii="Arial" w:cs="Arial" w:eastAsia="Arial" w:hAnsi="Arial"/>
          <w:b/>
          <w:bCs/>
          <w:sz w:val="21"/>
          <w:szCs w:val="21"/>
        </w:rPr>
        <w:t xml:space="preserve">Usability:</w:t>
      </w:r>
      <w:r>
        <w:rPr>
          <w:rFonts w:ascii="Arial" w:cs="Arial" w:eastAsia="Arial" w:hAnsi="Arial"/>
          <w:sz w:val="21"/>
          <w:szCs w:val="21"/>
        </w:rPr>
        <w:t xml:space="preserve"> a non-technical stakeholder can filter and read each page without explanation.</w:t>
      </w:r>
    </w:p>
    <w:p>
      <w:pPr>
        <w:pStyle w:val="ListParagraph"/>
        <w:numPr>
          <w:ilvl w:val="0"/>
          <w:numId w:val="2"/>
        </w:numPr>
        <w:spacing w:after="60" w:line="270"/>
      </w:pPr>
      <w:r>
        <w:rPr>
          <w:rFonts w:ascii="Arial" w:cs="Arial" w:eastAsia="Arial" w:hAnsi="Arial"/>
          <w:sz w:val="21"/>
          <w:szCs w:val="21"/>
        </w:rPr>
        <w:t xml:space="preserve"/>
      </w:r>
      <w:r>
        <w:rPr>
          <w:rFonts w:ascii="Arial" w:cs="Arial" w:eastAsia="Arial" w:hAnsi="Arial"/>
          <w:b/>
          <w:bCs/>
          <w:sz w:val="21"/>
          <w:szCs w:val="21"/>
        </w:rPr>
        <w:t xml:space="preserve">Documentation:</w:t>
      </w:r>
      <w:r>
        <w:rPr>
          <w:rFonts w:ascii="Arial" w:cs="Arial" w:eastAsia="Arial" w:hAnsi="Arial"/>
          <w:sz w:val="21"/>
          <w:szCs w:val="21"/>
        </w:rPr>
        <w:t xml:space="preserve"> every field, KPI, cleaning rule and limitation is documented.</w:t>
      </w:r>
    </w:p>
    <w:p>
      <w:pPr>
        <w:pStyle w:val="ListParagraph"/>
        <w:numPr>
          <w:ilvl w:val="0"/>
          <w:numId w:val="2"/>
        </w:numPr>
        <w:spacing w:after="60" w:line="270"/>
      </w:pPr>
      <w:r>
        <w:rPr>
          <w:rFonts w:ascii="Arial" w:cs="Arial" w:eastAsia="Arial" w:hAnsi="Arial"/>
          <w:sz w:val="21"/>
          <w:szCs w:val="21"/>
        </w:rPr>
        <w:t xml:space="preserve"/>
      </w:r>
      <w:r>
        <w:rPr>
          <w:rFonts w:ascii="Arial" w:cs="Arial" w:eastAsia="Arial" w:hAnsi="Arial"/>
          <w:b/>
          <w:bCs/>
          <w:sz w:val="21"/>
          <w:szCs w:val="21"/>
        </w:rPr>
        <w:t xml:space="preserve">Usefulness to other tracks:</w:t>
      </w:r>
      <w:r>
        <w:rPr>
          <w:rFonts w:ascii="Arial" w:cs="Arial" w:eastAsia="Arial" w:hAnsi="Arial"/>
          <w:sz w:val="21"/>
          <w:szCs w:val="21"/>
        </w:rPr>
        <w:t xml:space="preserve"> cleaned data and derived customer features are delivered in a form the Data Science and AI tracks can use.</w:t>
      </w:r>
    </w:p>
    <w:p>
      <w:pPr>
        <w:pStyle w:val="Heading2"/>
      </w:pPr>
      <w:r>
        <w:rPr>
          <w:rFonts w:ascii="Arial" w:cs="Arial" w:eastAsia="Arial" w:hAnsi="Arial"/>
        </w:rPr>
        <w:t xml:space="preserve">7.3 Plan for Weeks 2 to 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1700"/>
        <w:gridCol w:w="4400"/>
        <w:gridCol w:w="2638"/>
      </w:tblGrid>
      <w:tr>
        <w:trPr>
          <w:tblHeader/>
        </w:trPr>
        <w:tc>
          <w:tcPr>
            <w:tcW w:type="dxa" w:w="9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jc w:val="left"/>
            </w:pPr>
            <w:r>
              <w:rPr>
                <w:rFonts w:ascii="Arial" w:cs="Arial" w:eastAsia="Arial" w:hAnsi="Arial"/>
                <w:b/>
                <w:bCs/>
                <w:color w:val="FFFFFF"/>
                <w:sz w:val="17"/>
                <w:szCs w:val="17"/>
              </w:rPr>
              <w:t xml:space="preserve">Week</w:t>
            </w:r>
          </w:p>
        </w:tc>
        <w:tc>
          <w:tcPr>
            <w:tcW w:type="dxa" w:w="17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jc w:val="left"/>
            </w:pPr>
            <w:r>
              <w:rPr>
                <w:rFonts w:ascii="Arial" w:cs="Arial" w:eastAsia="Arial" w:hAnsi="Arial"/>
                <w:b/>
                <w:bCs/>
                <w:color w:val="FFFFFF"/>
                <w:sz w:val="17"/>
                <w:szCs w:val="17"/>
              </w:rPr>
              <w:t xml:space="preserve">Focus</w:t>
            </w:r>
          </w:p>
        </w:tc>
        <w:tc>
          <w:tcPr>
            <w:tcW w:type="dxa" w:w="44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jc w:val="left"/>
            </w:pPr>
            <w:r>
              <w:rPr>
                <w:rFonts w:ascii="Arial" w:cs="Arial" w:eastAsia="Arial" w:hAnsi="Arial"/>
                <w:b/>
                <w:bCs/>
                <w:color w:val="FFFFFF"/>
                <w:sz w:val="17"/>
                <w:szCs w:val="17"/>
              </w:rPr>
              <w:t xml:space="preserve">Planned activities</w:t>
            </w:r>
          </w:p>
        </w:tc>
        <w:tc>
          <w:tcPr>
            <w:tcW w:type="dxa" w:w="2638"/>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jc w:val="left"/>
            </w:pPr>
            <w:r>
              <w:rPr>
                <w:rFonts w:ascii="Arial" w:cs="Arial" w:eastAsia="Arial" w:hAnsi="Arial"/>
                <w:b/>
                <w:bCs/>
                <w:color w:val="FFFFFF"/>
                <w:sz w:val="17"/>
                <w:szCs w:val="17"/>
              </w:rPr>
              <w:t xml:space="preserve">Outputs</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Week 2</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Cleaning and analysis</w:t>
            </w:r>
          </w:p>
        </w:tc>
        <w:tc>
          <w:tcPr>
            <w:tcW w:type="dxa" w:w="44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Convert timestamps; label missing Device_Type and Location as Unknown; decide on treatment of outliers and non-active accounts; build customer-level and transaction-level SQL views; calculate all KPIs; run deeper analysis on failures, risk-flag patterns and non-active accounts; share early outputs with other tracks</w:t>
            </w:r>
          </w:p>
        </w:tc>
        <w:tc>
          <w:tcPr>
            <w:tcW w:type="dxa" w:w="2638"/>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Cleaned dataset and SQL views, KPI table with final values, analysis notes</w:t>
            </w:r>
          </w:p>
        </w:tc>
      </w:tr>
      <w:tr>
        <w:trPr>
          <w:cantSplit/>
        </w:trPr>
        <w:tc>
          <w:tcPr>
            <w:tcW w:type="dxa" w:w="900"/>
            <w:tcBorders>
              <w:top w:val="single" w:color="BFBFBF" w:sz="4"/>
              <w:left w:val="single" w:color="BFBFBF" w:sz="4"/>
              <w:bottom w:val="single" w:color="BFBFBF" w:sz="4"/>
              <w:right w:val="single" w:color="BFBFBF" w:sz="4"/>
            </w:tcBorders>
            <w:shd w:fill="F5F7FA" w:color="auto" w:val="clear"/>
            <w:tcMar>
              <w:top w:type="dxa" w:w="60"/>
              <w:left w:type="dxa" w:w="90"/>
              <w:bottom w:type="dxa" w:w="60"/>
              <w:right w:type="dxa" w:w="90"/>
            </w:tcMar>
          </w:tcPr>
          <w:p>
            <w:pPr>
              <w:jc w:val="left"/>
            </w:pPr>
            <w:r>
              <w:rPr>
                <w:rFonts w:ascii="Arial" w:cs="Arial" w:eastAsia="Arial" w:hAnsi="Arial"/>
                <w:b w:val="false"/>
                <w:bCs w:val="false"/>
                <w:sz w:val="17"/>
                <w:szCs w:val="17"/>
              </w:rPr>
              <w:t xml:space="preserve">Week 3</w:t>
            </w:r>
          </w:p>
        </w:tc>
        <w:tc>
          <w:tcPr>
            <w:tcW w:type="dxa" w:w="1700"/>
            <w:tcBorders>
              <w:top w:val="single" w:color="BFBFBF" w:sz="4"/>
              <w:left w:val="single" w:color="BFBFBF" w:sz="4"/>
              <w:bottom w:val="single" w:color="BFBFBF" w:sz="4"/>
              <w:right w:val="single" w:color="BFBFBF" w:sz="4"/>
            </w:tcBorders>
            <w:shd w:fill="F5F7FA" w:color="auto" w:val="clear"/>
            <w:tcMar>
              <w:top w:type="dxa" w:w="60"/>
              <w:left w:type="dxa" w:w="90"/>
              <w:bottom w:type="dxa" w:w="60"/>
              <w:right w:type="dxa" w:w="90"/>
            </w:tcMar>
          </w:tcPr>
          <w:p>
            <w:pPr>
              <w:jc w:val="left"/>
            </w:pPr>
            <w:r>
              <w:rPr>
                <w:rFonts w:ascii="Arial" w:cs="Arial" w:eastAsia="Arial" w:hAnsi="Arial"/>
                <w:b w:val="false"/>
                <w:bCs w:val="false"/>
                <w:sz w:val="17"/>
                <w:szCs w:val="17"/>
              </w:rPr>
              <w:t xml:space="preserve">Dashboard build</w:t>
            </w:r>
          </w:p>
        </w:tc>
        <w:tc>
          <w:tcPr>
            <w:tcW w:type="dxa" w:w="4400"/>
            <w:tcBorders>
              <w:top w:val="single" w:color="BFBFBF" w:sz="4"/>
              <w:left w:val="single" w:color="BFBFBF" w:sz="4"/>
              <w:bottom w:val="single" w:color="BFBFBF" w:sz="4"/>
              <w:right w:val="single" w:color="BFBFBF" w:sz="4"/>
            </w:tcBorders>
            <w:shd w:fill="F5F7FA" w:color="auto" w:val="clear"/>
            <w:tcMar>
              <w:top w:type="dxa" w:w="60"/>
              <w:left w:type="dxa" w:w="90"/>
              <w:bottom w:type="dxa" w:w="60"/>
              <w:right w:type="dxa" w:w="90"/>
            </w:tcMar>
          </w:tcPr>
          <w:p>
            <w:pPr>
              <w:jc w:val="left"/>
            </w:pPr>
            <w:r>
              <w:rPr>
                <w:rFonts w:ascii="Arial" w:cs="Arial" w:eastAsia="Arial" w:hAnsi="Arial"/>
                <w:b w:val="false"/>
                <w:bCs w:val="false"/>
                <w:sz w:val="17"/>
                <w:szCs w:val="17"/>
              </w:rPr>
              <w:t xml:space="preserve">Load views into Power BI; build the four dashboard pages with global and page filters; add tooltips and drill-through; test KPIs against SQL; collect feedback from other tracks</w:t>
            </w:r>
          </w:p>
        </w:tc>
        <w:tc>
          <w:tcPr>
            <w:tcW w:type="dxa" w:w="2638"/>
            <w:tcBorders>
              <w:top w:val="single" w:color="BFBFBF" w:sz="4"/>
              <w:left w:val="single" w:color="BFBFBF" w:sz="4"/>
              <w:bottom w:val="single" w:color="BFBFBF" w:sz="4"/>
              <w:right w:val="single" w:color="BFBFBF" w:sz="4"/>
            </w:tcBorders>
            <w:shd w:fill="F5F7FA" w:color="auto" w:val="clear"/>
            <w:tcMar>
              <w:top w:type="dxa" w:w="60"/>
              <w:left w:type="dxa" w:w="90"/>
              <w:bottom w:type="dxa" w:w="60"/>
              <w:right w:type="dxa" w:w="90"/>
            </w:tcMar>
          </w:tcPr>
          <w:p>
            <w:pPr>
              <w:jc w:val="left"/>
            </w:pPr>
            <w:r>
              <w:rPr>
                <w:rFonts w:ascii="Arial" w:cs="Arial" w:eastAsia="Arial" w:hAnsi="Arial"/>
                <w:b w:val="false"/>
                <w:bCs w:val="false"/>
                <w:sz w:val="17"/>
                <w:szCs w:val="17"/>
              </w:rPr>
              <w:t xml:space="preserve">Working Power BI dashboard, KPI validation sheet</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Week 4</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Refinement and delivery</w:t>
            </w:r>
          </w:p>
        </w:tc>
        <w:tc>
          <w:tcPr>
            <w:tcW w:type="dxa" w:w="44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Improve visuals and performance; write insight summary and recommendations; document limitations; prepare and rehearse final presentation</w:t>
            </w:r>
          </w:p>
        </w:tc>
        <w:tc>
          <w:tcPr>
            <w:tcW w:type="dxa" w:w="2638"/>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Final dashboard, insight report, presentation</w:t>
            </w:r>
          </w:p>
        </w:tc>
      </w:tr>
    </w:tbl>
    <w:p>
      <w:pPr>
        <w:spacing w:after="120"/>
      </w:pPr>
    </w:p>
    <w:p>
      <w:pPr>
        <w:pStyle w:val="Heading1"/>
      </w:pPr>
      <w:r>
        <w:rPr>
          <w:rFonts w:ascii="Arial" w:cs="Arial" w:eastAsia="Arial" w:hAnsi="Arial"/>
        </w:rPr>
        <w:t xml:space="preserve">Appendix A: SQL Used</w:t>
      </w:r>
    </w:p>
    <w:p>
      <w:pPr>
        <w:spacing w:after="120" w:before="0" w:line="280"/>
      </w:pPr>
      <w:r>
        <w:rPr>
          <w:rFonts w:ascii="Arial" w:cs="Arial" w:eastAsia="Arial" w:hAnsi="Arial"/>
          <w:sz w:val="19"/>
          <w:szCs w:val="19"/>
        </w:rPr>
        <w:t xml:space="preserve">Standard SQL. Date-part functions differ slightly by platform. Before the queries, a view converts the date text into a timestamp (PostgreSQL syntax shown).</w:t>
      </w:r>
    </w:p>
    <w:p>
      <w:pPr>
        <w:shd w:fill="F2F2F2" w:color="auto" w:val="clear"/>
        <w:spacing w:after="0" w:line="240"/>
        <w:ind w:left="120" w:right="120"/>
      </w:pPr>
      <w:r>
        <w:rPr>
          <w:rFonts w:ascii="Consolas" w:cs="Consolas" w:eastAsia="Consolas" w:hAnsi="Consolas"/>
          <w:sz w:val="17"/>
          <w:szCs w:val="17"/>
        </w:rPr>
        <w:t xml:space="preserve">CREATE VIEW txn AS</w:t>
      </w:r>
    </w:p>
    <w:p>
      <w:pPr>
        <w:shd w:fill="F2F2F2" w:color="auto" w:val="clear"/>
        <w:spacing w:after="0" w:line="240"/>
        <w:ind w:left="120" w:right="120"/>
      </w:pPr>
      <w:r>
        <w:rPr>
          <w:rFonts w:ascii="Consolas" w:cs="Consolas" w:eastAsia="Consolas" w:hAnsi="Consolas"/>
          <w:sz w:val="17"/>
          <w:szCs w:val="17"/>
        </w:rPr>
        <w:t xml:space="preserve">SELECT *, TO_TIMESTAMP(transaction_datetime,'MM/DD/YYYY HH24:MI') AS txn_ts</w:t>
      </w:r>
    </w:p>
    <w:p>
      <w:pPr>
        <w:shd w:fill="F2F2F2" w:color="auto" w:val="clear"/>
        <w:spacing w:after="0" w:line="240"/>
        <w:ind w:left="120" w:right="120"/>
      </w:pPr>
      <w:r>
        <w:rPr>
          <w:rFonts w:ascii="Consolas" w:cs="Consolas" w:eastAsia="Consolas" w:hAnsi="Consolas"/>
          <w:sz w:val="17"/>
          <w:szCs w:val="17"/>
        </w:rPr>
        <w:t xml:space="preserve">FROM transactions;</w:t>
      </w:r>
    </w:p>
    <w:p>
      <w:pPr>
        <w:spacing w:after="120"/>
      </w:pPr>
    </w:p>
    <w:p>
      <w:pPr>
        <w:pStyle w:val="Heading3"/>
      </w:pPr>
      <w:r>
        <w:rPr>
          <w:rFonts w:ascii="Arial" w:cs="Arial" w:eastAsia="Arial" w:hAnsi="Arial"/>
        </w:rPr>
        <w:t xml:space="preserve">Profiling</w:t>
      </w:r>
    </w:p>
    <w:p>
      <w:pPr>
        <w:shd w:fill="F2F2F2" w:color="auto" w:val="clear"/>
        <w:spacing w:after="0" w:line="240"/>
        <w:ind w:left="120" w:right="120"/>
      </w:pPr>
      <w:r>
        <w:rPr>
          <w:rFonts w:ascii="Consolas" w:cs="Consolas" w:eastAsia="Consolas" w:hAnsi="Consolas"/>
          <w:sz w:val="17"/>
          <w:szCs w:val="17"/>
        </w:rPr>
        <w:t xml:space="preserve">SELECT COUNT(*) FROM customers;   SELECT COUNT(*) FROM transactions;</w:t>
      </w:r>
    </w:p>
    <w:p>
      <w:pPr>
        <w:shd w:fill="F2F2F2" w:color="auto" w:val="clear"/>
        <w:spacing w:after="0" w:line="240"/>
        <w:ind w:left="120" w:right="120"/>
      </w:pPr>
      <w:r>
        <w:rPr>
          <w:rFonts w:ascii="Consolas" w:cs="Consolas" w:eastAsia="Consolas" w:hAnsi="Consolas"/>
          <w:sz w:val="17"/>
          <w:szCs w:val="17"/>
        </w:rPr>
        <w:t xml:space="preserve"> </w:t>
      </w:r>
    </w:p>
    <w:p>
      <w:pPr>
        <w:shd w:fill="F2F2F2" w:color="auto" w:val="clear"/>
        <w:spacing w:after="0" w:line="240"/>
        <w:ind w:left="120" w:right="120"/>
      </w:pPr>
      <w:r>
        <w:rPr>
          <w:rFonts w:ascii="Consolas" w:cs="Consolas" w:eastAsia="Consolas" w:hAnsi="Consolas"/>
          <w:sz w:val="17"/>
          <w:szCs w:val="17"/>
        </w:rPr>
        <w:t xml:space="preserve">SELECT COUNT(*)-COUNT(device_type) AS null_device,</w:t>
      </w:r>
    </w:p>
    <w:p>
      <w:pPr>
        <w:shd w:fill="F2F2F2" w:color="auto" w:val="clear"/>
        <w:spacing w:after="0" w:line="240"/>
        <w:ind w:left="120" w:right="120"/>
      </w:pPr>
      <w:r>
        <w:rPr>
          <w:rFonts w:ascii="Consolas" w:cs="Consolas" w:eastAsia="Consolas" w:hAnsi="Consolas"/>
          <w:sz w:val="17"/>
          <w:szCs w:val="17"/>
        </w:rPr>
        <w:t xml:space="preserve">       COUNT(*)-COUNT(location)    AS null_location</w:t>
      </w:r>
    </w:p>
    <w:p>
      <w:pPr>
        <w:shd w:fill="F2F2F2" w:color="auto" w:val="clear"/>
        <w:spacing w:after="0" w:line="240"/>
        <w:ind w:left="120" w:right="120"/>
      </w:pPr>
      <w:r>
        <w:rPr>
          <w:rFonts w:ascii="Consolas" w:cs="Consolas" w:eastAsia="Consolas" w:hAnsi="Consolas"/>
          <w:sz w:val="17"/>
          <w:szCs w:val="17"/>
        </w:rPr>
        <w:t xml:space="preserve">FROM transactions;</w:t>
      </w:r>
    </w:p>
    <w:p>
      <w:pPr>
        <w:shd w:fill="F2F2F2" w:color="auto" w:val="clear"/>
        <w:spacing w:after="0" w:line="240"/>
        <w:ind w:left="120" w:right="120"/>
      </w:pPr>
      <w:r>
        <w:rPr>
          <w:rFonts w:ascii="Consolas" w:cs="Consolas" w:eastAsia="Consolas" w:hAnsi="Consolas"/>
          <w:sz w:val="17"/>
          <w:szCs w:val="17"/>
        </w:rPr>
        <w:t xml:space="preserve"> </w:t>
      </w:r>
    </w:p>
    <w:p>
      <w:pPr>
        <w:shd w:fill="F2F2F2" w:color="auto" w:val="clear"/>
        <w:spacing w:after="0" w:line="240"/>
        <w:ind w:left="120" w:right="120"/>
      </w:pPr>
      <w:r>
        <w:rPr>
          <w:rFonts w:ascii="Consolas" w:cs="Consolas" w:eastAsia="Consolas" w:hAnsi="Consolas"/>
          <w:sz w:val="17"/>
          <w:szCs w:val="17"/>
        </w:rPr>
        <w:t xml:space="preserve">-- orphan check (expect 0)</w:t>
      </w:r>
    </w:p>
    <w:p>
      <w:pPr>
        <w:shd w:fill="F2F2F2" w:color="auto" w:val="clear"/>
        <w:spacing w:after="0" w:line="240"/>
        <w:ind w:left="120" w:right="120"/>
      </w:pPr>
      <w:r>
        <w:rPr>
          <w:rFonts w:ascii="Consolas" w:cs="Consolas" w:eastAsia="Consolas" w:hAnsi="Consolas"/>
          <w:sz w:val="17"/>
          <w:szCs w:val="17"/>
        </w:rPr>
        <w:t xml:space="preserve">SELECT COUNT(*) FROM transactions t</w:t>
      </w:r>
    </w:p>
    <w:p>
      <w:pPr>
        <w:shd w:fill="F2F2F2" w:color="auto" w:val="clear"/>
        <w:spacing w:after="0" w:line="240"/>
        <w:ind w:left="120" w:right="120"/>
      </w:pPr>
      <w:r>
        <w:rPr>
          <w:rFonts w:ascii="Consolas" w:cs="Consolas" w:eastAsia="Consolas" w:hAnsi="Consolas"/>
          <w:sz w:val="17"/>
          <w:szCs w:val="17"/>
        </w:rPr>
        <w:t xml:space="preserve">LEFT JOIN customers c ON t.customer_id=c.customer_id</w:t>
      </w:r>
    </w:p>
    <w:p>
      <w:pPr>
        <w:shd w:fill="F2F2F2" w:color="auto" w:val="clear"/>
        <w:spacing w:after="0" w:line="240"/>
        <w:ind w:left="120" w:right="120"/>
      </w:pPr>
      <w:r>
        <w:rPr>
          <w:rFonts w:ascii="Consolas" w:cs="Consolas" w:eastAsia="Consolas" w:hAnsi="Consolas"/>
          <w:sz w:val="17"/>
          <w:szCs w:val="17"/>
        </w:rPr>
        <w:t xml:space="preserve">WHERE c.customer_id IS NULL;</w:t>
      </w:r>
    </w:p>
    <w:p>
      <w:pPr>
        <w:shd w:fill="F2F2F2" w:color="auto" w:val="clear"/>
        <w:spacing w:after="0" w:line="240"/>
        <w:ind w:left="120" w:right="120"/>
      </w:pPr>
      <w:r>
        <w:rPr>
          <w:rFonts w:ascii="Consolas" w:cs="Consolas" w:eastAsia="Consolas" w:hAnsi="Consolas"/>
          <w:sz w:val="17"/>
          <w:szCs w:val="17"/>
        </w:rPr>
        <w:t xml:space="preserve"> </w:t>
      </w:r>
    </w:p>
    <w:p>
      <w:pPr>
        <w:shd w:fill="F2F2F2" w:color="auto" w:val="clear"/>
        <w:spacing w:after="0" w:line="240"/>
        <w:ind w:left="120" w:right="120"/>
      </w:pPr>
      <w:r>
        <w:rPr>
          <w:rFonts w:ascii="Consolas" w:cs="Consolas" w:eastAsia="Consolas" w:hAnsi="Consolas"/>
          <w:sz w:val="17"/>
          <w:szCs w:val="17"/>
        </w:rPr>
        <w:t xml:space="preserve">-- channel vs device consistency</w:t>
      </w:r>
    </w:p>
    <w:p>
      <w:pPr>
        <w:shd w:fill="F2F2F2" w:color="auto" w:val="clear"/>
        <w:spacing w:after="0" w:line="240"/>
        <w:ind w:left="120" w:right="120"/>
      </w:pPr>
      <w:r>
        <w:rPr>
          <w:rFonts w:ascii="Consolas" w:cs="Consolas" w:eastAsia="Consolas" w:hAnsi="Consolas"/>
          <w:sz w:val="17"/>
          <w:szCs w:val="17"/>
        </w:rPr>
        <w:t xml:space="preserve">SELECT channel, device_type, COUNT(*) FROM transactions GROUP BY 1,2 ORDER BY 1,3 DESC;</w:t>
      </w:r>
    </w:p>
    <w:p>
      <w:pPr>
        <w:shd w:fill="F2F2F2" w:color="auto" w:val="clear"/>
        <w:spacing w:after="0" w:line="240"/>
        <w:ind w:left="120" w:right="120"/>
      </w:pPr>
      <w:r>
        <w:rPr>
          <w:rFonts w:ascii="Consolas" w:cs="Consolas" w:eastAsia="Consolas" w:hAnsi="Consolas"/>
          <w:sz w:val="17"/>
          <w:szCs w:val="17"/>
        </w:rPr>
        <w:t xml:space="preserve"> </w:t>
      </w:r>
    </w:p>
    <w:p>
      <w:pPr>
        <w:shd w:fill="F2F2F2" w:color="auto" w:val="clear"/>
        <w:spacing w:after="0" w:line="240"/>
        <w:ind w:left="120" w:right="120"/>
      </w:pPr>
      <w:r>
        <w:rPr>
          <w:rFonts w:ascii="Consolas" w:cs="Consolas" w:eastAsia="Consolas" w:hAnsi="Consolas"/>
          <w:sz w:val="17"/>
          <w:szCs w:val="17"/>
        </w:rPr>
        <w:t xml:space="preserve">-- location vs home city</w:t>
      </w:r>
    </w:p>
    <w:p>
      <w:pPr>
        <w:shd w:fill="F2F2F2" w:color="auto" w:val="clear"/>
        <w:spacing w:after="0" w:line="240"/>
        <w:ind w:left="120" w:right="120"/>
      </w:pPr>
      <w:r>
        <w:rPr>
          <w:rFonts w:ascii="Consolas" w:cs="Consolas" w:eastAsia="Consolas" w:hAnsi="Consolas"/>
          <w:sz w:val="17"/>
          <w:szCs w:val="17"/>
        </w:rPr>
        <w:t xml:space="preserve">SELECT ROUND(100.0*SUM(CASE WHEN t.location=c.city THEN 1 ELSE 0 END)/COUNT(*),1)</w:t>
      </w:r>
    </w:p>
    <w:p>
      <w:pPr>
        <w:shd w:fill="F2F2F2" w:color="auto" w:val="clear"/>
        <w:spacing w:after="0" w:line="240"/>
        <w:ind w:left="120" w:right="120"/>
      </w:pPr>
      <w:r>
        <w:rPr>
          <w:rFonts w:ascii="Consolas" w:cs="Consolas" w:eastAsia="Consolas" w:hAnsi="Consolas"/>
          <w:sz w:val="17"/>
          <w:szCs w:val="17"/>
        </w:rPr>
        <w:t xml:space="preserve">FROM transactions t JOIN customers c USING(customer_id);</w:t>
      </w:r>
    </w:p>
    <w:p>
      <w:pPr>
        <w:spacing w:after="120"/>
      </w:pPr>
    </w:p>
    <w:p>
      <w:pPr>
        <w:pStyle w:val="Heading3"/>
      </w:pPr>
      <w:r>
        <w:rPr>
          <w:rFonts w:ascii="Arial" w:cs="Arial" w:eastAsia="Arial" w:hAnsi="Arial"/>
        </w:rPr>
        <w:t xml:space="preserve">Analytical questions</w:t>
      </w:r>
    </w:p>
    <w:p>
      <w:pPr>
        <w:shd w:fill="F2F2F2" w:color="auto" w:val="clear"/>
        <w:spacing w:after="0" w:line="240"/>
        <w:ind w:left="120" w:right="120"/>
      </w:pPr>
      <w:r>
        <w:rPr>
          <w:rFonts w:ascii="Consolas" w:cs="Consolas" w:eastAsia="Consolas" w:hAnsi="Consolas"/>
          <w:sz w:val="17"/>
          <w:szCs w:val="17"/>
        </w:rPr>
        <w:t xml:space="preserve">-- Q1 value by segment (repeat for city, monthly_income_band)</w:t>
      </w:r>
    </w:p>
    <w:p>
      <w:pPr>
        <w:shd w:fill="F2F2F2" w:color="auto" w:val="clear"/>
        <w:spacing w:after="0" w:line="240"/>
        <w:ind w:left="120" w:right="120"/>
      </w:pPr>
      <w:r>
        <w:rPr>
          <w:rFonts w:ascii="Consolas" w:cs="Consolas" w:eastAsia="Consolas" w:hAnsi="Consolas"/>
          <w:sz w:val="17"/>
          <w:szCs w:val="17"/>
        </w:rPr>
        <w:t xml:space="preserve">SELECT c.customer_segment, COUNT(*) txns, SUM(t.amount_ngn) value, AVG(t.amount_ngn) avg_amt</w:t>
      </w:r>
    </w:p>
    <w:p>
      <w:pPr>
        <w:shd w:fill="F2F2F2" w:color="auto" w:val="clear"/>
        <w:spacing w:after="0" w:line="240"/>
        <w:ind w:left="120" w:right="120"/>
      </w:pPr>
      <w:r>
        <w:rPr>
          <w:rFonts w:ascii="Consolas" w:cs="Consolas" w:eastAsia="Consolas" w:hAnsi="Consolas"/>
          <w:sz w:val="17"/>
          <w:szCs w:val="17"/>
        </w:rPr>
        <w:t xml:space="preserve">FROM transactions t JOIN customers c USING(customer_id) GROUP BY 1 ORDER BY 3 DESC;</w:t>
      </w:r>
    </w:p>
    <w:p>
      <w:pPr>
        <w:shd w:fill="F2F2F2" w:color="auto" w:val="clear"/>
        <w:spacing w:after="0" w:line="240"/>
        <w:ind w:left="120" w:right="120"/>
      </w:pPr>
      <w:r>
        <w:rPr>
          <w:rFonts w:ascii="Consolas" w:cs="Consolas" w:eastAsia="Consolas" w:hAnsi="Consolas"/>
          <w:sz w:val="17"/>
          <w:szCs w:val="17"/>
        </w:rPr>
        <w:t xml:space="preserve"> </w:t>
      </w:r>
    </w:p>
    <w:p>
      <w:pPr>
        <w:shd w:fill="F2F2F2" w:color="auto" w:val="clear"/>
        <w:spacing w:after="0" w:line="240"/>
        <w:ind w:left="120" w:right="120"/>
      </w:pPr>
      <w:r>
        <w:rPr>
          <w:rFonts w:ascii="Consolas" w:cs="Consolas" w:eastAsia="Consolas" w:hAnsi="Consolas"/>
          <w:sz w:val="17"/>
          <w:szCs w:val="17"/>
        </w:rPr>
        <w:t xml:space="preserve">-- Q2 type and channel</w:t>
      </w:r>
    </w:p>
    <w:p>
      <w:pPr>
        <w:shd w:fill="F2F2F2" w:color="auto" w:val="clear"/>
        <w:spacing w:after="0" w:line="240"/>
        <w:ind w:left="120" w:right="120"/>
      </w:pPr>
      <w:r>
        <w:rPr>
          <w:rFonts w:ascii="Consolas" w:cs="Consolas" w:eastAsia="Consolas" w:hAnsi="Consolas"/>
          <w:sz w:val="17"/>
          <w:szCs w:val="17"/>
        </w:rPr>
        <w:t xml:space="preserve">SELECT transaction_type, COUNT(*), SUM(amount_ngn), AVG(amount_ngn) FROM transactions GROUP BY 1 ORDER BY 3 DESC;</w:t>
      </w:r>
    </w:p>
    <w:p>
      <w:pPr>
        <w:shd w:fill="F2F2F2" w:color="auto" w:val="clear"/>
        <w:spacing w:after="0" w:line="240"/>
        <w:ind w:left="120" w:right="120"/>
      </w:pPr>
      <w:r>
        <w:rPr>
          <w:rFonts w:ascii="Consolas" w:cs="Consolas" w:eastAsia="Consolas" w:hAnsi="Consolas"/>
          <w:sz w:val="17"/>
          <w:szCs w:val="17"/>
        </w:rPr>
        <w:t xml:space="preserve">SELECT channel, COUNT(*), SUM(amount_ngn), AVG(amount_ngn) FROM transactions GROUP BY 1 ORDER BY 3 DESC;</w:t>
      </w:r>
    </w:p>
    <w:p>
      <w:pPr>
        <w:shd w:fill="F2F2F2" w:color="auto" w:val="clear"/>
        <w:spacing w:after="0" w:line="240"/>
        <w:ind w:left="120" w:right="120"/>
      </w:pPr>
      <w:r>
        <w:rPr>
          <w:rFonts w:ascii="Consolas" w:cs="Consolas" w:eastAsia="Consolas" w:hAnsi="Consolas"/>
          <w:sz w:val="17"/>
          <w:szCs w:val="17"/>
        </w:rPr>
        <w:t xml:space="preserve"> </w:t>
      </w:r>
    </w:p>
    <w:p>
      <w:pPr>
        <w:shd w:fill="F2F2F2" w:color="auto" w:val="clear"/>
        <w:spacing w:after="0" w:line="240"/>
        <w:ind w:left="120" w:right="120"/>
      </w:pPr>
      <w:r>
        <w:rPr>
          <w:rFonts w:ascii="Consolas" w:cs="Consolas" w:eastAsia="Consolas" w:hAnsi="Consolas"/>
          <w:sz w:val="17"/>
          <w:szCs w:val="17"/>
        </w:rPr>
        <w:t xml:space="preserve">-- Q3 monthly trend</w:t>
      </w:r>
    </w:p>
    <w:p>
      <w:pPr>
        <w:shd w:fill="F2F2F2" w:color="auto" w:val="clear"/>
        <w:spacing w:after="0" w:line="240"/>
        <w:ind w:left="120" w:right="120"/>
      </w:pPr>
      <w:r>
        <w:rPr>
          <w:rFonts w:ascii="Consolas" w:cs="Consolas" w:eastAsia="Consolas" w:hAnsi="Consolas"/>
          <w:sz w:val="17"/>
          <w:szCs w:val="17"/>
        </w:rPr>
        <w:t xml:space="preserve">SELECT DATE_TRUNC('month',txn_ts) m, COUNT(*), SUM(amount_ngn) FROM txn GROUP BY 1 ORDER BY 1;</w:t>
      </w:r>
    </w:p>
    <w:p>
      <w:pPr>
        <w:shd w:fill="F2F2F2" w:color="auto" w:val="clear"/>
        <w:spacing w:after="0" w:line="240"/>
        <w:ind w:left="120" w:right="120"/>
      </w:pPr>
      <w:r>
        <w:rPr>
          <w:rFonts w:ascii="Consolas" w:cs="Consolas" w:eastAsia="Consolas" w:hAnsi="Consolas"/>
          <w:sz w:val="17"/>
          <w:szCs w:val="17"/>
        </w:rPr>
        <w:t xml:space="preserve"> </w:t>
      </w:r>
    </w:p>
    <w:p>
      <w:pPr>
        <w:shd w:fill="F2F2F2" w:color="auto" w:val="clear"/>
        <w:spacing w:after="0" w:line="240"/>
        <w:ind w:left="120" w:right="120"/>
      </w:pPr>
      <w:r>
        <w:rPr>
          <w:rFonts w:ascii="Consolas" w:cs="Consolas" w:eastAsia="Consolas" w:hAnsi="Consolas"/>
          <w:sz w:val="17"/>
          <w:szCs w:val="17"/>
        </w:rPr>
        <w:t xml:space="preserve">-- Q4 status rates by channel</w:t>
      </w:r>
    </w:p>
    <w:p>
      <w:pPr>
        <w:shd w:fill="F2F2F2" w:color="auto" w:val="clear"/>
        <w:spacing w:after="0" w:line="240"/>
        <w:ind w:left="120" w:right="120"/>
      </w:pPr>
      <w:r>
        <w:rPr>
          <w:rFonts w:ascii="Consolas" w:cs="Consolas" w:eastAsia="Consolas" w:hAnsi="Consolas"/>
          <w:sz w:val="17"/>
          <w:szCs w:val="17"/>
        </w:rPr>
        <w:t xml:space="preserve">SELECT channel, COUNT(*) txns,</w:t>
      </w:r>
    </w:p>
    <w:p>
      <w:pPr>
        <w:shd w:fill="F2F2F2" w:color="auto" w:val="clear"/>
        <w:spacing w:after="0" w:line="240"/>
        <w:ind w:left="120" w:right="120"/>
      </w:pPr>
      <w:r>
        <w:rPr>
          <w:rFonts w:ascii="Consolas" w:cs="Consolas" w:eastAsia="Consolas" w:hAnsi="Consolas"/>
          <w:sz w:val="17"/>
          <w:szCs w:val="17"/>
        </w:rPr>
        <w:t xml:space="preserve">  ROUND(100.0*SUM(CASE WHEN transaction_status='Failed'   THEN 1 ELSE 0 END)/COUNT(*),1) failed,</w:t>
      </w:r>
    </w:p>
    <w:p>
      <w:pPr>
        <w:shd w:fill="F2F2F2" w:color="auto" w:val="clear"/>
        <w:spacing w:after="0" w:line="240"/>
        <w:ind w:left="120" w:right="120"/>
      </w:pPr>
      <w:r>
        <w:rPr>
          <w:rFonts w:ascii="Consolas" w:cs="Consolas" w:eastAsia="Consolas" w:hAnsi="Consolas"/>
          <w:sz w:val="17"/>
          <w:szCs w:val="17"/>
        </w:rPr>
        <w:t xml:space="preserve">  ROUND(100.0*SUM(CASE WHEN transaction_status='Reversed' THEN 1 ELSE 0 END)/COUNT(*),1) reversed,</w:t>
      </w:r>
    </w:p>
    <w:p>
      <w:pPr>
        <w:shd w:fill="F2F2F2" w:color="auto" w:val="clear"/>
        <w:spacing w:after="0" w:line="240"/>
        <w:ind w:left="120" w:right="120"/>
      </w:pPr>
      <w:r>
        <w:rPr>
          <w:rFonts w:ascii="Consolas" w:cs="Consolas" w:eastAsia="Consolas" w:hAnsi="Consolas"/>
          <w:sz w:val="17"/>
          <w:szCs w:val="17"/>
        </w:rPr>
        <w:t xml:space="preserve">  ROUND(100.0*SUM(CASE WHEN transaction_status='Pending'  THEN 1 ELSE 0 END)/COUNT(*),1) pending</w:t>
      </w:r>
    </w:p>
    <w:p>
      <w:pPr>
        <w:shd w:fill="F2F2F2" w:color="auto" w:val="clear"/>
        <w:spacing w:after="0" w:line="240"/>
        <w:ind w:left="120" w:right="120"/>
      </w:pPr>
      <w:r>
        <w:rPr>
          <w:rFonts w:ascii="Consolas" w:cs="Consolas" w:eastAsia="Consolas" w:hAnsi="Consolas"/>
          <w:sz w:val="17"/>
          <w:szCs w:val="17"/>
        </w:rPr>
        <w:t xml:space="preserve">FROM transactions GROUP BY 1 ORDER BY failed DESC;</w:t>
      </w:r>
    </w:p>
    <w:p>
      <w:pPr>
        <w:shd w:fill="F2F2F2" w:color="auto" w:val="clear"/>
        <w:spacing w:after="0" w:line="240"/>
        <w:ind w:left="120" w:right="120"/>
      </w:pPr>
      <w:r>
        <w:rPr>
          <w:rFonts w:ascii="Consolas" w:cs="Consolas" w:eastAsia="Consolas" w:hAnsi="Consolas"/>
          <w:sz w:val="17"/>
          <w:szCs w:val="17"/>
        </w:rPr>
        <w:t xml:space="preserve"> </w:t>
      </w:r>
    </w:p>
    <w:p>
      <w:pPr>
        <w:shd w:fill="F2F2F2" w:color="auto" w:val="clear"/>
        <w:spacing w:after="0" w:line="240"/>
        <w:ind w:left="120" w:right="120"/>
      </w:pPr>
      <w:r>
        <w:rPr>
          <w:rFonts w:ascii="Consolas" w:cs="Consolas" w:eastAsia="Consolas" w:hAnsi="Consolas"/>
          <w:sz w:val="17"/>
          <w:szCs w:val="17"/>
        </w:rPr>
        <w:t xml:space="preserve">-- Q5 engagement vs activity</w:t>
      </w:r>
    </w:p>
    <w:p>
      <w:pPr>
        <w:shd w:fill="F2F2F2" w:color="auto" w:val="clear"/>
        <w:spacing w:after="0" w:line="240"/>
        <w:ind w:left="120" w:right="120"/>
      </w:pPr>
      <w:r>
        <w:rPr>
          <w:rFonts w:ascii="Consolas" w:cs="Consolas" w:eastAsia="Consolas" w:hAnsi="Consolas"/>
          <w:sz w:val="17"/>
          <w:szCs w:val="17"/>
        </w:rPr>
        <w:t xml:space="preserve">WITH p AS (SELECT c.customer_id,</w:t>
      </w:r>
    </w:p>
    <w:p>
      <w:pPr>
        <w:shd w:fill="F2F2F2" w:color="auto" w:val="clear"/>
        <w:spacing w:after="0" w:line="240"/>
        <w:ind w:left="120" w:right="120"/>
      </w:pPr>
      <w:r>
        <w:rPr>
          <w:rFonts w:ascii="Consolas" w:cs="Consolas" w:eastAsia="Consolas" w:hAnsi="Consolas"/>
          <w:sz w:val="17"/>
          <w:szCs w:val="17"/>
        </w:rPr>
        <w:t xml:space="preserve">  CASE WHEN digital_engagement_score&lt;50 THEN 'Low' WHEN digital_engagement_score&lt;75 THEN 'Medium' ELSE 'High' END band,</w:t>
      </w:r>
    </w:p>
    <w:p>
      <w:pPr>
        <w:shd w:fill="F2F2F2" w:color="auto" w:val="clear"/>
        <w:spacing w:after="0" w:line="240"/>
        <w:ind w:left="120" w:right="120"/>
      </w:pPr>
      <w:r>
        <w:rPr>
          <w:rFonts w:ascii="Consolas" w:cs="Consolas" w:eastAsia="Consolas" w:hAnsi="Consolas"/>
          <w:sz w:val="17"/>
          <w:szCs w:val="17"/>
        </w:rPr>
        <w:t xml:space="preserve">  COUNT(*) n, SUM(t.amount_ngn) v</w:t>
      </w:r>
    </w:p>
    <w:p>
      <w:pPr>
        <w:shd w:fill="F2F2F2" w:color="auto" w:val="clear"/>
        <w:spacing w:after="0" w:line="240"/>
        <w:ind w:left="120" w:right="120"/>
      </w:pPr>
      <w:r>
        <w:rPr>
          <w:rFonts w:ascii="Consolas" w:cs="Consolas" w:eastAsia="Consolas" w:hAnsi="Consolas"/>
          <w:sz w:val="17"/>
          <w:szCs w:val="17"/>
        </w:rPr>
        <w:t xml:space="preserve">  FROM customers c JOIN transactions t USING(customer_id) GROUP BY 1,2)</w:t>
      </w:r>
    </w:p>
    <w:p>
      <w:pPr>
        <w:shd w:fill="F2F2F2" w:color="auto" w:val="clear"/>
        <w:spacing w:after="0" w:line="240"/>
        <w:ind w:left="120" w:right="120"/>
      </w:pPr>
      <w:r>
        <w:rPr>
          <w:rFonts w:ascii="Consolas" w:cs="Consolas" w:eastAsia="Consolas" w:hAnsi="Consolas"/>
          <w:sz w:val="17"/>
          <w:szCs w:val="17"/>
        </w:rPr>
        <w:t xml:space="preserve">SELECT band, COUNT(*), AVG(n), AVG(v) FROM p GROUP BY 1;</w:t>
      </w:r>
    </w:p>
    <w:p>
      <w:pPr>
        <w:shd w:fill="F2F2F2" w:color="auto" w:val="clear"/>
        <w:spacing w:after="0" w:line="240"/>
        <w:ind w:left="120" w:right="120"/>
      </w:pPr>
      <w:r>
        <w:rPr>
          <w:rFonts w:ascii="Consolas" w:cs="Consolas" w:eastAsia="Consolas" w:hAnsi="Consolas"/>
          <w:sz w:val="17"/>
          <w:szCs w:val="17"/>
        </w:rPr>
        <w:t xml:space="preserve"> </w:t>
      </w:r>
    </w:p>
    <w:p>
      <w:pPr>
        <w:shd w:fill="F2F2F2" w:color="auto" w:val="clear"/>
        <w:spacing w:after="0" w:line="240"/>
        <w:ind w:left="120" w:right="120"/>
      </w:pPr>
      <w:r>
        <w:rPr>
          <w:rFonts w:ascii="Consolas" w:cs="Consolas" w:eastAsia="Consolas" w:hAnsi="Consolas"/>
          <w:sz w:val="17"/>
          <w:szCs w:val="17"/>
        </w:rPr>
        <w:t xml:space="preserve">-- Q6 flag rate by dimension (repeat for channel, transaction_type, transaction_status, international_transaction)</w:t>
      </w:r>
    </w:p>
    <w:p>
      <w:pPr>
        <w:shd w:fill="F2F2F2" w:color="auto" w:val="clear"/>
        <w:spacing w:after="0" w:line="240"/>
        <w:ind w:left="120" w:right="120"/>
      </w:pPr>
      <w:r>
        <w:rPr>
          <w:rFonts w:ascii="Consolas" w:cs="Consolas" w:eastAsia="Consolas" w:hAnsi="Consolas"/>
          <w:sz w:val="17"/>
          <w:szCs w:val="17"/>
        </w:rPr>
        <w:t xml:space="preserve">SELECT transaction_type, COUNT(*) txns,</w:t>
      </w:r>
    </w:p>
    <w:p>
      <w:pPr>
        <w:shd w:fill="F2F2F2" w:color="auto" w:val="clear"/>
        <w:spacing w:after="0" w:line="240"/>
        <w:ind w:left="120" w:right="120"/>
      </w:pPr>
      <w:r>
        <w:rPr>
          <w:rFonts w:ascii="Consolas" w:cs="Consolas" w:eastAsia="Consolas" w:hAnsi="Consolas"/>
          <w:sz w:val="17"/>
          <w:szCs w:val="17"/>
        </w:rPr>
        <w:t xml:space="preserve">  ROUND(100.0*SUM(CASE WHEN risk_review_flag='Yes' THEN 1 ELSE 0 END)/COUNT(*),1) flag_pct</w:t>
      </w:r>
    </w:p>
    <w:p>
      <w:pPr>
        <w:shd w:fill="F2F2F2" w:color="auto" w:val="clear"/>
        <w:spacing w:after="0" w:line="240"/>
        <w:ind w:left="120" w:right="120"/>
      </w:pPr>
      <w:r>
        <w:rPr>
          <w:rFonts w:ascii="Consolas" w:cs="Consolas" w:eastAsia="Consolas" w:hAnsi="Consolas"/>
          <w:sz w:val="17"/>
          <w:szCs w:val="17"/>
        </w:rPr>
        <w:t xml:space="preserve">FROM transactions GROUP BY 1 ORDER BY 3 DESC;</w:t>
      </w:r>
    </w:p>
    <w:p>
      <w:pPr>
        <w:shd w:fill="F2F2F2" w:color="auto" w:val="clear"/>
        <w:spacing w:after="0" w:line="240"/>
        <w:ind w:left="120" w:right="120"/>
      </w:pPr>
      <w:r>
        <w:rPr>
          <w:rFonts w:ascii="Consolas" w:cs="Consolas" w:eastAsia="Consolas" w:hAnsi="Consolas"/>
          <w:sz w:val="17"/>
          <w:szCs w:val="17"/>
        </w:rPr>
        <w:t xml:space="preserve"> </w:t>
      </w:r>
    </w:p>
    <w:p>
      <w:pPr>
        <w:shd w:fill="F2F2F2" w:color="auto" w:val="clear"/>
        <w:spacing w:after="0" w:line="240"/>
        <w:ind w:left="120" w:right="120"/>
      </w:pPr>
      <w:r>
        <w:rPr>
          <w:rFonts w:ascii="Consolas" w:cs="Consolas" w:eastAsia="Consolas" w:hAnsi="Consolas"/>
          <w:sz w:val="17"/>
          <w:szCs w:val="17"/>
        </w:rPr>
        <w:t xml:space="preserve">SELECT CASE WHEN amount_ngn&lt;10000 THEN '1 Under 10k' WHEN amount_ngn&lt;50000 THEN '2 10k-50k'</w:t>
      </w:r>
    </w:p>
    <w:p>
      <w:pPr>
        <w:shd w:fill="F2F2F2" w:color="auto" w:val="clear"/>
        <w:spacing w:after="0" w:line="240"/>
        <w:ind w:left="120" w:right="120"/>
      </w:pPr>
      <w:r>
        <w:rPr>
          <w:rFonts w:ascii="Consolas" w:cs="Consolas" w:eastAsia="Consolas" w:hAnsi="Consolas"/>
          <w:sz w:val="17"/>
          <w:szCs w:val="17"/>
        </w:rPr>
        <w:t xml:space="preserve">            WHEN amount_ngn&lt;200000 THEN '3 50k-200k' ELSE '4 200k+' END band,</w:t>
      </w:r>
    </w:p>
    <w:p>
      <w:pPr>
        <w:shd w:fill="F2F2F2" w:color="auto" w:val="clear"/>
        <w:spacing w:after="0" w:line="240"/>
        <w:ind w:left="120" w:right="120"/>
      </w:pPr>
      <w:r>
        <w:rPr>
          <w:rFonts w:ascii="Consolas" w:cs="Consolas" w:eastAsia="Consolas" w:hAnsi="Consolas"/>
          <w:sz w:val="17"/>
          <w:szCs w:val="17"/>
        </w:rPr>
        <w:t xml:space="preserve">  COUNT(*) txns, ROUND(100.0*SUM(CASE WHEN risk_review_flag='Yes' THEN 1 ELSE 0 END)/COUNT(*),1) flag_pct</w:t>
      </w:r>
    </w:p>
    <w:p>
      <w:pPr>
        <w:shd w:fill="F2F2F2" w:color="auto" w:val="clear"/>
        <w:spacing w:after="0" w:line="240"/>
        <w:ind w:left="120" w:right="120"/>
      </w:pPr>
      <w:r>
        <w:rPr>
          <w:rFonts w:ascii="Consolas" w:cs="Consolas" w:eastAsia="Consolas" w:hAnsi="Consolas"/>
          <w:sz w:val="17"/>
          <w:szCs w:val="17"/>
        </w:rPr>
        <w:t xml:space="preserve">FROM transactions GROUP BY 1 ORDER BY 1;</w:t>
      </w:r>
    </w:p>
    <w:p>
      <w:pPr>
        <w:shd w:fill="F2F2F2" w:color="auto" w:val="clear"/>
        <w:spacing w:after="0" w:line="240"/>
        <w:ind w:left="120" w:right="120"/>
      </w:pPr>
      <w:r>
        <w:rPr>
          <w:rFonts w:ascii="Consolas" w:cs="Consolas" w:eastAsia="Consolas" w:hAnsi="Consolas"/>
          <w:sz w:val="17"/>
          <w:szCs w:val="17"/>
        </w:rPr>
        <w:t xml:space="preserve"> </w:t>
      </w:r>
    </w:p>
    <w:p>
      <w:pPr>
        <w:shd w:fill="F2F2F2" w:color="auto" w:val="clear"/>
        <w:spacing w:after="0" w:line="240"/>
        <w:ind w:left="120" w:right="120"/>
      </w:pPr>
      <w:r>
        <w:rPr>
          <w:rFonts w:ascii="Consolas" w:cs="Consolas" w:eastAsia="Consolas" w:hAnsi="Consolas"/>
          <w:sz w:val="17"/>
          <w:szCs w:val="17"/>
        </w:rPr>
        <w:t xml:space="preserve">-- Q7 non-active accounts transacting</w:t>
      </w:r>
    </w:p>
    <w:p>
      <w:pPr>
        <w:shd w:fill="F2F2F2" w:color="auto" w:val="clear"/>
        <w:spacing w:after="0" w:line="240"/>
        <w:ind w:left="120" w:right="120"/>
      </w:pPr>
      <w:r>
        <w:rPr>
          <w:rFonts w:ascii="Consolas" w:cs="Consolas" w:eastAsia="Consolas" w:hAnsi="Consolas"/>
          <w:sz w:val="17"/>
          <w:szCs w:val="17"/>
        </w:rPr>
        <w:t xml:space="preserve">SELECT c.account_status, COUNT(DISTINCT c.customer_id) customers, COUNT(*) txns, SUM(t.amount_ngn) value</w:t>
      </w:r>
    </w:p>
    <w:p>
      <w:pPr>
        <w:shd w:fill="F2F2F2" w:color="auto" w:val="clear"/>
        <w:spacing w:after="0" w:line="240"/>
        <w:ind w:left="120" w:right="120"/>
      </w:pPr>
      <w:r>
        <w:rPr>
          <w:rFonts w:ascii="Consolas" w:cs="Consolas" w:eastAsia="Consolas" w:hAnsi="Consolas"/>
          <w:sz w:val="17"/>
          <w:szCs w:val="17"/>
        </w:rPr>
        <w:t xml:space="preserve">FROM transactions t JOIN customers c USING(customer_id) GROUP BY 1;</w:t>
      </w:r>
    </w:p>
    <w:p>
      <w:pPr>
        <w:spacing w:after="120"/>
      </w:pPr>
    </w:p>
    <w:p>
      <w:pPr>
        <w:pStyle w:val="Heading3"/>
      </w:pPr>
      <w:r>
        <w:rPr>
          <w:rFonts w:ascii="Arial" w:cs="Arial" w:eastAsia="Arial" w:hAnsi="Arial"/>
        </w:rPr>
        <w:t xml:space="preserve">KPI baseline</w:t>
      </w:r>
    </w:p>
    <w:p>
      <w:pPr>
        <w:shd w:fill="F2F2F2" w:color="auto" w:val="clear"/>
        <w:spacing w:after="0" w:line="240"/>
        <w:ind w:left="120" w:right="120"/>
      </w:pPr>
      <w:r>
        <w:rPr>
          <w:rFonts w:ascii="Consolas" w:cs="Consolas" w:eastAsia="Consolas" w:hAnsi="Consolas"/>
          <w:sz w:val="17"/>
          <w:szCs w:val="17"/>
        </w:rPr>
        <w:t xml:space="preserve">SELECT COUNT(*) total_txns, SUM(amount_ngn) total_value,</w:t>
      </w:r>
    </w:p>
    <w:p>
      <w:pPr>
        <w:shd w:fill="F2F2F2" w:color="auto" w:val="clear"/>
        <w:spacing w:after="0" w:line="240"/>
        <w:ind w:left="120" w:right="120"/>
      </w:pPr>
      <w:r>
        <w:rPr>
          <w:rFonts w:ascii="Consolas" w:cs="Consolas" w:eastAsia="Consolas" w:hAnsi="Consolas"/>
          <w:sz w:val="17"/>
          <w:szCs w:val="17"/>
        </w:rPr>
        <w:t xml:space="preserve">  ROUND(100.0*SUM(CASE WHEN transaction_status='Successful' THEN 1 ELSE 0 END)/COUNT(*),1) success_rate,</w:t>
      </w:r>
    </w:p>
    <w:p>
      <w:pPr>
        <w:shd w:fill="F2F2F2" w:color="auto" w:val="clear"/>
        <w:spacing w:after="0" w:line="240"/>
        <w:ind w:left="120" w:right="120"/>
      </w:pPr>
      <w:r>
        <w:rPr>
          <w:rFonts w:ascii="Consolas" w:cs="Consolas" w:eastAsia="Consolas" w:hAnsi="Consolas"/>
          <w:sz w:val="17"/>
          <w:szCs w:val="17"/>
        </w:rPr>
        <w:t xml:space="preserve">  ROUND(100.0*SUM(CASE WHEN transaction_status IN ('Failed','Reversed') THEN 1 ELSE 0 END)/COUNT(*),1) fail_rev_rate,</w:t>
      </w:r>
    </w:p>
    <w:p>
      <w:pPr>
        <w:shd w:fill="F2F2F2" w:color="auto" w:val="clear"/>
        <w:spacing w:after="0" w:line="240"/>
        <w:ind w:left="120" w:right="120"/>
      </w:pPr>
      <w:r>
        <w:rPr>
          <w:rFonts w:ascii="Consolas" w:cs="Consolas" w:eastAsia="Consolas" w:hAnsi="Consolas"/>
          <w:sz w:val="17"/>
          <w:szCs w:val="17"/>
        </w:rPr>
        <w:t xml:space="preserve">  ROUND(100.0*SUM(CASE WHEN risk_review_flag='Yes' THEN 1 ELSE 0 END)/COUNT(*),1) risk_rate,</w:t>
      </w:r>
    </w:p>
    <w:p>
      <w:pPr>
        <w:shd w:fill="F2F2F2" w:color="auto" w:val="clear"/>
        <w:spacing w:after="0" w:line="240"/>
        <w:ind w:left="120" w:right="120"/>
      </w:pPr>
      <w:r>
        <w:rPr>
          <w:rFonts w:ascii="Consolas" w:cs="Consolas" w:eastAsia="Consolas" w:hAnsi="Consolas"/>
          <w:sz w:val="17"/>
          <w:szCs w:val="17"/>
        </w:rPr>
        <w:t xml:space="preserve">  ROUND(100.0*SUM(CASE WHEN channel IN ('Mobile App','Web','USSD') THEN 1 ELSE 0 END)/COUNT(*),1) digital_share,</w:t>
      </w:r>
    </w:p>
    <w:p>
      <w:pPr>
        <w:shd w:fill="F2F2F2" w:color="auto" w:val="clear"/>
        <w:spacing w:after="0" w:line="240"/>
        <w:ind w:left="120" w:right="120"/>
      </w:pPr>
      <w:r>
        <w:rPr>
          <w:rFonts w:ascii="Consolas" w:cs="Consolas" w:eastAsia="Consolas" w:hAnsi="Consolas"/>
          <w:sz w:val="17"/>
          <w:szCs w:val="17"/>
        </w:rPr>
        <w:t xml:space="preserve">  ROUND(100.0*SUM(CASE WHEN international_transaction='Yes' THEN 1 ELSE 0 END)/COUNT(*),1) intl_share,</w:t>
      </w:r>
    </w:p>
    <w:p>
      <w:pPr>
        <w:shd w:fill="F2F2F2" w:color="auto" w:val="clear"/>
        <w:spacing w:after="0" w:line="240"/>
        <w:ind w:left="120" w:right="120"/>
      </w:pPr>
      <w:r>
        <w:rPr>
          <w:rFonts w:ascii="Consolas" w:cs="Consolas" w:eastAsia="Consolas" w:hAnsi="Consolas"/>
          <w:sz w:val="17"/>
          <w:szCs w:val="17"/>
        </w:rPr>
        <w:t xml:space="preserve">  ROUND(1.0*COUNT(*)/COUNT(DISTINCT customer_id),1) txns_per_customer</w:t>
      </w:r>
    </w:p>
    <w:p>
      <w:pPr>
        <w:shd w:fill="F2F2F2" w:color="auto" w:val="clear"/>
        <w:spacing w:after="0" w:line="240"/>
        <w:ind w:left="120" w:right="120"/>
      </w:pPr>
      <w:r>
        <w:rPr>
          <w:rFonts w:ascii="Consolas" w:cs="Consolas" w:eastAsia="Consolas" w:hAnsi="Consolas"/>
          <w:sz w:val="17"/>
          <w:szCs w:val="17"/>
        </w:rPr>
        <w:t xml:space="preserve">FROM transactions;</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F7F7F"/>
        <w:sz w:val="16"/>
        <w:szCs w:val="16"/>
      </w:rPr>
      <w:t xml:space="preserve">FinTrust Week 1 · Data Analytics Track   |   Page </w:t>
    </w:r>
    <w:r>
      <w:rPr>
        <w:rFonts w:ascii="Arial" w:cs="Arial" w:eastAsia="Arial" w:hAnsi="Arial"/>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60"/>
      <w:outlineLvl w:val="0"/>
    </w:pPr>
    <w:rPr>
      <w:rFonts w:ascii="Arial" w:cs="Arial" w:eastAsia="Arial" w:hAnsi="Arial"/>
      <w:b/>
      <w:bCs/>
      <w:color w:val="1F3864"/>
      <w:sz w:val="32"/>
      <w:szCs w:val="32"/>
    </w:rPr>
  </w:style>
  <w:style w:type="paragraph" w:styleId="Heading2">
    <w:name w:val="Heading 2"/>
    <w:basedOn w:val="Normal"/>
    <w:next w:val="Normal"/>
    <w:qFormat/>
    <w:pPr>
      <w:keepNext/>
      <w:spacing w:after="100" w:before="260"/>
      <w:outlineLvl w:val="1"/>
    </w:pPr>
    <w:rPr>
      <w:rFonts w:ascii="Arial" w:cs="Arial" w:eastAsia="Arial" w:hAnsi="Arial"/>
      <w:b/>
      <w:bCs/>
      <w:color w:val="2E5597"/>
      <w:sz w:val="25"/>
      <w:szCs w:val="25"/>
    </w:rPr>
  </w:style>
  <w:style w:type="paragraph" w:styleId="Heading3">
    <w:name w:val="Heading 3"/>
    <w:basedOn w:val="Normal"/>
    <w:next w:val="Normal"/>
    <w:qFormat/>
    <w:pPr>
      <w:keepNext/>
      <w:spacing w:after="80" w:before="200"/>
      <w:outlineLvl w:val="2"/>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9516f44adeae6271273d634d6e9ee370e7fe3513.png"/><Relationship Id="rId9" Type="http://schemas.openxmlformats.org/officeDocument/2006/relationships/image" Target="media/4f374304ed27b7f19c51fd1fbac69c2392ab5441.png"/><Relationship Id="rId10" Type="http://schemas.openxmlformats.org/officeDocument/2006/relationships/image" Target="media/b660988e8e0acb11e4e41f332f9ec991fb5bafea.png"/><Relationship Id="rId11" Type="http://schemas.openxmlformats.org/officeDocument/2006/relationships/image" Target="media/82e8698e3882e8fa6064c1788e433ebefb78f9ef.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2026-09-20T20:22:49.661Z</dcterms:created>
  <dcterms:modified xsi:type="dcterms:W3CDTF">2026-09-20T20:22:49.661Z</dcterms:modified>
</cp:coreProperties>
</file>

<file path=docProps/custom.xml><?xml version="1.0" encoding="utf-8"?>
<Properties xmlns="http://schemas.openxmlformats.org/officeDocument/2006/custom-properties" xmlns:vt="http://schemas.openxmlformats.org/officeDocument/2006/docPropsVTypes"/>
</file>