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继续撩一撩Java synchronized</w:t>
      </w:r>
    </w:p>
    <w:p>
      <w:r>
        <w:t>在印象中</w:t>
      </w:r>
      <w:r>
        <w:t>Java synchronized</w:t>
      </w:r>
      <w:r>
        <w:t>关键字对每个Java工程狮来说都耳熟能起痒，讲起来滔滔不绝！但今天还是要再聊聊</w:t>
      </w:r>
      <w:r>
        <w:t>synchronized</w:t>
      </w:r>
      <w:r>
        <w:t>。</w:t>
      </w:r>
    </w:p>
    <w:p>
      <w:r>
        <w:t>synchronized</w:t>
      </w:r>
      <w:r>
        <w:t>关键字有各种用法，这里就只说一种。先看下面问题：</w:t>
      </w:r>
    </w:p>
    <w:p>
      <w:pPr>
        <w:rPr>
          <w:i/>
          <w:iCs/>
        </w:rPr>
      </w:pPr>
      <w:r>
        <w:rPr>
          <w:i/>
          <w:iCs/>
        </w:rPr>
        <w:t>将</w:t>
      </w:r>
      <w:r>
        <w:rPr>
          <w:i/>
          <w:iCs/>
        </w:rPr>
        <w:t>synchronized</w:t>
      </w:r>
      <w:r>
        <w:rPr>
          <w:i/>
          <w:iCs/>
        </w:rPr>
        <w:t>关键放在一个类A的普通public方法func前，生成A的两个实例a1和a2。分别将这个两个实例交给两个线程，同时调用对应的方法func，它们可以“并发”运行吗？</w:t>
      </w:r>
    </w:p>
    <w:p>
      <w:pPr>
        <w:rPr>
          <w:i/>
          <w:iCs/>
        </w:rPr>
      </w:pPr>
    </w:p>
    <w:p>
      <w:r>
        <w:t>Thread1: a1.func();</w:t>
      </w:r>
    </w:p>
    <w:p>
      <w:r>
        <w:t>Thread</w:t>
      </w:r>
      <w:r>
        <w:t>2</w:t>
      </w:r>
      <w:r>
        <w:t xml:space="preserve">: </w:t>
      </w:r>
      <w:r>
        <w:t>a2</w:t>
      </w:r>
      <w:r>
        <w:t>.func()</w:t>
      </w:r>
      <w:r>
        <w:t>;</w:t>
      </w:r>
    </w:p>
    <w:p>
      <w:pPr>
        <w:rPr>
          <w:i/>
          <w:iCs/>
        </w:rPr>
      </w:pPr>
    </w:p>
    <w:p>
      <w:r>
        <w:t xml:space="preserve">相信90%的Java工程师看到这个问题，嘴角都翘起来了。  </w:t>
      </w:r>
    </w:p>
    <w:p>
      <w:r>
        <w:t>而我面试过程中我所得到的答案统计结果是：选择“不可以”的结果数大于50%。</w:t>
      </w:r>
    </w:p>
    <w:p>
      <w:r>
        <w:t>先不管答案是什么，</w:t>
      </w:r>
      <w:r>
        <w:t>无论回答什么，接下来的问题一般是问：为什么呢？可以解释一下吗？</w:t>
      </w:r>
    </w:p>
    <w:p>
      <w:r>
        <w:t>而这个问题听到的答案就更不标准了，甚至原因和答案都是矛盾的！</w:t>
      </w:r>
    </w:p>
    <w:p/>
    <w:p>
      <w:r>
        <w:t>抛开前面的问题回到Java语言</w:t>
      </w:r>
      <w:r>
        <w:t>本身</w:t>
      </w:r>
      <w:r>
        <w:t>，Java语言支持多线程，而支持的核心是线程同步：即在不同线程之间协调运行和数据访问。</w:t>
      </w:r>
      <w:r>
        <w:t>synchronized</w:t>
      </w:r>
      <w:r>
        <w:t>就是用来协调</w:t>
      </w:r>
      <w:r>
        <w:t>线程运行和数据访问</w:t>
      </w:r>
      <w:r>
        <w:t>的。</w:t>
      </w:r>
    </w:p>
    <w:p/>
    <w:p>
      <w:r>
        <w:t>运行s</w:t>
      </w:r>
      <w:r>
        <w:t>ynchronized</w:t>
      </w:r>
      <w:r>
        <w:t>对应的方法是以获取锁开始，释放锁结束。那么锁又在哪里呢？</w:t>
      </w:r>
    </w:p>
    <w:p>
      <w:r>
        <w:t>简单说，锁就在对象头的Mark Word中。或者准确的说，在对象没有膨胀为重量级锁之前，锁就在每个对象头的</w:t>
      </w:r>
      <w:r>
        <w:t>Mark Word中</w:t>
      </w:r>
      <w:r>
        <w:t>（可参考截图）。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29200" cy="2447925"/>
            <wp:effectExtent l="0" t="0" r="0" b="158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3390900"/>
            <wp:effectExtent l="0" t="0" r="15875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t>如果两个不同线程并发同步访问同一个对象，轻量级锁将膨胀为重量级Object Monitor。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t>Monitor</w:t>
      </w:r>
      <w:r>
        <w:t>包含三部分：</w:t>
      </w:r>
      <w:r>
        <w:rPr>
          <w:lang w:val="en-US" w:eastAsia="zh-CN"/>
        </w:rPr>
        <w:t>entry set</w:t>
      </w:r>
      <w:r>
        <w:rPr>
          <w:lang w:eastAsia="zh-CN"/>
        </w:rPr>
        <w:t>，Owner，wait set。</w:t>
      </w:r>
    </w:p>
    <w:p>
      <w:r>
        <w:t>当线程到达Monitor区域时，它先被放置到</w:t>
      </w:r>
      <w:r>
        <w:rPr>
          <w:lang w:val="en-US" w:eastAsia="zh-CN"/>
        </w:rPr>
        <w:t>entry set</w:t>
      </w:r>
      <w:r>
        <w:rPr>
          <w:lang w:eastAsia="zh-CN"/>
        </w:rPr>
        <w:t>，</w:t>
      </w:r>
      <w:r>
        <w:rPr>
          <w:lang w:val="en-US" w:eastAsia="zh-CN"/>
        </w:rPr>
        <w:t>entry set</w:t>
      </w:r>
      <w:r>
        <w:rPr>
          <w:lang w:eastAsia="zh-CN"/>
        </w:rPr>
        <w:t>相当于大楼的前门大厅。如果大厅为空且</w:t>
      </w:r>
      <w:r>
        <w:t>Monitor</w:t>
      </w:r>
      <w:r>
        <w:t>没有主人，则</w:t>
      </w:r>
      <w:r>
        <w:t>线程</w:t>
      </w:r>
      <w:r>
        <w:t>获取Monitor成为Owner继续执行，执行完成后退出</w:t>
      </w:r>
      <w:r>
        <w:t>Monitor</w:t>
      </w:r>
      <w:r>
        <w:t>。</w:t>
      </w:r>
    </w:p>
    <w:p>
      <w:r>
        <w:t>当Owner运行过程中，调用wait则会释放monitor进入wait set；如果调用notify则不会立即释放owner，如果稍后释放Owner，则某一个等待线程会复活。</w:t>
      </w:r>
    </w:p>
    <w:p>
      <w:r>
        <w:t>如果前一个Owner不调用notify，那么只有entry set中的等待线程有资格成为下一任owner。如果调用了notify，则entry set中线程和wait set中的线程同时竞标下一任Owner。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r>
        <w:drawing>
          <wp:inline distT="0" distB="0" distL="114300" distR="114300">
            <wp:extent cx="5271770" cy="2468245"/>
            <wp:effectExtent l="0" t="0" r="1143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172075" cy="37719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"https://www.artima.com/insidejvm/ed2/threadsynch.html"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https://www.artima.com/insidejvm/ed2/threadsynch.html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"https://wiki.openjdk.java.net/display/HotSpot/Synchronization"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https://wiki.openjdk.java.net/display/HotSpot/Synchronization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"https://george24601.github.io/2018/12/23/synchronized.html"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https://george24601.github.io/2018/12/23/synchronized.html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"https://www.itqiankun.com/article/bias-lightweight-synchronized-lock"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https://www.itqiankun.com/article/bias-lightweight-synchronized-lock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 xml:space="preserve">[Agesen99] O. Agesen, D. Detlefs, A. Garthwaite, R. Knippel, Y. S. Ramakrishna, D. White: </w:t>
      </w:r>
      <w:r>
        <w:rPr>
          <w:rStyle w:val="4"/>
        </w:rPr>
        <w:t>An Efficient Meta-lock for Implementing Ubiquitous Synchronization</w:t>
      </w:r>
      <w:r>
        <w:t xml:space="preserve">. In </w:t>
      </w:r>
      <w:r>
        <w:rPr>
          <w:rStyle w:val="4"/>
        </w:rPr>
        <w:t>Proceedings of the ACM SIGPLAN Conference on Object-Oriented Programming, Systems, Languages, and Applications</w:t>
      </w:r>
      <w:r>
        <w:t xml:space="preserve">, pages 207-222. ACM Press, 1999. </w:t>
      </w:r>
      <w:r>
        <w:fldChar w:fldCharType="begin"/>
      </w:r>
      <w:r>
        <w:instrText xml:space="preserve"> HYPERLINK "http://dx.doi.org/10.1145/320384.320402" </w:instrText>
      </w:r>
      <w:r>
        <w:fldChar w:fldCharType="separate"/>
      </w:r>
      <w:r>
        <w:rPr>
          <w:rStyle w:val="5"/>
        </w:rPr>
        <w:t>doi:10.1145/320384.320402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 xml:space="preserve">[Bacon98] D. F. Bacon, R. Konuru, C. Murthy, M. Serrano: </w:t>
      </w:r>
      <w:r>
        <w:rPr>
          <w:rStyle w:val="4"/>
        </w:rPr>
        <w:t>Thin Locks: Featherweight Synchronization for Java</w:t>
      </w:r>
      <w:r>
        <w:t xml:space="preserve">. In </w:t>
      </w:r>
      <w:r>
        <w:rPr>
          <w:rStyle w:val="4"/>
        </w:rPr>
        <w:t>Proceedings of the ACM SIGPLAN Conference on Programming Language Design and Implementation</w:t>
      </w:r>
      <w:r>
        <w:t xml:space="preserve">, pages 258-268. ACM Press, 1998. </w:t>
      </w:r>
      <w:r>
        <w:fldChar w:fldCharType="begin"/>
      </w:r>
      <w:r>
        <w:instrText xml:space="preserve"> HYPERLINK "http://dx.doi.org/10.1145/277650.277734" </w:instrText>
      </w:r>
      <w:r>
        <w:fldChar w:fldCharType="separate"/>
      </w:r>
      <w:r>
        <w:rPr>
          <w:rStyle w:val="5"/>
        </w:rPr>
        <w:t>doi:10.1145/277650.277734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EE0F"/>
    <w:rsid w:val="277F97E0"/>
    <w:rsid w:val="357FEE0F"/>
    <w:rsid w:val="39BB35A5"/>
    <w:rsid w:val="4F9CCF62"/>
    <w:rsid w:val="7AACEE16"/>
    <w:rsid w:val="A7D293DD"/>
    <w:rsid w:val="BB72FBDA"/>
    <w:rsid w:val="BF0FBB3D"/>
    <w:rsid w:val="BFF76F72"/>
    <w:rsid w:val="D3CA8605"/>
    <w:rsid w:val="D75F3DAB"/>
    <w:rsid w:val="D7C7623E"/>
    <w:rsid w:val="FF7FD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2020-11-03T13:48:00Z</dcterms:created>
  <dc:creator>lihanhui</dc:creator>
  <cp:lastModifiedBy>lihanhui</cp:lastModifiedBy>
  <dcterms:modified xsi:type="dcterms:W3CDTF">2020-11-03T20:17:14Z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