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300587B">
      <w:pPr>
        <w:spacing w:line="360" w:lineRule="auto"/>
      </w:pPr>
      <w:r>
        <w:drawing>
          <wp:inline distT="0" distB="0" distL="114300" distR="114300">
            <wp:extent cx="5274310" cy="1475740"/>
            <wp:effectExtent l="0" t="0" r="2540"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6"/>
                    <a:stretch>
                      <a:fillRect/>
                    </a:stretch>
                  </pic:blipFill>
                  <pic:spPr>
                    <a:xfrm>
                      <a:off x="0" y="0"/>
                      <a:ext cx="5274310" cy="1475740"/>
                    </a:xfrm>
                    <a:prstGeom prst="rect">
                      <a:avLst/>
                    </a:prstGeom>
                    <a:noFill/>
                    <a:ln>
                      <a:noFill/>
                    </a:ln>
                  </pic:spPr>
                </pic:pic>
              </a:graphicData>
            </a:graphic>
          </wp:inline>
        </w:drawing>
      </w:r>
    </w:p>
    <w:p w14:paraId="06034E6B">
      <w:pPr>
        <w:spacing w:line="360" w:lineRule="auto"/>
        <w:jc w:val="center"/>
      </w:pPr>
      <w:r>
        <w:rPr>
          <w:rFonts w:hint="eastAsia" w:ascii="宋体" w:hAnsi="宋体"/>
          <w:b/>
          <w:bCs/>
          <w:sz w:val="44"/>
          <w:szCs w:val="44"/>
        </w:rPr>
        <w:t>《</w:t>
      </w:r>
      <w:r>
        <w:rPr>
          <w:rFonts w:hint="eastAsia" w:ascii="宋体" w:hAnsi="宋体"/>
          <w:b/>
          <w:bCs/>
          <w:sz w:val="44"/>
          <w:szCs w:val="44"/>
          <w:lang w:val="en-US" w:eastAsia="zh-CN"/>
        </w:rPr>
        <w:t>物流包装与实务</w:t>
      </w:r>
      <w:r>
        <w:rPr>
          <w:rFonts w:hint="eastAsia" w:ascii="宋体" w:hAnsi="宋体"/>
          <w:b/>
          <w:bCs/>
          <w:sz w:val="44"/>
          <w:szCs w:val="44"/>
        </w:rPr>
        <w:t>》</w:t>
      </w:r>
      <w:r>
        <w:rPr>
          <w:rFonts w:hint="eastAsia" w:ascii="宋体" w:hAnsi="宋体"/>
          <w:b/>
          <w:bCs/>
          <w:sz w:val="44"/>
          <w:szCs w:val="44"/>
          <w:lang w:val="en-US" w:eastAsia="zh-CN"/>
        </w:rPr>
        <w:t>结课</w:t>
      </w:r>
      <w:r>
        <w:rPr>
          <w:rFonts w:hint="eastAsia" w:ascii="宋体" w:hAnsi="宋体"/>
          <w:b/>
          <w:bCs/>
          <w:sz w:val="44"/>
          <w:szCs w:val="44"/>
        </w:rPr>
        <w:t>论文</w:t>
      </w:r>
    </w:p>
    <w:p w14:paraId="398C64F1">
      <w:pPr>
        <w:spacing w:line="360" w:lineRule="auto"/>
        <w:ind w:firstLine="1325" w:firstLineChars="300"/>
        <w:rPr>
          <w:b/>
          <w:bCs/>
          <w:sz w:val="44"/>
          <w:szCs w:val="44"/>
        </w:rPr>
      </w:pPr>
    </w:p>
    <w:p w14:paraId="28ED1C50">
      <w:pPr>
        <w:tabs>
          <w:tab w:val="left" w:pos="8640"/>
        </w:tabs>
        <w:spacing w:line="360" w:lineRule="auto"/>
        <w:ind w:firstLine="1325" w:firstLineChars="300"/>
        <w:rPr>
          <w:b/>
          <w:bCs/>
          <w:sz w:val="44"/>
          <w:szCs w:val="44"/>
        </w:rPr>
      </w:pPr>
    </w:p>
    <w:p w14:paraId="5C05BF6C">
      <w:pPr>
        <w:spacing w:line="360" w:lineRule="auto"/>
        <w:jc w:val="center"/>
        <w:rPr>
          <w:rFonts w:ascii="黑体" w:hAnsi="黑体" w:eastAsia="黑体"/>
          <w:color w:val="000000"/>
          <w:sz w:val="44"/>
          <w:szCs w:val="44"/>
        </w:rPr>
      </w:pPr>
    </w:p>
    <w:p w14:paraId="070080AC">
      <w:pPr>
        <w:spacing w:line="360" w:lineRule="auto"/>
        <w:jc w:val="center"/>
        <w:rPr>
          <w:color w:val="000000"/>
          <w:sz w:val="28"/>
          <w:szCs w:val="28"/>
        </w:rPr>
      </w:pPr>
      <w:r>
        <w:rPr>
          <w:rFonts w:hint="eastAsia" w:ascii="黑体" w:hAnsi="黑体" w:eastAsia="黑体"/>
          <w:color w:val="000000"/>
          <w:sz w:val="44"/>
          <w:szCs w:val="44"/>
        </w:rPr>
        <w:t>绿色包装与可持续发展</w:t>
      </w:r>
    </w:p>
    <w:p w14:paraId="64836A28">
      <w:pPr>
        <w:spacing w:line="360" w:lineRule="auto"/>
        <w:jc w:val="center"/>
        <w:rPr>
          <w:color w:val="000000"/>
          <w:sz w:val="28"/>
          <w:szCs w:val="28"/>
        </w:rPr>
      </w:pPr>
    </w:p>
    <w:p w14:paraId="70BD063A">
      <w:pPr>
        <w:spacing w:line="360" w:lineRule="auto"/>
        <w:jc w:val="center"/>
        <w:rPr>
          <w:color w:val="000000"/>
          <w:sz w:val="28"/>
          <w:szCs w:val="28"/>
        </w:rPr>
      </w:pPr>
    </w:p>
    <w:p w14:paraId="0487BFB4">
      <w:pPr>
        <w:spacing w:line="360" w:lineRule="auto"/>
        <w:rPr>
          <w:color w:val="000000"/>
          <w:sz w:val="28"/>
          <w:szCs w:val="28"/>
        </w:rPr>
      </w:pPr>
    </w:p>
    <w:p w14:paraId="0121E6D3">
      <w:pPr>
        <w:spacing w:line="360" w:lineRule="auto"/>
        <w:rPr>
          <w:color w:val="000000"/>
          <w:sz w:val="28"/>
          <w:szCs w:val="28"/>
        </w:rPr>
      </w:pPr>
    </w:p>
    <w:p w14:paraId="7B0755C8">
      <w:pPr>
        <w:spacing w:line="360" w:lineRule="auto"/>
        <w:jc w:val="center"/>
        <w:rPr>
          <w:b/>
          <w:sz w:val="28"/>
          <w:szCs w:val="28"/>
        </w:rPr>
      </w:pPr>
    </w:p>
    <w:tbl>
      <w:tblPr>
        <w:tblStyle w:val="11"/>
        <w:tblW w:w="0" w:type="auto"/>
        <w:jc w:val="center"/>
        <w:tblLayout w:type="autofit"/>
        <w:tblCellMar>
          <w:top w:w="0" w:type="dxa"/>
          <w:left w:w="108" w:type="dxa"/>
          <w:bottom w:w="0" w:type="dxa"/>
          <w:right w:w="108" w:type="dxa"/>
        </w:tblCellMar>
      </w:tblPr>
      <w:tblGrid>
        <w:gridCol w:w="2093"/>
        <w:gridCol w:w="4057"/>
      </w:tblGrid>
      <w:tr w14:paraId="4578C140">
        <w:tblPrEx>
          <w:tblCellMar>
            <w:top w:w="0" w:type="dxa"/>
            <w:left w:w="108" w:type="dxa"/>
            <w:bottom w:w="0" w:type="dxa"/>
            <w:right w:w="108" w:type="dxa"/>
          </w:tblCellMar>
        </w:tblPrEx>
        <w:trPr>
          <w:jc w:val="center"/>
        </w:trPr>
        <w:tc>
          <w:tcPr>
            <w:tcW w:w="2093" w:type="dxa"/>
            <w:vAlign w:val="center"/>
          </w:tcPr>
          <w:p w14:paraId="7E26A2B1">
            <w:pPr>
              <w:spacing w:line="360" w:lineRule="auto"/>
              <w:jc w:val="distribute"/>
              <w:rPr>
                <w:b/>
                <w:sz w:val="28"/>
                <w:szCs w:val="28"/>
              </w:rPr>
            </w:pPr>
            <w:r>
              <w:rPr>
                <w:rFonts w:hint="eastAsia"/>
                <w:sz w:val="28"/>
                <w:szCs w:val="28"/>
              </w:rPr>
              <w:t>学院名称：</w:t>
            </w:r>
          </w:p>
        </w:tc>
        <w:tc>
          <w:tcPr>
            <w:tcW w:w="4057" w:type="dxa"/>
            <w:tcBorders>
              <w:bottom w:val="single" w:color="auto" w:sz="4" w:space="0"/>
            </w:tcBorders>
          </w:tcPr>
          <w:p w14:paraId="3F786AF7">
            <w:pPr>
              <w:spacing w:line="360" w:lineRule="auto"/>
              <w:jc w:val="center"/>
              <w:rPr>
                <w:b/>
                <w:sz w:val="28"/>
                <w:szCs w:val="28"/>
              </w:rPr>
            </w:pPr>
            <w:r>
              <w:rPr>
                <w:rFonts w:hint="eastAsia"/>
                <w:sz w:val="28"/>
                <w:szCs w:val="28"/>
              </w:rPr>
              <w:t>（四号宋体）</w:t>
            </w:r>
          </w:p>
        </w:tc>
      </w:tr>
      <w:tr w14:paraId="3FD9EFD1">
        <w:tblPrEx>
          <w:tblCellMar>
            <w:top w:w="0" w:type="dxa"/>
            <w:left w:w="108" w:type="dxa"/>
            <w:bottom w:w="0" w:type="dxa"/>
            <w:right w:w="108" w:type="dxa"/>
          </w:tblCellMar>
        </w:tblPrEx>
        <w:trPr>
          <w:jc w:val="center"/>
        </w:trPr>
        <w:tc>
          <w:tcPr>
            <w:tcW w:w="2093" w:type="dxa"/>
            <w:vAlign w:val="center"/>
          </w:tcPr>
          <w:p w14:paraId="09668F5D">
            <w:pPr>
              <w:spacing w:line="360" w:lineRule="auto"/>
              <w:jc w:val="distribute"/>
              <w:rPr>
                <w:b/>
                <w:sz w:val="28"/>
                <w:szCs w:val="28"/>
              </w:rPr>
            </w:pPr>
            <w:r>
              <w:rPr>
                <w:rFonts w:hint="eastAsia"/>
                <w:sz w:val="28"/>
                <w:szCs w:val="28"/>
              </w:rPr>
              <w:t>专业班级：</w:t>
            </w:r>
          </w:p>
        </w:tc>
        <w:tc>
          <w:tcPr>
            <w:tcW w:w="4057" w:type="dxa"/>
            <w:tcBorders>
              <w:top w:val="single" w:color="auto" w:sz="4" w:space="0"/>
              <w:bottom w:val="single" w:color="auto" w:sz="4" w:space="0"/>
            </w:tcBorders>
          </w:tcPr>
          <w:p w14:paraId="17AE36AB">
            <w:pPr>
              <w:spacing w:line="360" w:lineRule="auto"/>
              <w:jc w:val="center"/>
              <w:rPr>
                <w:b/>
                <w:sz w:val="28"/>
                <w:szCs w:val="28"/>
              </w:rPr>
            </w:pPr>
            <w:r>
              <w:rPr>
                <w:rFonts w:hint="eastAsia"/>
                <w:sz w:val="28"/>
                <w:szCs w:val="28"/>
              </w:rPr>
              <w:t>（四号宋体）</w:t>
            </w:r>
          </w:p>
        </w:tc>
      </w:tr>
      <w:tr w14:paraId="2B650441">
        <w:tblPrEx>
          <w:tblCellMar>
            <w:top w:w="0" w:type="dxa"/>
            <w:left w:w="108" w:type="dxa"/>
            <w:bottom w:w="0" w:type="dxa"/>
            <w:right w:w="108" w:type="dxa"/>
          </w:tblCellMar>
        </w:tblPrEx>
        <w:trPr>
          <w:jc w:val="center"/>
        </w:trPr>
        <w:tc>
          <w:tcPr>
            <w:tcW w:w="2093" w:type="dxa"/>
            <w:vAlign w:val="center"/>
          </w:tcPr>
          <w:p w14:paraId="7133C3F3">
            <w:pPr>
              <w:spacing w:line="360" w:lineRule="auto"/>
              <w:jc w:val="distribute"/>
              <w:rPr>
                <w:b/>
                <w:sz w:val="28"/>
                <w:szCs w:val="28"/>
              </w:rPr>
            </w:pPr>
            <w:r>
              <w:rPr>
                <w:rFonts w:hint="eastAsia"/>
                <w:sz w:val="28"/>
                <w:szCs w:val="28"/>
              </w:rPr>
              <w:t>学生姓名：</w:t>
            </w:r>
          </w:p>
        </w:tc>
        <w:tc>
          <w:tcPr>
            <w:tcW w:w="4057" w:type="dxa"/>
            <w:tcBorders>
              <w:top w:val="single" w:color="auto" w:sz="4" w:space="0"/>
              <w:bottom w:val="single" w:color="auto" w:sz="4" w:space="0"/>
            </w:tcBorders>
          </w:tcPr>
          <w:p w14:paraId="563411A6">
            <w:pPr>
              <w:spacing w:line="360" w:lineRule="auto"/>
              <w:jc w:val="center"/>
              <w:rPr>
                <w:b/>
                <w:sz w:val="28"/>
                <w:szCs w:val="28"/>
              </w:rPr>
            </w:pPr>
            <w:r>
              <w:rPr>
                <w:rFonts w:hint="eastAsia"/>
                <w:sz w:val="28"/>
                <w:szCs w:val="28"/>
              </w:rPr>
              <w:t>（四号宋体）</w:t>
            </w:r>
          </w:p>
        </w:tc>
      </w:tr>
      <w:tr w14:paraId="40A64C7F">
        <w:tblPrEx>
          <w:tblCellMar>
            <w:top w:w="0" w:type="dxa"/>
            <w:left w:w="108" w:type="dxa"/>
            <w:bottom w:w="0" w:type="dxa"/>
            <w:right w:w="108" w:type="dxa"/>
          </w:tblCellMar>
        </w:tblPrEx>
        <w:trPr>
          <w:jc w:val="center"/>
        </w:trPr>
        <w:tc>
          <w:tcPr>
            <w:tcW w:w="2093" w:type="dxa"/>
            <w:vAlign w:val="center"/>
          </w:tcPr>
          <w:p w14:paraId="64E01E37">
            <w:pPr>
              <w:spacing w:line="360" w:lineRule="auto"/>
              <w:jc w:val="distribute"/>
              <w:rPr>
                <w:b/>
                <w:sz w:val="28"/>
                <w:szCs w:val="28"/>
              </w:rPr>
            </w:pPr>
            <w:r>
              <w:rPr>
                <w:rFonts w:hint="eastAsia"/>
                <w:sz w:val="28"/>
                <w:szCs w:val="28"/>
              </w:rPr>
              <w:t>学    号：</w:t>
            </w:r>
          </w:p>
        </w:tc>
        <w:tc>
          <w:tcPr>
            <w:tcW w:w="4057" w:type="dxa"/>
            <w:tcBorders>
              <w:top w:val="single" w:color="auto" w:sz="4" w:space="0"/>
              <w:bottom w:val="single" w:color="auto" w:sz="4" w:space="0"/>
            </w:tcBorders>
          </w:tcPr>
          <w:p w14:paraId="51AB4A25">
            <w:pPr>
              <w:spacing w:line="360" w:lineRule="auto"/>
              <w:jc w:val="center"/>
              <w:rPr>
                <w:b/>
                <w:sz w:val="28"/>
                <w:szCs w:val="28"/>
              </w:rPr>
            </w:pPr>
            <w:r>
              <w:rPr>
                <w:rFonts w:hint="eastAsia"/>
                <w:sz w:val="28"/>
                <w:szCs w:val="28"/>
              </w:rPr>
              <w:t>（四号宋体）</w:t>
            </w:r>
          </w:p>
        </w:tc>
      </w:tr>
    </w:tbl>
    <w:p w14:paraId="15C0BFEE">
      <w:pPr>
        <w:spacing w:line="360" w:lineRule="auto"/>
        <w:jc w:val="center"/>
        <w:rPr>
          <w:sz w:val="24"/>
        </w:rPr>
      </w:pPr>
    </w:p>
    <w:p w14:paraId="393E325F">
      <w:pPr>
        <w:spacing w:line="360" w:lineRule="auto"/>
        <w:jc w:val="center"/>
        <w:rPr>
          <w:sz w:val="24"/>
        </w:rPr>
      </w:pPr>
    </w:p>
    <w:p w14:paraId="0A67812C">
      <w:pPr>
        <w:spacing w:line="360" w:lineRule="auto"/>
        <w:jc w:val="center"/>
        <w:rPr>
          <w:sz w:val="24"/>
        </w:rPr>
      </w:pPr>
      <w:r>
        <w:rPr>
          <w:rFonts w:hint="eastAsia"/>
          <w:sz w:val="24"/>
        </w:rPr>
        <w:t>2</w:t>
      </w:r>
      <w:r>
        <w:rPr>
          <w:sz w:val="24"/>
        </w:rPr>
        <w:t>02</w:t>
      </w:r>
      <w:r>
        <w:rPr>
          <w:rFonts w:hint="eastAsia"/>
          <w:sz w:val="24"/>
        </w:rPr>
        <w:t>6</w:t>
      </w:r>
      <w:r>
        <w:rPr>
          <w:sz w:val="24"/>
        </w:rPr>
        <w:t xml:space="preserve">  </w:t>
      </w:r>
      <w:r>
        <w:rPr>
          <w:rFonts w:hint="eastAsia"/>
          <w:sz w:val="24"/>
        </w:rPr>
        <w:t xml:space="preserve">年  </w:t>
      </w:r>
      <w:r>
        <w:rPr>
          <w:sz w:val="24"/>
        </w:rPr>
        <w:t>0</w:t>
      </w:r>
      <w:r>
        <w:rPr>
          <w:rFonts w:hint="eastAsia"/>
          <w:sz w:val="24"/>
        </w:rPr>
        <w:t>6</w:t>
      </w:r>
      <w:r>
        <w:rPr>
          <w:sz w:val="24"/>
        </w:rPr>
        <w:t xml:space="preserve">  </w:t>
      </w:r>
      <w:r>
        <w:rPr>
          <w:rFonts w:hint="eastAsia"/>
          <w:sz w:val="24"/>
        </w:rPr>
        <w:t>月</w:t>
      </w:r>
    </w:p>
    <w:p w14:paraId="6AB350D3">
      <w:pPr>
        <w:spacing w:line="360" w:lineRule="auto"/>
      </w:pPr>
    </w:p>
    <w:p w14:paraId="565E516B">
      <w:pPr>
        <w:spacing w:line="360" w:lineRule="auto"/>
      </w:pPr>
    </w:p>
    <w:p w14:paraId="6C8AC0F6">
      <w:pPr>
        <w:spacing w:line="360" w:lineRule="auto"/>
      </w:pPr>
    </w:p>
    <w:sdt>
      <w:sdtPr>
        <w:rPr>
          <w:rFonts w:ascii="宋体" w:hAnsi="宋体" w:eastAsia="宋体" w:cs="Times New Roman"/>
          <w:kern w:val="2"/>
          <w:sz w:val="21"/>
          <w:szCs w:val="24"/>
          <w:lang w:val="en-US" w:eastAsia="zh-CN" w:bidi="ar-SA"/>
        </w:rPr>
        <w:id w:val="147450919"/>
        <w15:color w:val="DBDBDB"/>
        <w:docPartObj>
          <w:docPartGallery w:val="Table of Contents"/>
          <w:docPartUnique/>
        </w:docPartObj>
      </w:sdtPr>
      <w:sdtEndPr>
        <w:rPr>
          <w:rFonts w:ascii="Times New Roman" w:hAnsi="Times New Roman" w:eastAsia="宋体" w:cs="Times New Roman"/>
          <w:kern w:val="2"/>
          <w:sz w:val="21"/>
          <w:szCs w:val="24"/>
          <w:lang w:val="en-US" w:eastAsia="zh-CN" w:bidi="ar-SA"/>
        </w:rPr>
      </w:sdtEndPr>
      <w:sdtContent>
        <w:p w14:paraId="5FD4CF91">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8C0A882">
          <w:pPr>
            <w:pStyle w:val="9"/>
            <w:tabs>
              <w:tab w:val="right" w:leader="dot" w:pos="8306"/>
            </w:tabs>
          </w:pPr>
          <w:r>
            <w:rPr>
              <w:rFonts w:ascii="Times New Roman" w:hAnsi="Times New Roman" w:eastAsia="宋体" w:cs="Times New Roman"/>
              <w:kern w:val="2"/>
              <w:sz w:val="21"/>
              <w:szCs w:val="24"/>
              <w:lang w:val="en-US" w:eastAsia="zh-CN" w:bidi="ar-SA"/>
            </w:rPr>
            <w:fldChar w:fldCharType="begin"/>
          </w:r>
          <w:r>
            <w:rPr>
              <w:rFonts w:ascii="Times New Roman" w:hAnsi="Times New Roman" w:eastAsia="宋体" w:cs="Times New Roman"/>
              <w:kern w:val="2"/>
              <w:sz w:val="21"/>
              <w:szCs w:val="24"/>
              <w:lang w:val="en-US" w:eastAsia="zh-CN" w:bidi="ar-SA"/>
            </w:rPr>
            <w:instrText xml:space="preserve">TOC \o "1-3" \h \u </w:instrText>
          </w:r>
          <w:r>
            <w:rPr>
              <w:rFonts w:ascii="Times New Roman" w:hAnsi="Times New Roman" w:eastAsia="宋体" w:cs="Times New Roman"/>
              <w:kern w:val="2"/>
              <w:sz w:val="21"/>
              <w:szCs w:val="24"/>
              <w:lang w:val="en-US" w:eastAsia="zh-CN" w:bidi="ar-SA"/>
            </w:rPr>
            <w:fldChar w:fldCharType="separate"/>
          </w: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_Toc24336 </w:instrText>
          </w:r>
          <w:r>
            <w:rPr>
              <w:rFonts w:ascii="Times New Roman" w:hAnsi="Times New Roman" w:eastAsia="宋体" w:cs="Times New Roman"/>
              <w:kern w:val="2"/>
              <w:szCs w:val="24"/>
              <w:lang w:val="en-US" w:eastAsia="zh-CN" w:bidi="ar-SA"/>
            </w:rPr>
            <w:fldChar w:fldCharType="separate"/>
          </w:r>
          <w:r>
            <w:rPr>
              <w:rFonts w:ascii="黑体" w:hAnsi="黑体" w:eastAsia="黑体"/>
              <w:szCs w:val="28"/>
            </w:rPr>
            <w:t>摘  要</w:t>
          </w:r>
          <w:r>
            <w:tab/>
          </w:r>
          <w:r>
            <w:fldChar w:fldCharType="begin"/>
          </w:r>
          <w:r>
            <w:instrText xml:space="preserve"> PAGEREF _Toc24336 \h </w:instrText>
          </w:r>
          <w:r>
            <w:fldChar w:fldCharType="separate"/>
          </w:r>
          <w:r>
            <w:t>2</w:t>
          </w:r>
          <w:r>
            <w:fldChar w:fldCharType="end"/>
          </w:r>
          <w:r>
            <w:rPr>
              <w:rFonts w:ascii="Times New Roman" w:hAnsi="Times New Roman" w:eastAsia="宋体" w:cs="Times New Roman"/>
              <w:kern w:val="2"/>
              <w:szCs w:val="24"/>
              <w:lang w:val="en-US" w:eastAsia="zh-CN" w:bidi="ar-SA"/>
            </w:rPr>
            <w:fldChar w:fldCharType="end"/>
          </w:r>
        </w:p>
        <w:p w14:paraId="7CCB3E84">
          <w:pPr>
            <w:pStyle w:val="9"/>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_Toc31263 </w:instrText>
          </w:r>
          <w:r>
            <w:rPr>
              <w:rFonts w:ascii="Times New Roman" w:hAnsi="Times New Roman" w:eastAsia="宋体" w:cs="Times New Roman"/>
              <w:kern w:val="2"/>
              <w:szCs w:val="24"/>
              <w:lang w:val="en-US" w:eastAsia="zh-CN" w:bidi="ar-SA"/>
            </w:rPr>
            <w:fldChar w:fldCharType="separate"/>
          </w:r>
          <w:r>
            <w:rPr>
              <w:rFonts w:ascii="Times New Roman" w:hAnsi="Times New Roman" w:eastAsia="Times New Roman"/>
            </w:rPr>
            <w:t>Abstract</w:t>
          </w:r>
          <w:r>
            <w:tab/>
          </w:r>
          <w:r>
            <w:fldChar w:fldCharType="begin"/>
          </w:r>
          <w:r>
            <w:instrText xml:space="preserve"> PAGEREF _Toc31263 \h </w:instrText>
          </w:r>
          <w:r>
            <w:fldChar w:fldCharType="separate"/>
          </w:r>
          <w:r>
            <w:t>3</w:t>
          </w:r>
          <w:r>
            <w:fldChar w:fldCharType="end"/>
          </w:r>
          <w:r>
            <w:rPr>
              <w:rFonts w:ascii="Times New Roman" w:hAnsi="Times New Roman" w:eastAsia="宋体" w:cs="Times New Roman"/>
              <w:kern w:val="2"/>
              <w:szCs w:val="24"/>
              <w:lang w:val="en-US" w:eastAsia="zh-CN" w:bidi="ar-SA"/>
            </w:rPr>
            <w:fldChar w:fldCharType="end"/>
          </w:r>
        </w:p>
        <w:p w14:paraId="5B5F6E02">
          <w:pPr>
            <w:pStyle w:val="9"/>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_Toc18162 </w:instrText>
          </w:r>
          <w:r>
            <w:rPr>
              <w:rFonts w:ascii="Times New Roman" w:hAnsi="Times New Roman" w:eastAsia="宋体" w:cs="Times New Roman"/>
              <w:kern w:val="2"/>
              <w:szCs w:val="24"/>
              <w:lang w:val="en-US" w:eastAsia="zh-CN" w:bidi="ar-SA"/>
            </w:rPr>
            <w:fldChar w:fldCharType="separate"/>
          </w:r>
          <w:r>
            <w:rPr>
              <w:rFonts w:ascii="黑体" w:hAnsi="黑体" w:eastAsia="黑体"/>
              <w:szCs w:val="28"/>
            </w:rPr>
            <w:t>第1章  绪论</w:t>
          </w:r>
          <w:r>
            <w:tab/>
          </w:r>
          <w:r>
            <w:fldChar w:fldCharType="begin"/>
          </w:r>
          <w:r>
            <w:instrText xml:space="preserve"> PAGEREF _Toc18162 \h </w:instrText>
          </w:r>
          <w:r>
            <w:fldChar w:fldCharType="separate"/>
          </w:r>
          <w:r>
            <w:t>5</w:t>
          </w:r>
          <w:r>
            <w:fldChar w:fldCharType="end"/>
          </w:r>
          <w:r>
            <w:rPr>
              <w:rFonts w:ascii="Times New Roman" w:hAnsi="Times New Roman" w:eastAsia="宋体" w:cs="Times New Roman"/>
              <w:kern w:val="2"/>
              <w:szCs w:val="24"/>
              <w:lang w:val="en-US" w:eastAsia="zh-CN" w:bidi="ar-SA"/>
            </w:rPr>
            <w:fldChar w:fldCharType="end"/>
          </w:r>
        </w:p>
        <w:p w14:paraId="2FB1618F">
          <w:pPr>
            <w:pStyle w:val="10"/>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_Toc16362 </w:instrText>
          </w:r>
          <w:r>
            <w:rPr>
              <w:rFonts w:ascii="Times New Roman" w:hAnsi="Times New Roman" w:eastAsia="宋体" w:cs="Times New Roman"/>
              <w:kern w:val="2"/>
              <w:szCs w:val="24"/>
              <w:lang w:val="en-US" w:eastAsia="zh-CN" w:bidi="ar-SA"/>
            </w:rPr>
            <w:fldChar w:fldCharType="separate"/>
          </w:r>
          <w:r>
            <w:rPr>
              <w:rFonts w:ascii="黑体" w:hAnsi="黑体" w:eastAsia="黑体"/>
            </w:rPr>
            <w:t>1.1  研究背景与意义</w:t>
          </w:r>
          <w:r>
            <w:tab/>
          </w:r>
          <w:r>
            <w:fldChar w:fldCharType="begin"/>
          </w:r>
          <w:r>
            <w:instrText xml:space="preserve"> PAGEREF _Toc16362 \h </w:instrText>
          </w:r>
          <w:r>
            <w:fldChar w:fldCharType="separate"/>
          </w:r>
          <w:r>
            <w:t>5</w:t>
          </w:r>
          <w:r>
            <w:fldChar w:fldCharType="end"/>
          </w:r>
          <w:r>
            <w:rPr>
              <w:rFonts w:ascii="Times New Roman" w:hAnsi="Times New Roman" w:eastAsia="宋体" w:cs="Times New Roman"/>
              <w:kern w:val="2"/>
              <w:szCs w:val="24"/>
              <w:lang w:val="en-US" w:eastAsia="zh-CN" w:bidi="ar-SA"/>
            </w:rPr>
            <w:fldChar w:fldCharType="end"/>
          </w:r>
        </w:p>
        <w:p w14:paraId="7F822433">
          <w:pPr>
            <w:pStyle w:val="5"/>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_Toc19037 </w:instrText>
          </w:r>
          <w:r>
            <w:rPr>
              <w:rFonts w:ascii="Times New Roman" w:hAnsi="Times New Roman" w:eastAsia="宋体" w:cs="Times New Roman"/>
              <w:kern w:val="2"/>
              <w:szCs w:val="24"/>
              <w:lang w:val="en-US" w:eastAsia="zh-CN" w:bidi="ar-SA"/>
            </w:rPr>
            <w:fldChar w:fldCharType="separate"/>
          </w:r>
          <w:r>
            <w:rPr>
              <w:rFonts w:ascii="宋体" w:hAnsi="宋体" w:eastAsia="宋体"/>
            </w:rPr>
            <w:t>1.1.1  研究背景</w:t>
          </w:r>
          <w:r>
            <w:tab/>
          </w:r>
          <w:r>
            <w:fldChar w:fldCharType="begin"/>
          </w:r>
          <w:r>
            <w:instrText xml:space="preserve"> PAGEREF _Toc19037 \h </w:instrText>
          </w:r>
          <w:r>
            <w:fldChar w:fldCharType="separate"/>
          </w:r>
          <w:r>
            <w:t>5</w:t>
          </w:r>
          <w:r>
            <w:fldChar w:fldCharType="end"/>
          </w:r>
          <w:r>
            <w:rPr>
              <w:rFonts w:ascii="Times New Roman" w:hAnsi="Times New Roman" w:eastAsia="宋体" w:cs="Times New Roman"/>
              <w:kern w:val="2"/>
              <w:szCs w:val="24"/>
              <w:lang w:val="en-US" w:eastAsia="zh-CN" w:bidi="ar-SA"/>
            </w:rPr>
            <w:fldChar w:fldCharType="end"/>
          </w:r>
        </w:p>
        <w:p w14:paraId="78BB6A5B">
          <w:pPr>
            <w:pStyle w:val="5"/>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_Toc20445 </w:instrText>
          </w:r>
          <w:r>
            <w:rPr>
              <w:rFonts w:ascii="Times New Roman" w:hAnsi="Times New Roman" w:eastAsia="宋体" w:cs="Times New Roman"/>
              <w:kern w:val="2"/>
              <w:szCs w:val="24"/>
              <w:lang w:val="en-US" w:eastAsia="zh-CN" w:bidi="ar-SA"/>
            </w:rPr>
            <w:fldChar w:fldCharType="separate"/>
          </w:r>
          <w:r>
            <w:rPr>
              <w:rFonts w:ascii="宋体" w:hAnsi="宋体" w:eastAsia="宋体"/>
            </w:rPr>
            <w:t>1.1.2  研究意义</w:t>
          </w:r>
          <w:r>
            <w:tab/>
          </w:r>
          <w:r>
            <w:fldChar w:fldCharType="begin"/>
          </w:r>
          <w:r>
            <w:instrText xml:space="preserve"> PAGEREF _Toc20445 \h </w:instrText>
          </w:r>
          <w:r>
            <w:fldChar w:fldCharType="separate"/>
          </w:r>
          <w:r>
            <w:t>5</w:t>
          </w:r>
          <w:r>
            <w:fldChar w:fldCharType="end"/>
          </w:r>
          <w:r>
            <w:rPr>
              <w:rFonts w:ascii="Times New Roman" w:hAnsi="Times New Roman" w:eastAsia="宋体" w:cs="Times New Roman"/>
              <w:kern w:val="2"/>
              <w:szCs w:val="24"/>
              <w:lang w:val="en-US" w:eastAsia="zh-CN" w:bidi="ar-SA"/>
            </w:rPr>
            <w:fldChar w:fldCharType="end"/>
          </w:r>
        </w:p>
        <w:p w14:paraId="40C7AC33">
          <w:pPr>
            <w:pStyle w:val="10"/>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_Toc510 </w:instrText>
          </w:r>
          <w:r>
            <w:rPr>
              <w:rFonts w:ascii="Times New Roman" w:hAnsi="Times New Roman" w:eastAsia="宋体" w:cs="Times New Roman"/>
              <w:kern w:val="2"/>
              <w:szCs w:val="24"/>
              <w:lang w:val="en-US" w:eastAsia="zh-CN" w:bidi="ar-SA"/>
            </w:rPr>
            <w:fldChar w:fldCharType="separate"/>
          </w:r>
          <w:r>
            <w:rPr>
              <w:rFonts w:ascii="黑体" w:hAnsi="黑体" w:eastAsia="黑体"/>
            </w:rPr>
            <w:t>1.2  国内外研究现状</w:t>
          </w:r>
          <w:r>
            <w:tab/>
          </w:r>
          <w:r>
            <w:fldChar w:fldCharType="begin"/>
          </w:r>
          <w:r>
            <w:instrText xml:space="preserve"> PAGEREF _Toc510 \h </w:instrText>
          </w:r>
          <w:r>
            <w:fldChar w:fldCharType="separate"/>
          </w:r>
          <w:r>
            <w:t>5</w:t>
          </w:r>
          <w:r>
            <w:fldChar w:fldCharType="end"/>
          </w:r>
          <w:r>
            <w:rPr>
              <w:rFonts w:ascii="Times New Roman" w:hAnsi="Times New Roman" w:eastAsia="宋体" w:cs="Times New Roman"/>
              <w:kern w:val="2"/>
              <w:szCs w:val="24"/>
              <w:lang w:val="en-US" w:eastAsia="zh-CN" w:bidi="ar-SA"/>
            </w:rPr>
            <w:fldChar w:fldCharType="end"/>
          </w:r>
        </w:p>
        <w:p w14:paraId="0EE25490">
          <w:pPr>
            <w:pStyle w:val="5"/>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_Toc20524 </w:instrText>
          </w:r>
          <w:r>
            <w:rPr>
              <w:rFonts w:ascii="Times New Roman" w:hAnsi="Times New Roman" w:eastAsia="宋体" w:cs="Times New Roman"/>
              <w:kern w:val="2"/>
              <w:szCs w:val="24"/>
              <w:lang w:val="en-US" w:eastAsia="zh-CN" w:bidi="ar-SA"/>
            </w:rPr>
            <w:fldChar w:fldCharType="separate"/>
          </w:r>
          <w:r>
            <w:rPr>
              <w:rFonts w:ascii="宋体" w:hAnsi="宋体" w:eastAsia="宋体"/>
            </w:rPr>
            <w:t>1.2.1  国外研究现状</w:t>
          </w:r>
          <w:r>
            <w:tab/>
          </w:r>
          <w:r>
            <w:fldChar w:fldCharType="begin"/>
          </w:r>
          <w:r>
            <w:instrText xml:space="preserve"> PAGEREF _Toc20524 \h </w:instrText>
          </w:r>
          <w:r>
            <w:fldChar w:fldCharType="separate"/>
          </w:r>
          <w:r>
            <w:t>5</w:t>
          </w:r>
          <w:r>
            <w:fldChar w:fldCharType="end"/>
          </w:r>
          <w:r>
            <w:rPr>
              <w:rFonts w:ascii="Times New Roman" w:hAnsi="Times New Roman" w:eastAsia="宋体" w:cs="Times New Roman"/>
              <w:kern w:val="2"/>
              <w:szCs w:val="24"/>
              <w:lang w:val="en-US" w:eastAsia="zh-CN" w:bidi="ar-SA"/>
            </w:rPr>
            <w:fldChar w:fldCharType="end"/>
          </w:r>
        </w:p>
        <w:p w14:paraId="762ACA3A">
          <w:pPr>
            <w:pStyle w:val="5"/>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_Toc29348 </w:instrText>
          </w:r>
          <w:r>
            <w:rPr>
              <w:rFonts w:ascii="Times New Roman" w:hAnsi="Times New Roman" w:eastAsia="宋体" w:cs="Times New Roman"/>
              <w:kern w:val="2"/>
              <w:szCs w:val="24"/>
              <w:lang w:val="en-US" w:eastAsia="zh-CN" w:bidi="ar-SA"/>
            </w:rPr>
            <w:fldChar w:fldCharType="separate"/>
          </w:r>
          <w:r>
            <w:rPr>
              <w:rFonts w:ascii="宋体" w:hAnsi="宋体" w:eastAsia="宋体"/>
            </w:rPr>
            <w:t>1.2.2  国内研究现状</w:t>
          </w:r>
          <w:r>
            <w:tab/>
          </w:r>
          <w:r>
            <w:fldChar w:fldCharType="begin"/>
          </w:r>
          <w:r>
            <w:instrText xml:space="preserve"> PAGEREF _Toc29348 \h </w:instrText>
          </w:r>
          <w:r>
            <w:fldChar w:fldCharType="separate"/>
          </w:r>
          <w:r>
            <w:t>6</w:t>
          </w:r>
          <w:r>
            <w:fldChar w:fldCharType="end"/>
          </w:r>
          <w:r>
            <w:rPr>
              <w:rFonts w:ascii="Times New Roman" w:hAnsi="Times New Roman" w:eastAsia="宋体" w:cs="Times New Roman"/>
              <w:kern w:val="2"/>
              <w:szCs w:val="24"/>
              <w:lang w:val="en-US" w:eastAsia="zh-CN" w:bidi="ar-SA"/>
            </w:rPr>
            <w:fldChar w:fldCharType="end"/>
          </w:r>
        </w:p>
        <w:p w14:paraId="2C4F5DBE">
          <w:pPr>
            <w:pStyle w:val="10"/>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_Toc29731 </w:instrText>
          </w:r>
          <w:r>
            <w:rPr>
              <w:rFonts w:ascii="Times New Roman" w:hAnsi="Times New Roman" w:eastAsia="宋体" w:cs="Times New Roman"/>
              <w:kern w:val="2"/>
              <w:szCs w:val="24"/>
              <w:lang w:val="en-US" w:eastAsia="zh-CN" w:bidi="ar-SA"/>
            </w:rPr>
            <w:fldChar w:fldCharType="separate"/>
          </w:r>
          <w:r>
            <w:rPr>
              <w:rFonts w:ascii="黑体" w:hAnsi="黑体" w:eastAsia="黑体"/>
            </w:rPr>
            <w:t>1.3  研究思路与方法</w:t>
          </w:r>
          <w:r>
            <w:tab/>
          </w:r>
          <w:r>
            <w:fldChar w:fldCharType="begin"/>
          </w:r>
          <w:r>
            <w:instrText xml:space="preserve"> PAGEREF _Toc29731 \h </w:instrText>
          </w:r>
          <w:r>
            <w:fldChar w:fldCharType="separate"/>
          </w:r>
          <w:r>
            <w:t>6</w:t>
          </w:r>
          <w:r>
            <w:fldChar w:fldCharType="end"/>
          </w:r>
          <w:r>
            <w:rPr>
              <w:rFonts w:ascii="Times New Roman" w:hAnsi="Times New Roman" w:eastAsia="宋体" w:cs="Times New Roman"/>
              <w:kern w:val="2"/>
              <w:szCs w:val="24"/>
              <w:lang w:val="en-US" w:eastAsia="zh-CN" w:bidi="ar-SA"/>
            </w:rPr>
            <w:fldChar w:fldCharType="end"/>
          </w:r>
        </w:p>
        <w:p w14:paraId="7AABC351">
          <w:pPr>
            <w:pStyle w:val="5"/>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_Toc17698 </w:instrText>
          </w:r>
          <w:r>
            <w:rPr>
              <w:rFonts w:ascii="Times New Roman" w:hAnsi="Times New Roman" w:eastAsia="宋体" w:cs="Times New Roman"/>
              <w:kern w:val="2"/>
              <w:szCs w:val="24"/>
              <w:lang w:val="en-US" w:eastAsia="zh-CN" w:bidi="ar-SA"/>
            </w:rPr>
            <w:fldChar w:fldCharType="separate"/>
          </w:r>
          <w:r>
            <w:rPr>
              <w:rFonts w:ascii="宋体" w:hAnsi="宋体" w:eastAsia="宋体"/>
            </w:rPr>
            <w:t>1.3.1  研究思路</w:t>
          </w:r>
          <w:r>
            <w:tab/>
          </w:r>
          <w:r>
            <w:fldChar w:fldCharType="begin"/>
          </w:r>
          <w:r>
            <w:instrText xml:space="preserve"> PAGEREF _Toc17698 \h </w:instrText>
          </w:r>
          <w:r>
            <w:fldChar w:fldCharType="separate"/>
          </w:r>
          <w:r>
            <w:t>6</w:t>
          </w:r>
          <w:r>
            <w:fldChar w:fldCharType="end"/>
          </w:r>
          <w:r>
            <w:rPr>
              <w:rFonts w:ascii="Times New Roman" w:hAnsi="Times New Roman" w:eastAsia="宋体" w:cs="Times New Roman"/>
              <w:kern w:val="2"/>
              <w:szCs w:val="24"/>
              <w:lang w:val="en-US" w:eastAsia="zh-CN" w:bidi="ar-SA"/>
            </w:rPr>
            <w:fldChar w:fldCharType="end"/>
          </w:r>
        </w:p>
        <w:p w14:paraId="33B64450">
          <w:pPr>
            <w:pStyle w:val="5"/>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_Toc24864 </w:instrText>
          </w:r>
          <w:r>
            <w:rPr>
              <w:rFonts w:ascii="Times New Roman" w:hAnsi="Times New Roman" w:eastAsia="宋体" w:cs="Times New Roman"/>
              <w:kern w:val="2"/>
              <w:szCs w:val="24"/>
              <w:lang w:val="en-US" w:eastAsia="zh-CN" w:bidi="ar-SA"/>
            </w:rPr>
            <w:fldChar w:fldCharType="separate"/>
          </w:r>
          <w:r>
            <w:rPr>
              <w:rFonts w:ascii="宋体" w:hAnsi="宋体" w:eastAsia="宋体"/>
            </w:rPr>
            <w:t>1.3.2  研究方法</w:t>
          </w:r>
          <w:r>
            <w:tab/>
          </w:r>
          <w:r>
            <w:fldChar w:fldCharType="begin"/>
          </w:r>
          <w:r>
            <w:instrText xml:space="preserve"> PAGEREF _Toc24864 \h </w:instrText>
          </w:r>
          <w:r>
            <w:fldChar w:fldCharType="separate"/>
          </w:r>
          <w:r>
            <w:t>6</w:t>
          </w:r>
          <w:r>
            <w:fldChar w:fldCharType="end"/>
          </w:r>
          <w:r>
            <w:rPr>
              <w:rFonts w:ascii="Times New Roman" w:hAnsi="Times New Roman" w:eastAsia="宋体" w:cs="Times New Roman"/>
              <w:kern w:val="2"/>
              <w:szCs w:val="24"/>
              <w:lang w:val="en-US" w:eastAsia="zh-CN" w:bidi="ar-SA"/>
            </w:rPr>
            <w:fldChar w:fldCharType="end"/>
          </w:r>
        </w:p>
        <w:p w14:paraId="4042D566">
          <w:pPr>
            <w:pStyle w:val="9"/>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_Toc29163 </w:instrText>
          </w:r>
          <w:r>
            <w:rPr>
              <w:rFonts w:ascii="Times New Roman" w:hAnsi="Times New Roman" w:eastAsia="宋体" w:cs="Times New Roman"/>
              <w:kern w:val="2"/>
              <w:szCs w:val="24"/>
              <w:lang w:val="en-US" w:eastAsia="zh-CN" w:bidi="ar-SA"/>
            </w:rPr>
            <w:fldChar w:fldCharType="separate"/>
          </w:r>
          <w:r>
            <w:rPr>
              <w:rFonts w:ascii="黑体" w:hAnsi="黑体" w:eastAsia="黑体"/>
            </w:rPr>
            <w:t>第2章  绿色包装的概念界定与理论基础</w:t>
          </w:r>
          <w:r>
            <w:tab/>
          </w:r>
          <w:r>
            <w:fldChar w:fldCharType="begin"/>
          </w:r>
          <w:r>
            <w:instrText xml:space="preserve"> PAGEREF _Toc29163 \h </w:instrText>
          </w:r>
          <w:r>
            <w:fldChar w:fldCharType="separate"/>
          </w:r>
          <w:r>
            <w:t>7</w:t>
          </w:r>
          <w:r>
            <w:fldChar w:fldCharType="end"/>
          </w:r>
          <w:r>
            <w:rPr>
              <w:rFonts w:ascii="Times New Roman" w:hAnsi="Times New Roman" w:eastAsia="宋体" w:cs="Times New Roman"/>
              <w:kern w:val="2"/>
              <w:szCs w:val="24"/>
              <w:lang w:val="en-US" w:eastAsia="zh-CN" w:bidi="ar-SA"/>
            </w:rPr>
            <w:fldChar w:fldCharType="end"/>
          </w:r>
        </w:p>
        <w:p w14:paraId="427BE4AD">
          <w:pPr>
            <w:pStyle w:val="10"/>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_Toc7207 </w:instrText>
          </w:r>
          <w:r>
            <w:rPr>
              <w:rFonts w:ascii="Times New Roman" w:hAnsi="Times New Roman" w:eastAsia="宋体" w:cs="Times New Roman"/>
              <w:kern w:val="2"/>
              <w:szCs w:val="24"/>
              <w:lang w:val="en-US" w:eastAsia="zh-CN" w:bidi="ar-SA"/>
            </w:rPr>
            <w:fldChar w:fldCharType="separate"/>
          </w:r>
          <w:r>
            <w:rPr>
              <w:rFonts w:ascii="黑体" w:hAnsi="黑体" w:eastAsia="黑体"/>
            </w:rPr>
            <w:t>2.1  绿色包装的内涵与特征</w:t>
          </w:r>
          <w:r>
            <w:tab/>
          </w:r>
          <w:r>
            <w:fldChar w:fldCharType="begin"/>
          </w:r>
          <w:r>
            <w:instrText xml:space="preserve"> PAGEREF _Toc7207 \h </w:instrText>
          </w:r>
          <w:r>
            <w:fldChar w:fldCharType="separate"/>
          </w:r>
          <w:r>
            <w:t>7</w:t>
          </w:r>
          <w:r>
            <w:fldChar w:fldCharType="end"/>
          </w:r>
          <w:r>
            <w:rPr>
              <w:rFonts w:ascii="Times New Roman" w:hAnsi="Times New Roman" w:eastAsia="宋体" w:cs="Times New Roman"/>
              <w:kern w:val="2"/>
              <w:szCs w:val="24"/>
              <w:lang w:val="en-US" w:eastAsia="zh-CN" w:bidi="ar-SA"/>
            </w:rPr>
            <w:fldChar w:fldCharType="end"/>
          </w:r>
        </w:p>
        <w:p w14:paraId="59900C34">
          <w:pPr>
            <w:pStyle w:val="10"/>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_Toc9931 </w:instrText>
          </w:r>
          <w:r>
            <w:rPr>
              <w:rFonts w:ascii="Times New Roman" w:hAnsi="Times New Roman" w:eastAsia="宋体" w:cs="Times New Roman"/>
              <w:kern w:val="2"/>
              <w:szCs w:val="24"/>
              <w:lang w:val="en-US" w:eastAsia="zh-CN" w:bidi="ar-SA"/>
            </w:rPr>
            <w:fldChar w:fldCharType="separate"/>
          </w:r>
          <w:r>
            <w:rPr>
              <w:rFonts w:ascii="黑体" w:hAnsi="黑体" w:eastAsia="黑体"/>
            </w:rPr>
            <w:t>2.2  可持续发展理论</w:t>
          </w:r>
          <w:r>
            <w:tab/>
          </w:r>
          <w:r>
            <w:fldChar w:fldCharType="begin"/>
          </w:r>
          <w:r>
            <w:instrText xml:space="preserve"> PAGEREF _Toc9931 \h </w:instrText>
          </w:r>
          <w:r>
            <w:fldChar w:fldCharType="separate"/>
          </w:r>
          <w:r>
            <w:t>7</w:t>
          </w:r>
          <w:r>
            <w:fldChar w:fldCharType="end"/>
          </w:r>
          <w:r>
            <w:rPr>
              <w:rFonts w:ascii="Times New Roman" w:hAnsi="Times New Roman" w:eastAsia="宋体" w:cs="Times New Roman"/>
              <w:kern w:val="2"/>
              <w:szCs w:val="24"/>
              <w:lang w:val="en-US" w:eastAsia="zh-CN" w:bidi="ar-SA"/>
            </w:rPr>
            <w:fldChar w:fldCharType="end"/>
          </w:r>
        </w:p>
        <w:p w14:paraId="1FCA3D29">
          <w:pPr>
            <w:pStyle w:val="10"/>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_Toc19789 </w:instrText>
          </w:r>
          <w:r>
            <w:rPr>
              <w:rFonts w:ascii="Times New Roman" w:hAnsi="Times New Roman" w:eastAsia="宋体" w:cs="Times New Roman"/>
              <w:kern w:val="2"/>
              <w:szCs w:val="24"/>
              <w:lang w:val="en-US" w:eastAsia="zh-CN" w:bidi="ar-SA"/>
            </w:rPr>
            <w:fldChar w:fldCharType="separate"/>
          </w:r>
          <w:r>
            <w:rPr>
              <w:rFonts w:ascii="黑体" w:hAnsi="黑体" w:eastAsia="黑体"/>
            </w:rPr>
            <w:t>2.3  生命周期评价理论（LCA）</w:t>
          </w:r>
          <w:r>
            <w:tab/>
          </w:r>
          <w:r>
            <w:fldChar w:fldCharType="begin"/>
          </w:r>
          <w:r>
            <w:instrText xml:space="preserve"> PAGEREF _Toc19789 \h </w:instrText>
          </w:r>
          <w:r>
            <w:fldChar w:fldCharType="separate"/>
          </w:r>
          <w:r>
            <w:t>7</w:t>
          </w:r>
          <w:r>
            <w:fldChar w:fldCharType="end"/>
          </w:r>
          <w:r>
            <w:rPr>
              <w:rFonts w:ascii="Times New Roman" w:hAnsi="Times New Roman" w:eastAsia="宋体" w:cs="Times New Roman"/>
              <w:kern w:val="2"/>
              <w:szCs w:val="24"/>
              <w:lang w:val="en-US" w:eastAsia="zh-CN" w:bidi="ar-SA"/>
            </w:rPr>
            <w:fldChar w:fldCharType="end"/>
          </w:r>
        </w:p>
        <w:p w14:paraId="65290338">
          <w:pPr>
            <w:pStyle w:val="9"/>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_Toc7979 </w:instrText>
          </w:r>
          <w:r>
            <w:rPr>
              <w:rFonts w:ascii="Times New Roman" w:hAnsi="Times New Roman" w:eastAsia="宋体" w:cs="Times New Roman"/>
              <w:kern w:val="2"/>
              <w:szCs w:val="24"/>
              <w:lang w:val="en-US" w:eastAsia="zh-CN" w:bidi="ar-SA"/>
            </w:rPr>
            <w:fldChar w:fldCharType="separate"/>
          </w:r>
          <w:r>
            <w:rPr>
              <w:rFonts w:ascii="黑体" w:hAnsi="黑体" w:eastAsia="黑体"/>
            </w:rPr>
            <w:t>第3章  电商物流包装现状与问题分析</w:t>
          </w:r>
          <w:r>
            <w:tab/>
          </w:r>
          <w:r>
            <w:fldChar w:fldCharType="begin"/>
          </w:r>
          <w:r>
            <w:instrText xml:space="preserve"> PAGEREF _Toc7979 \h </w:instrText>
          </w:r>
          <w:r>
            <w:fldChar w:fldCharType="separate"/>
          </w:r>
          <w:r>
            <w:t>9</w:t>
          </w:r>
          <w:r>
            <w:fldChar w:fldCharType="end"/>
          </w:r>
          <w:r>
            <w:rPr>
              <w:rFonts w:ascii="Times New Roman" w:hAnsi="Times New Roman" w:eastAsia="宋体" w:cs="Times New Roman"/>
              <w:kern w:val="2"/>
              <w:szCs w:val="24"/>
              <w:lang w:val="en-US" w:eastAsia="zh-CN" w:bidi="ar-SA"/>
            </w:rPr>
            <w:fldChar w:fldCharType="end"/>
          </w:r>
        </w:p>
        <w:p w14:paraId="23CA7476">
          <w:pPr>
            <w:pStyle w:val="10"/>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_Toc20307 </w:instrText>
          </w:r>
          <w:r>
            <w:rPr>
              <w:rFonts w:ascii="Times New Roman" w:hAnsi="Times New Roman" w:eastAsia="宋体" w:cs="Times New Roman"/>
              <w:kern w:val="2"/>
              <w:szCs w:val="24"/>
              <w:lang w:val="en-US" w:eastAsia="zh-CN" w:bidi="ar-SA"/>
            </w:rPr>
            <w:fldChar w:fldCharType="separate"/>
          </w:r>
          <w:r>
            <w:rPr>
              <w:rFonts w:ascii="黑体" w:hAnsi="黑体" w:eastAsia="黑体"/>
            </w:rPr>
            <w:t>3.1  电商物流包装使用现状</w:t>
          </w:r>
          <w:r>
            <w:tab/>
          </w:r>
          <w:r>
            <w:fldChar w:fldCharType="begin"/>
          </w:r>
          <w:r>
            <w:instrText xml:space="preserve"> PAGEREF _Toc20307 \h </w:instrText>
          </w:r>
          <w:r>
            <w:fldChar w:fldCharType="separate"/>
          </w:r>
          <w:r>
            <w:t>9</w:t>
          </w:r>
          <w:r>
            <w:fldChar w:fldCharType="end"/>
          </w:r>
          <w:r>
            <w:rPr>
              <w:rFonts w:ascii="Times New Roman" w:hAnsi="Times New Roman" w:eastAsia="宋体" w:cs="Times New Roman"/>
              <w:kern w:val="2"/>
              <w:szCs w:val="24"/>
              <w:lang w:val="en-US" w:eastAsia="zh-CN" w:bidi="ar-SA"/>
            </w:rPr>
            <w:fldChar w:fldCharType="end"/>
          </w:r>
        </w:p>
        <w:p w14:paraId="660C4C5F">
          <w:pPr>
            <w:pStyle w:val="10"/>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_Toc11206 </w:instrText>
          </w:r>
          <w:r>
            <w:rPr>
              <w:rFonts w:ascii="Times New Roman" w:hAnsi="Times New Roman" w:eastAsia="宋体" w:cs="Times New Roman"/>
              <w:kern w:val="2"/>
              <w:szCs w:val="24"/>
              <w:lang w:val="en-US" w:eastAsia="zh-CN" w:bidi="ar-SA"/>
            </w:rPr>
            <w:fldChar w:fldCharType="separate"/>
          </w:r>
          <w:r>
            <w:rPr>
              <w:rFonts w:ascii="黑体" w:hAnsi="黑体" w:eastAsia="黑体"/>
            </w:rPr>
            <w:t>3.2  过度包装与资源浪费问题</w:t>
          </w:r>
          <w:r>
            <w:tab/>
          </w:r>
          <w:r>
            <w:fldChar w:fldCharType="begin"/>
          </w:r>
          <w:r>
            <w:instrText xml:space="preserve"> PAGEREF _Toc11206 \h </w:instrText>
          </w:r>
          <w:r>
            <w:fldChar w:fldCharType="separate"/>
          </w:r>
          <w:r>
            <w:t>9</w:t>
          </w:r>
          <w:r>
            <w:fldChar w:fldCharType="end"/>
          </w:r>
          <w:r>
            <w:rPr>
              <w:rFonts w:ascii="Times New Roman" w:hAnsi="Times New Roman" w:eastAsia="宋体" w:cs="Times New Roman"/>
              <w:kern w:val="2"/>
              <w:szCs w:val="24"/>
              <w:lang w:val="en-US" w:eastAsia="zh-CN" w:bidi="ar-SA"/>
            </w:rPr>
            <w:fldChar w:fldCharType="end"/>
          </w:r>
        </w:p>
        <w:p w14:paraId="41D79737">
          <w:pPr>
            <w:pStyle w:val="10"/>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_Toc29979 </w:instrText>
          </w:r>
          <w:r>
            <w:rPr>
              <w:rFonts w:ascii="Times New Roman" w:hAnsi="Times New Roman" w:eastAsia="宋体" w:cs="Times New Roman"/>
              <w:kern w:val="2"/>
              <w:szCs w:val="24"/>
              <w:lang w:val="en-US" w:eastAsia="zh-CN" w:bidi="ar-SA"/>
            </w:rPr>
            <w:fldChar w:fldCharType="separate"/>
          </w:r>
          <w:r>
            <w:rPr>
              <w:rFonts w:ascii="黑体" w:hAnsi="黑体" w:eastAsia="黑体"/>
            </w:rPr>
            <w:t>3.3  包装废弃物回收处置困境</w:t>
          </w:r>
          <w:r>
            <w:tab/>
          </w:r>
          <w:r>
            <w:fldChar w:fldCharType="begin"/>
          </w:r>
          <w:r>
            <w:instrText xml:space="preserve"> PAGEREF _Toc29979 \h </w:instrText>
          </w:r>
          <w:r>
            <w:fldChar w:fldCharType="separate"/>
          </w:r>
          <w:r>
            <w:t>9</w:t>
          </w:r>
          <w:r>
            <w:fldChar w:fldCharType="end"/>
          </w:r>
          <w:r>
            <w:rPr>
              <w:rFonts w:ascii="Times New Roman" w:hAnsi="Times New Roman" w:eastAsia="宋体" w:cs="Times New Roman"/>
              <w:kern w:val="2"/>
              <w:szCs w:val="24"/>
              <w:lang w:val="en-US" w:eastAsia="zh-CN" w:bidi="ar-SA"/>
            </w:rPr>
            <w:fldChar w:fldCharType="end"/>
          </w:r>
        </w:p>
        <w:p w14:paraId="1181651D">
          <w:pPr>
            <w:pStyle w:val="9"/>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_Toc19644 </w:instrText>
          </w:r>
          <w:r>
            <w:rPr>
              <w:rFonts w:ascii="Times New Roman" w:hAnsi="Times New Roman" w:eastAsia="宋体" w:cs="Times New Roman"/>
              <w:kern w:val="2"/>
              <w:szCs w:val="24"/>
              <w:lang w:val="en-US" w:eastAsia="zh-CN" w:bidi="ar-SA"/>
            </w:rPr>
            <w:fldChar w:fldCharType="separate"/>
          </w:r>
          <w:r>
            <w:rPr>
              <w:rFonts w:ascii="黑体" w:hAnsi="黑体" w:eastAsia="黑体"/>
            </w:rPr>
            <w:t>第4章  绿色包装减量化与循环利用路径</w:t>
          </w:r>
          <w:r>
            <w:tab/>
          </w:r>
          <w:r>
            <w:fldChar w:fldCharType="begin"/>
          </w:r>
          <w:r>
            <w:instrText xml:space="preserve"> PAGEREF _Toc19644 \h </w:instrText>
          </w:r>
          <w:r>
            <w:fldChar w:fldCharType="separate"/>
          </w:r>
          <w:r>
            <w:t>11</w:t>
          </w:r>
          <w:r>
            <w:fldChar w:fldCharType="end"/>
          </w:r>
          <w:r>
            <w:rPr>
              <w:rFonts w:ascii="Times New Roman" w:hAnsi="Times New Roman" w:eastAsia="宋体" w:cs="Times New Roman"/>
              <w:kern w:val="2"/>
              <w:szCs w:val="24"/>
              <w:lang w:val="en-US" w:eastAsia="zh-CN" w:bidi="ar-SA"/>
            </w:rPr>
            <w:fldChar w:fldCharType="end"/>
          </w:r>
        </w:p>
        <w:p w14:paraId="6847E437">
          <w:pPr>
            <w:pStyle w:val="10"/>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_Toc31724 </w:instrText>
          </w:r>
          <w:r>
            <w:rPr>
              <w:rFonts w:ascii="Times New Roman" w:hAnsi="Times New Roman" w:eastAsia="宋体" w:cs="Times New Roman"/>
              <w:kern w:val="2"/>
              <w:szCs w:val="24"/>
              <w:lang w:val="en-US" w:eastAsia="zh-CN" w:bidi="ar-SA"/>
            </w:rPr>
            <w:fldChar w:fldCharType="separate"/>
          </w:r>
          <w:r>
            <w:rPr>
              <w:rFonts w:ascii="黑体" w:hAnsi="黑体" w:eastAsia="黑体"/>
            </w:rPr>
            <w:t>4.1  包装材料绿色化替代策略</w:t>
          </w:r>
          <w:r>
            <w:tab/>
          </w:r>
          <w:r>
            <w:fldChar w:fldCharType="begin"/>
          </w:r>
          <w:r>
            <w:instrText xml:space="preserve"> PAGEREF _Toc31724 \h </w:instrText>
          </w:r>
          <w:r>
            <w:fldChar w:fldCharType="separate"/>
          </w:r>
          <w:r>
            <w:t>11</w:t>
          </w:r>
          <w:r>
            <w:fldChar w:fldCharType="end"/>
          </w:r>
          <w:r>
            <w:rPr>
              <w:rFonts w:ascii="Times New Roman" w:hAnsi="Times New Roman" w:eastAsia="宋体" w:cs="Times New Roman"/>
              <w:kern w:val="2"/>
              <w:szCs w:val="24"/>
              <w:lang w:val="en-US" w:eastAsia="zh-CN" w:bidi="ar-SA"/>
            </w:rPr>
            <w:fldChar w:fldCharType="end"/>
          </w:r>
        </w:p>
        <w:p w14:paraId="1E03253C">
          <w:pPr>
            <w:pStyle w:val="10"/>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_Toc6486 </w:instrText>
          </w:r>
          <w:r>
            <w:rPr>
              <w:rFonts w:ascii="Times New Roman" w:hAnsi="Times New Roman" w:eastAsia="宋体" w:cs="Times New Roman"/>
              <w:kern w:val="2"/>
              <w:szCs w:val="24"/>
              <w:lang w:val="en-US" w:eastAsia="zh-CN" w:bidi="ar-SA"/>
            </w:rPr>
            <w:fldChar w:fldCharType="separate"/>
          </w:r>
          <w:r>
            <w:rPr>
              <w:rFonts w:ascii="黑体" w:hAnsi="黑体" w:eastAsia="黑体"/>
            </w:rPr>
            <w:t>4.2  包装结构减量化设计路径</w:t>
          </w:r>
          <w:r>
            <w:tab/>
          </w:r>
          <w:r>
            <w:fldChar w:fldCharType="begin"/>
          </w:r>
          <w:r>
            <w:instrText xml:space="preserve"> PAGEREF _Toc6486 \h </w:instrText>
          </w:r>
          <w:r>
            <w:fldChar w:fldCharType="separate"/>
          </w:r>
          <w:r>
            <w:t>11</w:t>
          </w:r>
          <w:r>
            <w:fldChar w:fldCharType="end"/>
          </w:r>
          <w:r>
            <w:rPr>
              <w:rFonts w:ascii="Times New Roman" w:hAnsi="Times New Roman" w:eastAsia="宋体" w:cs="Times New Roman"/>
              <w:kern w:val="2"/>
              <w:szCs w:val="24"/>
              <w:lang w:val="en-US" w:eastAsia="zh-CN" w:bidi="ar-SA"/>
            </w:rPr>
            <w:fldChar w:fldCharType="end"/>
          </w:r>
        </w:p>
        <w:p w14:paraId="6FC6B9F7">
          <w:pPr>
            <w:pStyle w:val="10"/>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_Toc6294 </w:instrText>
          </w:r>
          <w:r>
            <w:rPr>
              <w:rFonts w:ascii="Times New Roman" w:hAnsi="Times New Roman" w:eastAsia="宋体" w:cs="Times New Roman"/>
              <w:kern w:val="2"/>
              <w:szCs w:val="24"/>
              <w:lang w:val="en-US" w:eastAsia="zh-CN" w:bidi="ar-SA"/>
            </w:rPr>
            <w:fldChar w:fldCharType="separate"/>
          </w:r>
          <w:r>
            <w:rPr>
              <w:rFonts w:ascii="黑体" w:hAnsi="黑体" w:eastAsia="黑体"/>
            </w:rPr>
            <w:t>4.3  循环包装回收体系建设</w:t>
          </w:r>
          <w:r>
            <w:tab/>
          </w:r>
          <w:r>
            <w:fldChar w:fldCharType="begin"/>
          </w:r>
          <w:r>
            <w:instrText xml:space="preserve"> PAGEREF _Toc6294 \h </w:instrText>
          </w:r>
          <w:r>
            <w:fldChar w:fldCharType="separate"/>
          </w:r>
          <w:r>
            <w:t>12</w:t>
          </w:r>
          <w:r>
            <w:fldChar w:fldCharType="end"/>
          </w:r>
          <w:r>
            <w:rPr>
              <w:rFonts w:ascii="Times New Roman" w:hAnsi="Times New Roman" w:eastAsia="宋体" w:cs="Times New Roman"/>
              <w:kern w:val="2"/>
              <w:szCs w:val="24"/>
              <w:lang w:val="en-US" w:eastAsia="zh-CN" w:bidi="ar-SA"/>
            </w:rPr>
            <w:fldChar w:fldCharType="end"/>
          </w:r>
        </w:p>
        <w:p w14:paraId="4CC11F43">
          <w:pPr>
            <w:pStyle w:val="10"/>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_Toc19213 </w:instrText>
          </w:r>
          <w:r>
            <w:rPr>
              <w:rFonts w:ascii="Times New Roman" w:hAnsi="Times New Roman" w:eastAsia="宋体" w:cs="Times New Roman"/>
              <w:kern w:val="2"/>
              <w:szCs w:val="24"/>
              <w:lang w:val="en-US" w:eastAsia="zh-CN" w:bidi="ar-SA"/>
            </w:rPr>
            <w:fldChar w:fldCharType="separate"/>
          </w:r>
          <w:r>
            <w:rPr>
              <w:rFonts w:ascii="黑体" w:hAnsi="黑体" w:eastAsia="黑体"/>
            </w:rPr>
            <w:t>4.4  政策法规保障与平台协同机制</w:t>
          </w:r>
          <w:r>
            <w:tab/>
          </w:r>
          <w:r>
            <w:fldChar w:fldCharType="begin"/>
          </w:r>
          <w:r>
            <w:instrText xml:space="preserve"> PAGEREF _Toc19213 \h </w:instrText>
          </w:r>
          <w:r>
            <w:fldChar w:fldCharType="separate"/>
          </w:r>
          <w:r>
            <w:t>12</w:t>
          </w:r>
          <w:r>
            <w:fldChar w:fldCharType="end"/>
          </w:r>
          <w:r>
            <w:rPr>
              <w:rFonts w:ascii="Times New Roman" w:hAnsi="Times New Roman" w:eastAsia="宋体" w:cs="Times New Roman"/>
              <w:kern w:val="2"/>
              <w:szCs w:val="24"/>
              <w:lang w:val="en-US" w:eastAsia="zh-CN" w:bidi="ar-SA"/>
            </w:rPr>
            <w:fldChar w:fldCharType="end"/>
          </w:r>
        </w:p>
        <w:p w14:paraId="736E26AF">
          <w:pPr>
            <w:pStyle w:val="9"/>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_Toc16117 </w:instrText>
          </w:r>
          <w:r>
            <w:rPr>
              <w:rFonts w:ascii="Times New Roman" w:hAnsi="Times New Roman" w:eastAsia="宋体" w:cs="Times New Roman"/>
              <w:kern w:val="2"/>
              <w:szCs w:val="24"/>
              <w:lang w:val="en-US" w:eastAsia="zh-CN" w:bidi="ar-SA"/>
            </w:rPr>
            <w:fldChar w:fldCharType="separate"/>
          </w:r>
          <w:r>
            <w:rPr>
              <w:rFonts w:ascii="黑体" w:hAnsi="黑体" w:eastAsia="黑体"/>
            </w:rPr>
            <w:t>第5章  结论与展望</w:t>
          </w:r>
          <w:r>
            <w:tab/>
          </w:r>
          <w:r>
            <w:fldChar w:fldCharType="begin"/>
          </w:r>
          <w:r>
            <w:instrText xml:space="preserve"> PAGEREF _Toc16117 \h </w:instrText>
          </w:r>
          <w:r>
            <w:fldChar w:fldCharType="separate"/>
          </w:r>
          <w:r>
            <w:t>14</w:t>
          </w:r>
          <w:r>
            <w:fldChar w:fldCharType="end"/>
          </w:r>
          <w:r>
            <w:rPr>
              <w:rFonts w:ascii="Times New Roman" w:hAnsi="Times New Roman" w:eastAsia="宋体" w:cs="Times New Roman"/>
              <w:kern w:val="2"/>
              <w:szCs w:val="24"/>
              <w:lang w:val="en-US" w:eastAsia="zh-CN" w:bidi="ar-SA"/>
            </w:rPr>
            <w:fldChar w:fldCharType="end"/>
          </w:r>
        </w:p>
        <w:p w14:paraId="05993A11">
          <w:pPr>
            <w:pStyle w:val="9"/>
            <w:tabs>
              <w:tab w:val="right" w:leader="dot" w:pos="8306"/>
            </w:tabs>
          </w:pPr>
          <w:r>
            <w:rPr>
              <w:rFonts w:ascii="Times New Roman" w:hAnsi="Times New Roman" w:eastAsia="宋体" w:cs="Times New Roman"/>
              <w:kern w:val="2"/>
              <w:szCs w:val="24"/>
              <w:lang w:val="en-US" w:eastAsia="zh-CN" w:bidi="ar-SA"/>
            </w:rPr>
            <w:fldChar w:fldCharType="begin"/>
          </w:r>
          <w:r>
            <w:rPr>
              <w:rFonts w:ascii="Times New Roman" w:hAnsi="Times New Roman" w:eastAsia="宋体" w:cs="Times New Roman"/>
              <w:kern w:val="2"/>
              <w:szCs w:val="24"/>
              <w:lang w:val="en-US" w:eastAsia="zh-CN" w:bidi="ar-SA"/>
            </w:rPr>
            <w:instrText xml:space="preserve"> HYPERLINK \l _Toc11652 </w:instrText>
          </w:r>
          <w:r>
            <w:rPr>
              <w:rFonts w:ascii="Times New Roman" w:hAnsi="Times New Roman" w:eastAsia="宋体" w:cs="Times New Roman"/>
              <w:kern w:val="2"/>
              <w:szCs w:val="24"/>
              <w:lang w:val="en-US" w:eastAsia="zh-CN" w:bidi="ar-SA"/>
            </w:rPr>
            <w:fldChar w:fldCharType="separate"/>
          </w:r>
          <w:r>
            <w:rPr>
              <w:rFonts w:ascii="黑体" w:hAnsi="黑体" w:eastAsia="黑体"/>
            </w:rPr>
            <w:t>参考文献</w:t>
          </w:r>
          <w:r>
            <w:tab/>
          </w:r>
          <w:r>
            <w:fldChar w:fldCharType="begin"/>
          </w:r>
          <w:r>
            <w:instrText xml:space="preserve"> PAGEREF _Toc11652 \h </w:instrText>
          </w:r>
          <w:r>
            <w:fldChar w:fldCharType="separate"/>
          </w:r>
          <w:r>
            <w:t>15</w:t>
          </w:r>
          <w:r>
            <w:fldChar w:fldCharType="end"/>
          </w:r>
          <w:r>
            <w:rPr>
              <w:rFonts w:ascii="Times New Roman" w:hAnsi="Times New Roman" w:eastAsia="宋体" w:cs="Times New Roman"/>
              <w:kern w:val="2"/>
              <w:szCs w:val="24"/>
              <w:lang w:val="en-US" w:eastAsia="zh-CN" w:bidi="ar-SA"/>
            </w:rPr>
            <w:fldChar w:fldCharType="end"/>
          </w:r>
        </w:p>
        <w:p w14:paraId="57096B62">
          <w:pPr>
            <w:rPr>
              <w:rFonts w:ascii="Times New Roman" w:hAnsi="Times New Roman" w:eastAsia="宋体" w:cs="Times New Roman"/>
              <w:kern w:val="2"/>
              <w:sz w:val="21"/>
              <w:szCs w:val="24"/>
              <w:lang w:val="en-US" w:eastAsia="zh-CN" w:bidi="ar-SA"/>
            </w:rPr>
          </w:pPr>
          <w:r>
            <w:rPr>
              <w:rFonts w:ascii="Times New Roman" w:hAnsi="Times New Roman" w:eastAsia="宋体" w:cs="Times New Roman"/>
              <w:kern w:val="2"/>
              <w:szCs w:val="24"/>
              <w:lang w:val="en-US" w:eastAsia="zh-CN" w:bidi="ar-SA"/>
            </w:rPr>
            <w:fldChar w:fldCharType="end"/>
          </w:r>
        </w:p>
      </w:sdtContent>
    </w:sdt>
    <w:p w14:paraId="0117CD23">
      <w:pPr>
        <w:rPr>
          <w:rFonts w:ascii="Times New Roman" w:hAnsi="Times New Roman" w:eastAsia="宋体" w:cs="Times New Roman"/>
          <w:kern w:val="2"/>
          <w:sz w:val="21"/>
          <w:szCs w:val="24"/>
          <w:lang w:val="en-US" w:eastAsia="zh-CN" w:bidi="ar-SA"/>
        </w:rPr>
      </w:pPr>
    </w:p>
    <w:p w14:paraId="08EE19B0">
      <w:pPr>
        <w:rPr>
          <w:rFonts w:ascii="Times New Roman" w:hAnsi="Times New Roman" w:eastAsia="宋体" w:cs="Times New Roman"/>
          <w:kern w:val="2"/>
          <w:sz w:val="21"/>
          <w:szCs w:val="24"/>
          <w:lang w:val="en-US" w:eastAsia="zh-CN" w:bidi="ar-SA"/>
        </w:rPr>
      </w:pPr>
    </w:p>
    <w:p w14:paraId="68378DC5">
      <w:pPr>
        <w:rPr>
          <w:rFonts w:ascii="Times New Roman" w:hAnsi="Times New Roman" w:eastAsia="宋体" w:cs="Times New Roman"/>
          <w:kern w:val="2"/>
          <w:sz w:val="21"/>
          <w:szCs w:val="24"/>
          <w:lang w:val="en-US" w:eastAsia="zh-CN" w:bidi="ar-SA"/>
        </w:rPr>
      </w:pPr>
    </w:p>
    <w:p w14:paraId="7227E0F1">
      <w:pPr>
        <w:rPr>
          <w:rFonts w:ascii="Times New Roman" w:hAnsi="Times New Roman" w:eastAsia="宋体" w:cs="Times New Roman"/>
          <w:kern w:val="2"/>
          <w:sz w:val="21"/>
          <w:szCs w:val="24"/>
          <w:lang w:val="en-US" w:eastAsia="zh-CN" w:bidi="ar-SA"/>
        </w:rPr>
      </w:pPr>
    </w:p>
    <w:p w14:paraId="10AFB0FC">
      <w:pPr>
        <w:rPr>
          <w:rFonts w:ascii="Times New Roman" w:hAnsi="Times New Roman" w:eastAsia="宋体" w:cs="Times New Roman"/>
          <w:kern w:val="2"/>
          <w:sz w:val="21"/>
          <w:szCs w:val="24"/>
          <w:lang w:val="en-US" w:eastAsia="zh-CN" w:bidi="ar-SA"/>
        </w:rPr>
      </w:pPr>
    </w:p>
    <w:p w14:paraId="310985BA">
      <w:pPr>
        <w:rPr>
          <w:rFonts w:ascii="Times New Roman" w:hAnsi="Times New Roman" w:eastAsia="宋体" w:cs="Times New Roman"/>
          <w:kern w:val="2"/>
          <w:sz w:val="21"/>
          <w:szCs w:val="24"/>
          <w:lang w:val="en-US" w:eastAsia="zh-CN" w:bidi="ar-SA"/>
        </w:rPr>
      </w:pPr>
    </w:p>
    <w:p w14:paraId="105C5503">
      <w:pPr>
        <w:rPr>
          <w:rFonts w:ascii="Times New Roman" w:hAnsi="Times New Roman" w:eastAsia="宋体" w:cs="Times New Roman"/>
          <w:kern w:val="2"/>
          <w:sz w:val="21"/>
          <w:szCs w:val="24"/>
          <w:lang w:val="en-US" w:eastAsia="zh-CN" w:bidi="ar-SA"/>
        </w:rPr>
      </w:pPr>
    </w:p>
    <w:p w14:paraId="37A65E40">
      <w:pPr>
        <w:rPr>
          <w:rFonts w:ascii="Times New Roman" w:hAnsi="Times New Roman" w:eastAsia="宋体" w:cs="Times New Roman"/>
          <w:kern w:val="2"/>
          <w:sz w:val="21"/>
          <w:szCs w:val="24"/>
          <w:lang w:val="en-US" w:eastAsia="zh-CN" w:bidi="ar-SA"/>
        </w:rPr>
      </w:pPr>
    </w:p>
    <w:p w14:paraId="771B86AC">
      <w:pPr>
        <w:rPr>
          <w:rFonts w:ascii="Times New Roman" w:hAnsi="Times New Roman" w:eastAsia="宋体" w:cs="Times New Roman"/>
          <w:kern w:val="2"/>
          <w:sz w:val="21"/>
          <w:szCs w:val="24"/>
          <w:lang w:val="en-US" w:eastAsia="zh-CN" w:bidi="ar-SA"/>
        </w:rPr>
      </w:pPr>
    </w:p>
    <w:p w14:paraId="15454001">
      <w:pPr>
        <w:rPr>
          <w:rFonts w:ascii="Times New Roman" w:hAnsi="Times New Roman" w:eastAsia="宋体" w:cs="Times New Roman"/>
          <w:kern w:val="2"/>
          <w:sz w:val="21"/>
          <w:szCs w:val="24"/>
          <w:lang w:val="en-US" w:eastAsia="zh-CN" w:bidi="ar-SA"/>
        </w:rPr>
      </w:pPr>
    </w:p>
    <w:p w14:paraId="5CFE3FC1">
      <w:pPr>
        <w:rPr>
          <w:rFonts w:ascii="Times New Roman" w:hAnsi="Times New Roman" w:eastAsia="宋体" w:cs="Times New Roman"/>
          <w:kern w:val="2"/>
          <w:sz w:val="21"/>
          <w:szCs w:val="24"/>
          <w:lang w:val="en-US" w:eastAsia="zh-CN" w:bidi="ar-SA"/>
        </w:rPr>
      </w:pPr>
    </w:p>
    <w:p w14:paraId="5D8FEA24">
      <w:pPr>
        <w:rPr>
          <w:rFonts w:ascii="Times New Roman" w:hAnsi="Times New Roman" w:eastAsia="宋体" w:cs="Times New Roman"/>
          <w:kern w:val="2"/>
          <w:sz w:val="21"/>
          <w:szCs w:val="24"/>
          <w:lang w:val="en-US" w:eastAsia="zh-CN" w:bidi="ar-SA"/>
        </w:rPr>
      </w:pPr>
    </w:p>
    <w:p w14:paraId="15081C96">
      <w:pPr>
        <w:rPr>
          <w:rFonts w:ascii="Times New Roman" w:hAnsi="Times New Roman" w:eastAsia="宋体" w:cs="Times New Roman"/>
          <w:kern w:val="2"/>
          <w:sz w:val="21"/>
          <w:szCs w:val="24"/>
          <w:lang w:val="en-US" w:eastAsia="zh-CN" w:bidi="ar-SA"/>
        </w:rPr>
      </w:pPr>
    </w:p>
    <w:p w14:paraId="585A4B70">
      <w:pPr>
        <w:spacing w:before="120" w:after="120"/>
        <w:jc w:val="center"/>
        <w:outlineLvl w:val="0"/>
        <w:rPr>
          <w:sz w:val="28"/>
          <w:szCs w:val="28"/>
        </w:rPr>
      </w:pPr>
      <w:bookmarkStart w:id="0" w:name="_Toc14679"/>
      <w:bookmarkStart w:id="1" w:name="_Toc24336"/>
      <w:r>
        <w:rPr>
          <w:rFonts w:ascii="黑体" w:hAnsi="黑体" w:eastAsia="黑体"/>
          <w:b/>
          <w:sz w:val="28"/>
          <w:szCs w:val="28"/>
        </w:rPr>
        <w:t>摘  要</w:t>
      </w:r>
      <w:bookmarkEnd w:id="0"/>
      <w:bookmarkEnd w:id="1"/>
    </w:p>
    <w:p w14:paraId="4960F793">
      <w:pPr>
        <w:spacing w:before="0" w:after="0" w:line="440" w:lineRule="exact"/>
        <w:ind w:firstLine="480"/>
        <w:jc w:val="both"/>
      </w:pPr>
      <w:r>
        <w:rPr>
          <w:rFonts w:ascii="宋体" w:hAnsi="宋体" w:eastAsia="宋体"/>
          <w:sz w:val="24"/>
        </w:rPr>
        <w:t>随着电子商务的快速发展，电商物流行业规模持续扩大，由此引发的包装废弃物问题日益突出。过度包装不仅造成资源浪费，更对生态环境产生深远影响，绿色包装与可持续发展已成为物流行业转型升级的重要命题。本文从绿色包装的概念界定与理论基础出发，系统梳理当前电商物流包装领域的使用现状与突出问题，重点聚焦过度包装、包装材料难以降解及回收体系不健全等核心痛点，并结合国内外先进实践经验，从包装材料绿色化替代、包装结构减量化设计、循环包装回收体系建设以及政策法规协同保障等四个维度，提出系统性的路径建议。研究表明，推动电商物流包装绿色化转型需要政府、平台、企业和消费者多方协同，通过标准体系完善、循环经济模式创新和技术应用升级，可有效降低包装废弃物总量，实现物流行业的可持续发展目标。</w:t>
      </w:r>
    </w:p>
    <w:p w14:paraId="0403079D">
      <w:pPr>
        <w:spacing w:before="120" w:after="0"/>
        <w:ind w:firstLine="0"/>
        <w:jc w:val="both"/>
      </w:pPr>
      <w:r>
        <w:rPr>
          <w:rFonts w:ascii="黑体" w:hAnsi="黑体" w:eastAsia="黑体"/>
          <w:b/>
          <w:sz w:val="24"/>
        </w:rPr>
        <w:t>关键词：</w:t>
      </w:r>
      <w:r>
        <w:rPr>
          <w:rFonts w:ascii="宋体" w:hAnsi="宋体" w:eastAsia="宋体"/>
          <w:sz w:val="24"/>
        </w:rPr>
        <w:t>绿色包装；电商物流；减量化；循环利用；可持续发展</w:t>
      </w:r>
    </w:p>
    <w:p w14:paraId="6BF7EE31"/>
    <w:p w14:paraId="0CE843E6"/>
    <w:p w14:paraId="7F270C10"/>
    <w:p w14:paraId="42FCDE65"/>
    <w:p w14:paraId="49C91CE2"/>
    <w:p w14:paraId="040BFE67"/>
    <w:p w14:paraId="17B4088A"/>
    <w:p w14:paraId="71DDD798"/>
    <w:p w14:paraId="257B9E80"/>
    <w:p w14:paraId="0A2F5D63"/>
    <w:p w14:paraId="71FD3D8C"/>
    <w:p w14:paraId="7F32834F"/>
    <w:p w14:paraId="276F0E62"/>
    <w:p w14:paraId="17CC68CC"/>
    <w:p w14:paraId="2B224295"/>
    <w:p w14:paraId="1FE4787E"/>
    <w:p w14:paraId="4FB5180E"/>
    <w:p w14:paraId="468372D6"/>
    <w:p w14:paraId="1EA98C93"/>
    <w:p w14:paraId="0ED476B4"/>
    <w:p w14:paraId="767744A1"/>
    <w:p w14:paraId="0260EE7A"/>
    <w:p w14:paraId="4807A839"/>
    <w:p w14:paraId="59F786D5"/>
    <w:p w14:paraId="2E8AD217"/>
    <w:p w14:paraId="5820B372">
      <w:pPr>
        <w:spacing w:before="120" w:after="120"/>
        <w:jc w:val="center"/>
        <w:outlineLvl w:val="0"/>
      </w:pPr>
      <w:bookmarkStart w:id="2" w:name="_Toc11379"/>
      <w:bookmarkStart w:id="3" w:name="_Toc31263"/>
      <w:r>
        <w:rPr>
          <w:rFonts w:ascii="Times New Roman" w:hAnsi="Times New Roman" w:eastAsia="Times New Roman"/>
          <w:b/>
          <w:sz w:val="28"/>
        </w:rPr>
        <w:t>Abstract</w:t>
      </w:r>
      <w:bookmarkEnd w:id="2"/>
      <w:bookmarkEnd w:id="3"/>
    </w:p>
    <w:p w14:paraId="19B8E5DB">
      <w:pPr>
        <w:spacing w:before="0" w:after="0" w:line="440" w:lineRule="exact"/>
        <w:ind w:firstLine="480"/>
        <w:jc w:val="both"/>
      </w:pPr>
      <w:r>
        <w:rPr>
          <w:rFonts w:ascii="Times New Roman" w:hAnsi="Times New Roman"/>
          <w:sz w:val="24"/>
        </w:rPr>
        <w:t>With the rapid development of e-commerce, the scale of e-commerce logistics has continued to expand, which has led to increasingly prominent packaging waste issues. Excessive packaging not only wastes resources but also has far-reaching impacts on the ecological environment. Green packaging and sustainable development have become important themes for the transformation and upgrading of the logistics industry. Starting from the conceptual definition and theoretical basis of green packaging, this paper systematically reviews the current situation and prominent problems in the field of e-commerce logistics packaging, focusing on the core pain points of excessive packaging, the difficulty in degrading packaging materials, and the imperfect recycling system. Combined with advanced domestic and foreign practices, this paper proposes systematic path recommendations from four dimensions: green material substitution, packaging structure lightweighting design, circular packaging recycling system construction, and coordinated policy and regulatory support. Research shows that promoting the green transformation of e-commerce logistics packaging requires collaboration among governments, platforms, enterprises, and consumers.</w:t>
      </w:r>
    </w:p>
    <w:p w14:paraId="762F9E6A">
      <w:pPr>
        <w:spacing w:before="120" w:after="0"/>
        <w:ind w:firstLine="0"/>
        <w:jc w:val="both"/>
      </w:pPr>
      <w:r>
        <w:rPr>
          <w:rFonts w:ascii="Times New Roman" w:hAnsi="Times New Roman"/>
          <w:b/>
          <w:sz w:val="24"/>
        </w:rPr>
        <w:t xml:space="preserve">Keywords: </w:t>
      </w:r>
      <w:r>
        <w:rPr>
          <w:rFonts w:ascii="Times New Roman" w:hAnsi="Times New Roman"/>
          <w:sz w:val="24"/>
        </w:rPr>
        <w:t>green packaging; e-commerce logistics; reduction; recycling; sustainable development</w:t>
      </w:r>
    </w:p>
    <w:p w14:paraId="3D29C11C">
      <w:r>
        <w:br w:type="page"/>
      </w:r>
    </w:p>
    <w:p w14:paraId="282CF0C6">
      <w:pPr>
        <w:spacing w:before="120" w:after="120"/>
        <w:jc w:val="center"/>
        <w:outlineLvl w:val="0"/>
        <w:rPr>
          <w:b w:val="0"/>
          <w:bCs/>
          <w:sz w:val="28"/>
          <w:szCs w:val="28"/>
        </w:rPr>
      </w:pPr>
      <w:bookmarkStart w:id="4" w:name="_Toc14586"/>
      <w:bookmarkStart w:id="5" w:name="_Toc18162"/>
      <w:r>
        <w:rPr>
          <w:rFonts w:ascii="黑体" w:hAnsi="黑体" w:eastAsia="黑体"/>
          <w:b w:val="0"/>
          <w:bCs/>
          <w:sz w:val="28"/>
          <w:szCs w:val="28"/>
        </w:rPr>
        <w:t>第1章  绪论</w:t>
      </w:r>
      <w:bookmarkEnd w:id="4"/>
      <w:bookmarkEnd w:id="5"/>
    </w:p>
    <w:p w14:paraId="7E3323C3">
      <w:pPr>
        <w:pStyle w:val="4"/>
        <w:bidi w:val="0"/>
        <w:rPr>
          <w:rFonts w:hint="eastAsia" w:ascii="宋体" w:hAnsi="宋体" w:eastAsia="宋体" w:cs="宋体"/>
          <w:b w:val="0"/>
          <w:bCs/>
          <w:sz w:val="28"/>
          <w:szCs w:val="28"/>
        </w:rPr>
      </w:pPr>
      <w:bookmarkStart w:id="6" w:name="_Toc16362"/>
      <w:r>
        <w:rPr>
          <w:rFonts w:hint="eastAsia" w:ascii="宋体" w:hAnsi="宋体" w:eastAsia="宋体" w:cs="宋体"/>
          <w:b w:val="0"/>
          <w:bCs/>
          <w:sz w:val="28"/>
          <w:szCs w:val="28"/>
        </w:rPr>
        <w:t>1.1  研究背景与意义</w:t>
      </w:r>
      <w:bookmarkEnd w:id="6"/>
    </w:p>
    <w:p w14:paraId="297006E4">
      <w:pPr>
        <w:spacing w:before="0" w:after="0"/>
        <w:ind w:firstLine="480" w:firstLineChars="0"/>
        <w:jc w:val="left"/>
        <w:outlineLvl w:val="2"/>
        <w:rPr>
          <w:b w:val="0"/>
          <w:bCs/>
          <w:sz w:val="24"/>
          <w:szCs w:val="24"/>
        </w:rPr>
      </w:pPr>
      <w:bookmarkStart w:id="7" w:name="_Toc19037"/>
      <w:r>
        <w:rPr>
          <w:rFonts w:ascii="宋体" w:hAnsi="宋体" w:eastAsia="宋体"/>
          <w:b w:val="0"/>
          <w:bCs/>
          <w:sz w:val="24"/>
          <w:szCs w:val="24"/>
        </w:rPr>
        <w:t>1.1.1  研究背景</w:t>
      </w:r>
      <w:bookmarkEnd w:id="7"/>
    </w:p>
    <w:p w14:paraId="4238688C">
      <w:pPr>
        <w:spacing w:before="0" w:after="0" w:line="440" w:lineRule="exact"/>
        <w:ind w:firstLine="480"/>
        <w:jc w:val="both"/>
      </w:pPr>
      <w:r>
        <w:rPr>
          <w:rFonts w:ascii="宋体" w:hAnsi="宋体" w:eastAsia="宋体"/>
          <w:b w:val="0"/>
          <w:sz w:val="24"/>
        </w:rPr>
        <w:t>近年来，随着数字经济的迅猛崛起，电子商务在我国的渗透率持续攀升。国家邮政局数据显示，2023年全国快递业务量累计完成1320.7亿件，同比增长19.4%，连续10年位居世界第一。庞大的快递包裹量背后，是同样惊人的包装材料消耗量——据估算，每年仅电商行业消耗的纸箱、塑料袋、胶带等包装材料就超过百亿件次，由此产生的固体废弃物形成了不可忽视的环境压力。</w:t>
      </w:r>
    </w:p>
    <w:p w14:paraId="795BE38A">
      <w:pPr>
        <w:spacing w:before="0" w:after="0" w:line="440" w:lineRule="exact"/>
        <w:ind w:firstLine="480"/>
        <w:jc w:val="both"/>
      </w:pPr>
      <w:r>
        <w:rPr>
          <w:rFonts w:ascii="宋体" w:hAnsi="宋体" w:eastAsia="宋体"/>
          <w:b w:val="0"/>
          <w:sz w:val="24"/>
        </w:rPr>
        <w:t>与此同时，"双碳"目标的确立为物流行业绿色转型提供了政策指引。2022年，国家发展改革委等部门联合印发《关于加快推进快递包装绿色转型的意见》，明确提出到2025年电商快件基本实现不再二次包装，可循环快递包装应用规模达到1000万个。这一系列政策导向表明，绿色包装已从企业自发探索走向国家战略部署的重要议题。</w:t>
      </w:r>
    </w:p>
    <w:p w14:paraId="58004693">
      <w:pPr>
        <w:spacing w:before="0" w:after="0" w:line="440" w:lineRule="exact"/>
        <w:ind w:firstLine="480"/>
        <w:jc w:val="both"/>
      </w:pPr>
      <w:r>
        <w:rPr>
          <w:rFonts w:ascii="宋体" w:hAnsi="宋体" w:eastAsia="宋体"/>
          <w:b w:val="0"/>
          <w:sz w:val="24"/>
        </w:rPr>
        <w:t>在此背景下，深入研究电商物流包装的减量化路径与循环利用机制，不仅具有重要的学术价值，更对推动行业实践、促进生态文明建设具有现实意义。</w:t>
      </w:r>
    </w:p>
    <w:p w14:paraId="3A75426E">
      <w:pPr>
        <w:spacing w:before="0" w:after="0"/>
        <w:ind w:firstLine="480" w:firstLineChars="0"/>
        <w:jc w:val="left"/>
        <w:outlineLvl w:val="2"/>
        <w:rPr>
          <w:b w:val="0"/>
          <w:bCs/>
        </w:rPr>
      </w:pPr>
      <w:bookmarkStart w:id="8" w:name="_Toc20445"/>
      <w:r>
        <w:rPr>
          <w:rFonts w:ascii="宋体" w:hAnsi="宋体" w:eastAsia="宋体"/>
          <w:b w:val="0"/>
          <w:bCs/>
          <w:sz w:val="24"/>
        </w:rPr>
        <w:t>1.1.2  研究意义</w:t>
      </w:r>
      <w:bookmarkEnd w:id="8"/>
    </w:p>
    <w:p w14:paraId="6CB5C4BE">
      <w:pPr>
        <w:spacing w:before="0" w:after="0" w:line="440" w:lineRule="exact"/>
        <w:ind w:firstLine="480"/>
        <w:jc w:val="both"/>
        <w:rPr>
          <w:rFonts w:hint="eastAsia" w:ascii="宋体" w:hAnsi="宋体" w:eastAsia="宋体" w:cs="宋体"/>
          <w:b w:val="0"/>
          <w:bCs w:val="0"/>
        </w:rPr>
      </w:pPr>
      <w:r>
        <w:rPr>
          <w:rFonts w:ascii="宋体" w:hAnsi="宋体" w:eastAsia="宋体"/>
          <w:b w:val="0"/>
          <w:sz w:val="24"/>
        </w:rPr>
        <w:t>从理论层面看，本文系统梳理绿色包装理论体系，将生命周期评价（LCA）、</w:t>
      </w:r>
      <w:r>
        <w:rPr>
          <w:rFonts w:hint="eastAsia" w:ascii="宋体" w:hAnsi="宋体" w:eastAsia="宋体" w:cs="宋体"/>
          <w:b w:val="0"/>
          <w:sz w:val="24"/>
        </w:rPr>
        <w:t>循环经济理论与物流包装管理实践相融合，有助于丰富物流包装领域的理论研究框架。从实践层面看，本文提出的减量化设计路径和循环回收体系建议，可为快</w:t>
      </w:r>
      <w:r>
        <w:rPr>
          <w:rFonts w:hint="eastAsia" w:ascii="宋体" w:hAnsi="宋体" w:eastAsia="宋体" w:cs="宋体"/>
          <w:b w:val="0"/>
          <w:bCs w:val="0"/>
          <w:sz w:val="24"/>
        </w:rPr>
        <w:t>递企业、电商平台及政策制定者提供切实可行的参考依据，助力行业绿色转型。</w:t>
      </w:r>
    </w:p>
    <w:p w14:paraId="0F5A4928">
      <w:pPr>
        <w:spacing w:before="60" w:after="60"/>
        <w:ind w:firstLine="0" w:firstLineChars="0"/>
        <w:jc w:val="left"/>
        <w:outlineLvl w:val="1"/>
        <w:rPr>
          <w:rFonts w:hint="eastAsia" w:ascii="宋体" w:hAnsi="宋体" w:eastAsia="宋体" w:cs="宋体"/>
          <w:b w:val="0"/>
          <w:bCs w:val="0"/>
        </w:rPr>
      </w:pPr>
      <w:bookmarkStart w:id="9" w:name="_Toc510"/>
      <w:r>
        <w:rPr>
          <w:rFonts w:hint="eastAsia" w:ascii="宋体" w:hAnsi="宋体" w:eastAsia="宋体" w:cs="宋体"/>
          <w:b w:val="0"/>
          <w:bCs w:val="0"/>
          <w:sz w:val="24"/>
        </w:rPr>
        <w:t>1.2  国内外研究现状</w:t>
      </w:r>
      <w:bookmarkEnd w:id="9"/>
    </w:p>
    <w:p w14:paraId="27B2AE1B">
      <w:pPr>
        <w:spacing w:before="0" w:after="0"/>
        <w:ind w:firstLine="480" w:firstLineChars="0"/>
        <w:jc w:val="left"/>
        <w:outlineLvl w:val="2"/>
        <w:rPr>
          <w:rFonts w:hint="eastAsia" w:ascii="宋体" w:hAnsi="宋体" w:eastAsia="宋体" w:cs="宋体"/>
          <w:b w:val="0"/>
          <w:bCs w:val="0"/>
        </w:rPr>
      </w:pPr>
      <w:bookmarkStart w:id="10" w:name="_Toc20524"/>
      <w:r>
        <w:rPr>
          <w:rFonts w:hint="eastAsia" w:ascii="宋体" w:hAnsi="宋体" w:eastAsia="宋体" w:cs="宋体"/>
          <w:b w:val="0"/>
          <w:bCs w:val="0"/>
          <w:sz w:val="24"/>
        </w:rPr>
        <w:t>1.2.1  国外研究现状</w:t>
      </w:r>
      <w:bookmarkEnd w:id="10"/>
    </w:p>
    <w:p w14:paraId="0D55AB2A">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国际上，绿色包装研究起步较早。德国于1991年率先颁布《包装条例》（Verpackungsverordnung），建立生产者责任延伸制度（EPR），要求制造商和销售商承担包装废弃物的回收处置责任，确立了全球包装废弃物治理的制度基准。此后，欧盟通过《包装和包装废弃物指令》不断强化包装减量与回收目标，要求到2030年实现所有包装100%可回收。</w:t>
      </w:r>
    </w:p>
    <w:p w14:paraId="5C269C73">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在学术研究层面，Prendergast &amp; Pitt（1996）较早关注包装的环境影响评价，指出包装全生命周期的资源消耗和排放问题。Svanes等（2010）则将生命周期评价方法引入食品包装设计，为量化绿色包装效益提供了方法论基础。近年来，Verghese等（2015）从供应链视角系统研究包装减量化策略，证实轻量化设计可在全链条实现显著的碳排放削减效果。</w:t>
      </w:r>
    </w:p>
    <w:p w14:paraId="26761BF3">
      <w:pPr>
        <w:spacing w:before="0" w:after="0"/>
        <w:ind w:firstLine="480" w:firstLineChars="0"/>
        <w:jc w:val="left"/>
        <w:outlineLvl w:val="2"/>
        <w:rPr>
          <w:rFonts w:hint="eastAsia" w:ascii="宋体" w:hAnsi="宋体" w:eastAsia="宋体" w:cs="宋体"/>
          <w:b w:val="0"/>
          <w:bCs w:val="0"/>
        </w:rPr>
      </w:pPr>
      <w:bookmarkStart w:id="11" w:name="_Toc29348"/>
      <w:r>
        <w:rPr>
          <w:rFonts w:hint="eastAsia" w:ascii="宋体" w:hAnsi="宋体" w:eastAsia="宋体" w:cs="宋体"/>
          <w:b w:val="0"/>
          <w:bCs w:val="0"/>
          <w:sz w:val="24"/>
        </w:rPr>
        <w:t>1.2.2  国内研究现状</w:t>
      </w:r>
      <w:bookmarkEnd w:id="11"/>
    </w:p>
    <w:p w14:paraId="5F019BAF">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国内对快递包装问题的关注随电商的快速发展而逐步深化。刘秉镰等（2018）对快递包装废弃物的生成规律进行了测算分析，揭示了我国快递包装废弃物增长的结构性特征。王建国等（2020）从循环经济视角构建了快递包装回收利用的分析框架，提出基于"减量化—再利用—再循环"的3R管理模式。近年来，也有学者关注消费者绿色包装偏好及其影响因素，发现消费者的环保意识、支付意愿和企业激励机制共同决定了绿色包装市场的推广效果。</w:t>
      </w:r>
    </w:p>
    <w:p w14:paraId="6590A63F">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总体而言，现有研究在包装材料、回收机制、消费行为等单一维度上已有较为丰富的成果，但将减量化设计、循环回收体系与政策协同机制整合起来的系统性研究仍相对不足，本文即在此方面作出补充。</w:t>
      </w:r>
    </w:p>
    <w:p w14:paraId="1DF106E9">
      <w:pPr>
        <w:spacing w:before="60" w:after="60"/>
        <w:ind w:firstLine="0" w:firstLineChars="0"/>
        <w:jc w:val="left"/>
        <w:outlineLvl w:val="1"/>
        <w:rPr>
          <w:rFonts w:hint="eastAsia" w:ascii="宋体" w:hAnsi="宋体" w:eastAsia="宋体" w:cs="宋体"/>
          <w:b w:val="0"/>
          <w:bCs w:val="0"/>
        </w:rPr>
      </w:pPr>
      <w:bookmarkStart w:id="12" w:name="_Toc29731"/>
      <w:r>
        <w:rPr>
          <w:rFonts w:hint="eastAsia" w:ascii="宋体" w:hAnsi="宋体" w:eastAsia="宋体" w:cs="宋体"/>
          <w:b w:val="0"/>
          <w:bCs w:val="0"/>
          <w:sz w:val="24"/>
        </w:rPr>
        <w:t>1.3  研究思路与方法</w:t>
      </w:r>
      <w:bookmarkEnd w:id="12"/>
    </w:p>
    <w:p w14:paraId="699200C0">
      <w:pPr>
        <w:spacing w:before="0" w:after="0"/>
        <w:ind w:firstLine="480" w:firstLineChars="0"/>
        <w:jc w:val="left"/>
        <w:outlineLvl w:val="2"/>
        <w:rPr>
          <w:rFonts w:hint="eastAsia" w:ascii="宋体" w:hAnsi="宋体" w:eastAsia="宋体" w:cs="宋体"/>
          <w:b w:val="0"/>
          <w:bCs w:val="0"/>
        </w:rPr>
      </w:pPr>
      <w:bookmarkStart w:id="13" w:name="_Toc17698"/>
      <w:r>
        <w:rPr>
          <w:rFonts w:hint="eastAsia" w:ascii="宋体" w:hAnsi="宋体" w:eastAsia="宋体" w:cs="宋体"/>
          <w:b w:val="0"/>
          <w:bCs w:val="0"/>
          <w:sz w:val="24"/>
        </w:rPr>
        <w:t>1.3.1  研究思路</w:t>
      </w:r>
      <w:bookmarkEnd w:id="13"/>
    </w:p>
    <w:p w14:paraId="12E65572">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本文采用"问题识别—理论分析—路径构建"的研究框架。首先，从理论层面界定绿色包装的概念内涵，梳理支撑本研究的理论基础；其次，通过文献综述与案例分析，系统总结我国电商物流包装的现实问题；最后，从材料、结构、回收体系和政策保障四个维度，提出系统性的绿色包装路径建议，形成完整的研究闭环。</w:t>
      </w:r>
    </w:p>
    <w:p w14:paraId="49D4A7C0">
      <w:pPr>
        <w:spacing w:before="0" w:after="0"/>
        <w:ind w:firstLine="480" w:firstLineChars="0"/>
        <w:jc w:val="left"/>
        <w:outlineLvl w:val="2"/>
        <w:rPr>
          <w:rFonts w:hint="eastAsia" w:ascii="宋体" w:hAnsi="宋体" w:eastAsia="宋体" w:cs="宋体"/>
          <w:b w:val="0"/>
          <w:bCs w:val="0"/>
        </w:rPr>
      </w:pPr>
      <w:bookmarkStart w:id="14" w:name="_Toc24864"/>
      <w:r>
        <w:rPr>
          <w:rFonts w:hint="eastAsia" w:ascii="宋体" w:hAnsi="宋体" w:eastAsia="宋体" w:cs="宋体"/>
          <w:b w:val="0"/>
          <w:bCs w:val="0"/>
          <w:sz w:val="24"/>
        </w:rPr>
        <w:t>1.3.2  研究方法</w:t>
      </w:r>
      <w:bookmarkEnd w:id="14"/>
    </w:p>
    <w:p w14:paraId="16AD8994">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本文综合运用文献研究法、案例分析法和比较研究法。通过系统检索国内外相关文献，归纳绿色包装理论的演进脉络；通过分析京东、菜鸟、顺丰等企业的绿色包装实践案例，提炼可推广的经验模式；通过比较中外包装治理政策，找出我国的差距与改进方向，最终形成具有针对性的对策建议。</w:t>
      </w:r>
    </w:p>
    <w:p w14:paraId="37DBF820">
      <w:pPr>
        <w:rPr>
          <w:rFonts w:hint="eastAsia" w:ascii="宋体" w:hAnsi="宋体" w:eastAsia="宋体" w:cs="宋体"/>
          <w:b w:val="0"/>
          <w:bCs w:val="0"/>
        </w:rPr>
      </w:pPr>
      <w:r>
        <w:rPr>
          <w:rFonts w:hint="eastAsia" w:ascii="宋体" w:hAnsi="宋体" w:eastAsia="宋体" w:cs="宋体"/>
          <w:b w:val="0"/>
          <w:bCs w:val="0"/>
        </w:rPr>
        <w:br w:type="page"/>
      </w:r>
    </w:p>
    <w:p w14:paraId="1072C519">
      <w:pPr>
        <w:spacing w:before="120" w:after="120"/>
        <w:jc w:val="center"/>
        <w:outlineLvl w:val="0"/>
        <w:rPr>
          <w:rFonts w:hint="eastAsia" w:ascii="黑体" w:hAnsi="黑体" w:eastAsia="黑体" w:cs="黑体"/>
          <w:b w:val="0"/>
          <w:bCs w:val="0"/>
          <w:sz w:val="28"/>
          <w:szCs w:val="28"/>
        </w:rPr>
      </w:pPr>
      <w:bookmarkStart w:id="15" w:name="_Toc26948"/>
      <w:bookmarkStart w:id="16" w:name="_Toc29163"/>
      <w:r>
        <w:rPr>
          <w:rFonts w:hint="eastAsia" w:ascii="黑体" w:hAnsi="黑体" w:eastAsia="黑体" w:cs="黑体"/>
          <w:b w:val="0"/>
          <w:bCs w:val="0"/>
          <w:sz w:val="28"/>
          <w:szCs w:val="28"/>
        </w:rPr>
        <w:t>第2章  绿色包装的概念界定与理论基础</w:t>
      </w:r>
      <w:bookmarkEnd w:id="15"/>
      <w:bookmarkEnd w:id="16"/>
    </w:p>
    <w:p w14:paraId="0D449B41">
      <w:pPr>
        <w:spacing w:before="60" w:after="60"/>
        <w:ind w:firstLine="0" w:firstLineChars="0"/>
        <w:jc w:val="left"/>
        <w:outlineLvl w:val="1"/>
        <w:rPr>
          <w:rFonts w:hint="eastAsia" w:ascii="宋体" w:hAnsi="宋体" w:eastAsia="宋体" w:cs="宋体"/>
          <w:b w:val="0"/>
          <w:bCs w:val="0"/>
        </w:rPr>
      </w:pPr>
      <w:bookmarkStart w:id="17" w:name="_Toc7207"/>
      <w:r>
        <w:rPr>
          <w:rFonts w:hint="eastAsia" w:ascii="宋体" w:hAnsi="宋体" w:eastAsia="宋体" w:cs="宋体"/>
          <w:b w:val="0"/>
          <w:bCs w:val="0"/>
          <w:sz w:val="24"/>
        </w:rPr>
        <w:t>2.1  绿色包装的内涵与特征</w:t>
      </w:r>
      <w:bookmarkEnd w:id="17"/>
    </w:p>
    <w:p w14:paraId="32F88812">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绿色包装（Green Packaging），又称环境友好型包装或生态包装，是指在包装产品的全生命周期内（包括原材料采购、设计制造、运输使用和废弃处置各阶段），对人体健康和自然环境的危害最小、资源能源消耗最少，并且包装材料最终能够高效回收再利用的包装系统。</w:t>
      </w:r>
    </w:p>
    <w:p w14:paraId="6DCEA9D0">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国内通常以"4R1D"原则概括绿色包装的核心理念：Reduce（减量化）——从源头控制包装用量，避免过度包装；Reuse（再利用）——推广循环周转箱等可多次使用的包装容器；Recycle（再循环）——包装废弃物经分类回收后，通过再生工艺回用于原料生产；Recover（能量回收）——不能再循环利用的包装废弃物，通过焚烧等方式回收热能；Degradable（可降解）——包装材料在自然环境中能够在一定时间内分解为无害物质。这五个原则共同构成绿色包装的评价维度，也是指导包装设计、材料选择和废弃物管理的基本准则。</w:t>
      </w:r>
    </w:p>
    <w:p w14:paraId="4825686B">
      <w:pPr>
        <w:spacing w:before="60" w:after="60"/>
        <w:ind w:firstLine="0" w:firstLineChars="0"/>
        <w:jc w:val="left"/>
        <w:outlineLvl w:val="1"/>
        <w:rPr>
          <w:rFonts w:hint="eastAsia" w:ascii="宋体" w:hAnsi="宋体" w:eastAsia="宋体" w:cs="宋体"/>
          <w:b w:val="0"/>
          <w:bCs w:val="0"/>
        </w:rPr>
      </w:pPr>
      <w:bookmarkStart w:id="18" w:name="_Toc9931"/>
      <w:r>
        <w:rPr>
          <w:rFonts w:hint="eastAsia" w:ascii="宋体" w:hAnsi="宋体" w:eastAsia="宋体" w:cs="宋体"/>
          <w:b w:val="0"/>
          <w:bCs w:val="0"/>
          <w:sz w:val="24"/>
        </w:rPr>
        <w:t>2.2  可持续发展理论</w:t>
      </w:r>
      <w:bookmarkEnd w:id="18"/>
    </w:p>
    <w:p w14:paraId="5CDE9FB8">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可持续发展理论（Sustainable Development Theory）最早由1987年布伦特兰委员会在《我们共同的未来》报告中系统阐述，核心要义是"在不损害子孙后代满足其需求能力的前提下，满足当代人需求的发展"。可持续发展理论强调经济增长、社会公平与生态保护三者的动态平衡，为绿色包装研究提供了宏观框架。</w:t>
      </w:r>
    </w:p>
    <w:p w14:paraId="3FF26F31">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将可持续发展理论应用于物流包装领域，意味着包装的设计与管理不能仅着眼于当下的物流效率或经济成本，还必须将包装全生命周期的资源消耗、碳排放和废弃物产生纳入决策体系，实现经济效益与生态效益的协同最优。具体而言，包装企业需在产品竞争力和环境责任之间寻求平衡，电商平台需在配送效率和包装减量之间寻求协调，政策制定者则需通过标准规范和激励机制引导行业整体向绿色方向演进。</w:t>
      </w:r>
    </w:p>
    <w:p w14:paraId="2AC28F62">
      <w:pPr>
        <w:spacing w:before="60" w:after="60"/>
        <w:ind w:firstLine="0" w:firstLineChars="0"/>
        <w:jc w:val="left"/>
        <w:outlineLvl w:val="1"/>
        <w:rPr>
          <w:rFonts w:hint="eastAsia" w:ascii="宋体" w:hAnsi="宋体" w:eastAsia="宋体" w:cs="宋体"/>
          <w:b w:val="0"/>
          <w:bCs w:val="0"/>
        </w:rPr>
      </w:pPr>
      <w:bookmarkStart w:id="19" w:name="_Toc19789"/>
      <w:r>
        <w:rPr>
          <w:rFonts w:hint="eastAsia" w:ascii="宋体" w:hAnsi="宋体" w:eastAsia="宋体" w:cs="宋体"/>
          <w:b w:val="0"/>
          <w:bCs w:val="0"/>
          <w:sz w:val="24"/>
        </w:rPr>
        <w:t>2.3  生命周期评价理论（LCA）</w:t>
      </w:r>
      <w:bookmarkEnd w:id="19"/>
    </w:p>
    <w:p w14:paraId="0AEDF2B1">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生命周期评价（Life Cycle Assessment, LCA）是一种系统评估产品或服务在其整个生命周期内（从原材料提取到产品最终处置）对环境影响的方法论工具。根据ISO 14040/14044标准，LCA评价流程通常包括四个阶段：目标与范围定义、清单分析、影响评价和结果解释。</w:t>
      </w:r>
    </w:p>
    <w:p w14:paraId="0A17F801">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LCA在绿色包装研究中具有重要的方法论价值。通过对不同包装材料（如纸质包装、塑料包装、生物降解包装）的全生命周期环境影响进行量化比较，可以为材料替代方案的决策提供科学依据。例如，采用LCA方法对比传统瓦楞纸箱与可循环周转箱，可以发现在特定使用频次阈值以上，周转箱的单次碳足迹显著低于一次性纸箱，从而为推广循环包装提供定量支撑。</w:t>
      </w:r>
    </w:p>
    <w:p w14:paraId="3D290F07">
      <w:pPr>
        <w:rPr>
          <w:rFonts w:hint="eastAsia" w:ascii="宋体" w:hAnsi="宋体" w:eastAsia="宋体" w:cs="宋体"/>
          <w:b w:val="0"/>
          <w:bCs w:val="0"/>
        </w:rPr>
      </w:pPr>
      <w:r>
        <w:rPr>
          <w:rFonts w:hint="eastAsia" w:ascii="宋体" w:hAnsi="宋体" w:eastAsia="宋体" w:cs="宋体"/>
          <w:b w:val="0"/>
          <w:bCs w:val="0"/>
        </w:rPr>
        <w:br w:type="page"/>
      </w:r>
    </w:p>
    <w:p w14:paraId="4FE31E9D">
      <w:pPr>
        <w:spacing w:before="120" w:after="120"/>
        <w:jc w:val="center"/>
        <w:outlineLvl w:val="0"/>
        <w:rPr>
          <w:rFonts w:hint="eastAsia" w:ascii="黑体" w:hAnsi="黑体" w:eastAsia="黑体" w:cs="黑体"/>
          <w:b w:val="0"/>
          <w:bCs w:val="0"/>
          <w:sz w:val="28"/>
          <w:szCs w:val="28"/>
        </w:rPr>
      </w:pPr>
      <w:bookmarkStart w:id="20" w:name="_Toc120"/>
      <w:bookmarkStart w:id="21" w:name="_Toc7979"/>
      <w:r>
        <w:rPr>
          <w:rFonts w:hint="eastAsia" w:ascii="黑体" w:hAnsi="黑体" w:eastAsia="黑体" w:cs="黑体"/>
          <w:b w:val="0"/>
          <w:bCs w:val="0"/>
          <w:sz w:val="28"/>
          <w:szCs w:val="28"/>
        </w:rPr>
        <w:t>第3章  电商物流包装现状与问题分析</w:t>
      </w:r>
      <w:bookmarkEnd w:id="20"/>
      <w:bookmarkEnd w:id="21"/>
    </w:p>
    <w:p w14:paraId="00A3C154">
      <w:pPr>
        <w:spacing w:before="60" w:after="60"/>
        <w:ind w:firstLine="0" w:firstLineChars="0"/>
        <w:jc w:val="left"/>
        <w:outlineLvl w:val="1"/>
        <w:rPr>
          <w:rFonts w:hint="eastAsia" w:ascii="宋体" w:hAnsi="宋体" w:eastAsia="宋体" w:cs="宋体"/>
          <w:b w:val="0"/>
          <w:bCs w:val="0"/>
        </w:rPr>
      </w:pPr>
      <w:bookmarkStart w:id="22" w:name="_Toc20307"/>
      <w:r>
        <w:rPr>
          <w:rFonts w:hint="eastAsia" w:ascii="宋体" w:hAnsi="宋体" w:eastAsia="宋体" w:cs="宋体"/>
          <w:b w:val="0"/>
          <w:bCs w:val="0"/>
          <w:sz w:val="24"/>
        </w:rPr>
        <w:t>3.1  电商物流包装使用现状</w:t>
      </w:r>
      <w:bookmarkEnd w:id="22"/>
    </w:p>
    <w:p w14:paraId="0E4EE91F">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从包装材料构成来看，当前电商物流包装仍以纸质类和塑料类材料为主。纸质包装主要包括瓦楞纸箱、纸板、蜂窝纸等，占快递包装材料总量的60%左右；塑料类包装主要包括气泡袋、塑料薄膜、填充气柱、胶带等，虽然重量占比相对较低，但在降解和回收方面面临更大的环境压力。</w:t>
      </w:r>
    </w:p>
    <w:p w14:paraId="47D3DF79">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从区域分布来看，华东、华南和华北三地的包装消耗量合计占全国总量的75%以上，与电商交易的地域分布高度吻合。从应用场景来看，3C数码、家电、化妆品等品类的包装材料用量和体积普遍偏高，存在较为突出的过度包装现象；而食品、服装等品类的包装已逐步向轻量化方向转变。</w:t>
      </w:r>
    </w:p>
    <w:p w14:paraId="617CE3C7">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可喜的是，近年来绿色包装在头部电商平台中的渗透率有所提升。京东2023年可循环绿色包装使用量超过10亿次，菜鸟驿站在全国铺设近10万个纸箱回收点，顺丰的"丰盒"可循环周转箱已在部分城市实现规模化运营。但从全行业看，绿色包装的整体渗透率仍偏低，绿色化转型任重道远。</w:t>
      </w:r>
    </w:p>
    <w:p w14:paraId="62277CB2">
      <w:pPr>
        <w:spacing w:before="60" w:after="60"/>
        <w:ind w:firstLine="0" w:firstLineChars="0"/>
        <w:jc w:val="left"/>
        <w:outlineLvl w:val="1"/>
        <w:rPr>
          <w:rFonts w:hint="eastAsia" w:ascii="宋体" w:hAnsi="宋体" w:eastAsia="宋体" w:cs="宋体"/>
          <w:b w:val="0"/>
          <w:bCs w:val="0"/>
        </w:rPr>
      </w:pPr>
      <w:bookmarkStart w:id="23" w:name="_Toc11206"/>
      <w:r>
        <w:rPr>
          <w:rFonts w:hint="eastAsia" w:ascii="宋体" w:hAnsi="宋体" w:eastAsia="宋体" w:cs="宋体"/>
          <w:b w:val="0"/>
          <w:bCs w:val="0"/>
          <w:sz w:val="24"/>
        </w:rPr>
        <w:t>3.2  过度包装与资源浪费问题</w:t>
      </w:r>
      <w:bookmarkEnd w:id="23"/>
    </w:p>
    <w:p w14:paraId="724FAE19">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过度包装是电商物流包装领域最突出的痛点之一。所谓过度包装，是指包装在保护、运输、展示和信息传递等基本功能之外，使用了超过必要限度的包装材料、体积或层数。一般包括以下几种典型表现。</w:t>
      </w:r>
    </w:p>
    <w:p w14:paraId="45580A09">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第一，包装空隙率过高。调查显示，电商快递包裹的平均空隙率超过50%，部分商品的外箱体积是商品实际体积的3-5倍。大量空间被充气袋、泡沫块或纸质填充物填充，不仅浪费了材料，也降低了运输效率。第二，包装层数冗余。部分商品外有品牌礼盒、中有内衬填充、外有快递纸箱，三层甚至四层包装普遍存在，单一商品的包装重量有时超过商品本身。第三，不可降解材料滥用。聚苯乙烯（EPS）泡沫、多层复合塑料膜等难以降解和回收的材料依然大量使用，构成较为严峻的白色污染压力。</w:t>
      </w:r>
    </w:p>
    <w:p w14:paraId="63D35E04">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从资源消耗角度来看，过度包装的代价十分高昂。据中国物流与采购联合会测算，2022年全国快递包装共消耗瓦楞纸箱约100亿个，消耗塑料袋约150亿个，消耗胶带约730亿米，折合材料价值超过千亿元。若通过减量化设计将空隙率控制在合理范围内，每年可节省数百亿元的原材料成本，同时大幅削减碳排放量。</w:t>
      </w:r>
    </w:p>
    <w:p w14:paraId="47657757">
      <w:pPr>
        <w:spacing w:before="60" w:after="60"/>
        <w:ind w:firstLine="0" w:firstLineChars="0"/>
        <w:jc w:val="left"/>
        <w:outlineLvl w:val="1"/>
        <w:rPr>
          <w:rFonts w:hint="eastAsia" w:ascii="宋体" w:hAnsi="宋体" w:eastAsia="宋体" w:cs="宋体"/>
          <w:b w:val="0"/>
          <w:bCs w:val="0"/>
        </w:rPr>
      </w:pPr>
      <w:bookmarkStart w:id="24" w:name="_Toc29979"/>
      <w:r>
        <w:rPr>
          <w:rFonts w:hint="eastAsia" w:ascii="宋体" w:hAnsi="宋体" w:eastAsia="宋体" w:cs="宋体"/>
          <w:b w:val="0"/>
          <w:bCs w:val="0"/>
          <w:sz w:val="24"/>
        </w:rPr>
        <w:t>3.3  包装废弃物回收处置困境</w:t>
      </w:r>
      <w:bookmarkEnd w:id="24"/>
    </w:p>
    <w:p w14:paraId="1025A451">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包装废弃物的回收处置是绿色包装体系建设中的另一关键难题。当前，我国快递包装废弃物的回收面临以下几方面困境。</w:t>
      </w:r>
    </w:p>
    <w:p w14:paraId="03C42519">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一是回收网络覆盖不足。快递包装废弃物的产生点高度分散，遍布全国数以亿计的家庭和企业。现有的回收网络主要依托社区垃圾分类站点和头部平台自建回收点，但总体密度仍然不够，大量废旧纸箱和塑料包装未能进入规范化的回收渠道，直接以混合生活垃圾形式处置，造成可回收资源的大量浪费。</w:t>
      </w:r>
    </w:p>
    <w:p w14:paraId="75E3AF7E">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二是回收价值低、积极性不足。快递纸箱经过一次使用后，往往因破损、污染和规格不一而回收价值大幅下降。废旧纸箱的市场收购价格受原纸行情影响波动较大，当价格低迷时，消费者和中间商参与回收的积极性显著下降。塑料包装的回收则面临材料种类复杂、混合污染严重、分选成本高等问题，实际回收再生率偏低。</w:t>
      </w:r>
    </w:p>
    <w:p w14:paraId="7B8DCA58">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三是回收—再生—再投入的产业链尚不完整。目前，快递包装废弃物从用户端回收后，经由分拣、打包、运输到再生加工厂，整个产业链的衔接仍不顺畅。一方面，再生原料的价格竞争力相对于原生材料并不突出；另一方面，使用再生材料的快递包装在品控和认证方面也存在一定障碍，制约了再生材料的规模化应用。</w:t>
      </w:r>
    </w:p>
    <w:p w14:paraId="6BE39A88">
      <w:pPr>
        <w:rPr>
          <w:rFonts w:hint="eastAsia" w:ascii="宋体" w:hAnsi="宋体" w:eastAsia="宋体" w:cs="宋体"/>
          <w:b w:val="0"/>
          <w:bCs w:val="0"/>
        </w:rPr>
      </w:pPr>
      <w:r>
        <w:rPr>
          <w:rFonts w:hint="eastAsia" w:ascii="宋体" w:hAnsi="宋体" w:eastAsia="宋体" w:cs="宋体"/>
          <w:b w:val="0"/>
          <w:bCs w:val="0"/>
        </w:rPr>
        <w:br w:type="page"/>
      </w:r>
    </w:p>
    <w:p w14:paraId="1135D224">
      <w:pPr>
        <w:spacing w:before="120" w:after="120"/>
        <w:jc w:val="center"/>
        <w:outlineLvl w:val="0"/>
        <w:rPr>
          <w:rFonts w:hint="eastAsia" w:ascii="黑体" w:hAnsi="黑体" w:eastAsia="黑体" w:cs="黑体"/>
          <w:b w:val="0"/>
          <w:bCs w:val="0"/>
          <w:sz w:val="28"/>
          <w:szCs w:val="28"/>
        </w:rPr>
      </w:pPr>
      <w:bookmarkStart w:id="25" w:name="_Toc1424"/>
      <w:bookmarkStart w:id="26" w:name="_Toc19644"/>
      <w:r>
        <w:rPr>
          <w:rFonts w:hint="eastAsia" w:ascii="黑体" w:hAnsi="黑体" w:eastAsia="黑体" w:cs="黑体"/>
          <w:b w:val="0"/>
          <w:bCs w:val="0"/>
          <w:sz w:val="28"/>
          <w:szCs w:val="28"/>
        </w:rPr>
        <w:t>第4章  绿色包装减量化与循环利用路径</w:t>
      </w:r>
      <w:bookmarkEnd w:id="25"/>
      <w:bookmarkEnd w:id="26"/>
    </w:p>
    <w:p w14:paraId="00C0DB03">
      <w:pPr>
        <w:spacing w:before="60" w:after="60"/>
        <w:ind w:firstLine="0" w:firstLineChars="0"/>
        <w:jc w:val="left"/>
        <w:outlineLvl w:val="1"/>
        <w:rPr>
          <w:rFonts w:hint="eastAsia" w:ascii="宋体" w:hAnsi="宋体" w:eastAsia="宋体" w:cs="宋体"/>
          <w:b w:val="0"/>
          <w:bCs w:val="0"/>
        </w:rPr>
      </w:pPr>
      <w:bookmarkStart w:id="27" w:name="_Toc31724"/>
      <w:r>
        <w:rPr>
          <w:rFonts w:hint="eastAsia" w:ascii="宋体" w:hAnsi="宋体" w:eastAsia="宋体" w:cs="宋体"/>
          <w:b w:val="0"/>
          <w:bCs w:val="0"/>
          <w:sz w:val="24"/>
        </w:rPr>
        <w:t>4.1  包装材料绿色化替代策略</w:t>
      </w:r>
      <w:bookmarkEnd w:id="27"/>
    </w:p>
    <w:p w14:paraId="686285B9">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包装材料的绿色化替代是减少环境影响的根本性举措。从替代方向来看，主要包括以下几类路径。</w:t>
      </w:r>
    </w:p>
    <w:p w14:paraId="253AD057">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1）纸基材料的轻量化与高性能化。对于纸质包装，应在保证结构强度的前提下，通过优化纸浆配方、改进生产工艺，持续降低单位面积克重。目前，蜂窝纸板作为一种轻质高强的纸基复合材料，已开始在部分品类中替代传统瓦楞纸，其减重效果可达20%~30%，同时保持较好的缓冲保护性能。此外，采用100%再生纤维浆料生产的再生纸箱，在全生命周期碳排放上较原生木浆纸箱降低约40%。</w:t>
      </w:r>
    </w:p>
    <w:p w14:paraId="44ADD052">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2）生物基可降解材料的推广应用。以聚乳酸（PLA）、热塑性淀粉（TPS）为代表的生物基降解材料，在一定条件下可完全分解为CO₂和水，具有显著的环境优势。目前，部分外卖餐饮包装和农产品包装已率先采用PLA材料。但需指出的是，PLA等生物降解材料需要在特定工业堆肥条件下才能有效降解，在普通自然环境中降解速度并不理想，其大规模推广还需要配套完善的有机废弃物处理基础设施。</w:t>
      </w:r>
    </w:p>
    <w:p w14:paraId="03D71995">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3）填充物的绿色替代。传统EPS泡沫、充气气泡膜等填充材料，可逐步用蜂窝纸、纸浆模塑、空气柱缓冲等绿色替代物取代。蜂窝纸作为填充材料，可完全降解，回收价值与纸箱相当；纸浆模塑则以废纸浆为原料，生产过程清洁，产品形状可按照商品尺寸定制，兼具保护和美观功能。</w:t>
      </w:r>
    </w:p>
    <w:p w14:paraId="07011246">
      <w:pPr>
        <w:spacing w:before="60" w:after="60"/>
        <w:ind w:firstLine="0" w:firstLineChars="0"/>
        <w:jc w:val="left"/>
        <w:outlineLvl w:val="1"/>
        <w:rPr>
          <w:rFonts w:hint="eastAsia" w:ascii="宋体" w:hAnsi="宋体" w:eastAsia="宋体" w:cs="宋体"/>
          <w:b w:val="0"/>
          <w:bCs w:val="0"/>
        </w:rPr>
      </w:pPr>
      <w:bookmarkStart w:id="28" w:name="_Toc6486"/>
      <w:r>
        <w:rPr>
          <w:rFonts w:hint="eastAsia" w:ascii="宋体" w:hAnsi="宋体" w:eastAsia="宋体" w:cs="宋体"/>
          <w:b w:val="0"/>
          <w:bCs w:val="0"/>
          <w:sz w:val="24"/>
        </w:rPr>
        <w:t>4.2  包装结构减量化设计路径</w:t>
      </w:r>
      <w:bookmarkEnd w:id="28"/>
    </w:p>
    <w:p w14:paraId="203EB24C">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在材料选择之外，包装结构设计是减少包装用量的另一关键切入点。合理的结构设计可以在不降低保护性能的前提下，显著缩减材料用量和包装体积。</w:t>
      </w:r>
    </w:p>
    <w:p w14:paraId="7D0BAED0">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首先，推广"按需适配"包装尺寸管理。电商平台和快递企业应建立商品-包装匹配数据库，根据商品的尺寸、重量、脆弱程度等参数，智能推荐最优包装规格组合。目前，亚马逊的"SIOC"（Ship in Own Container）计划和京东的"至尊包裹"计划已在这一方向进行了有益探索，通过减少外箱套内箱的层级，有效降低了包装体积。</w:t>
      </w:r>
    </w:p>
    <w:p w14:paraId="6EA81FCE">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其次，开展包装结构拓扑优化设计。借助有限元分析等工程工具，对纸箱的楞型、壁厚和结构进行优化，在满足堆叠强度和跌落冲击要求的前提下，实现最小化用料设计。研究表明，通过结构优化，同等保护性能的包装可减少15%~25%的材料用量。</w:t>
      </w:r>
    </w:p>
    <w:p w14:paraId="6EDDAE19">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再者，推广"一体化包装"设计。将内衬缓冲结构与外箱设计一体化，消除多余层次，既减少材料用量，也方便消费者打开和回收。部分美妆和3C品牌已将这一设计理念付诸实践，取得了较好的减量效果和用户体验反馈。</w:t>
      </w:r>
    </w:p>
    <w:p w14:paraId="321B2514">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此外，对于高频次、稳定品类的快递业务，应积极探索"标准化包装池"管理模式。在同一配送线路上，推行几种标准规格的纸箱循环使用，由平台或快递公司统一管理包装库存，实现包装资产的规模化调配和利用率最大化。</w:t>
      </w:r>
    </w:p>
    <w:p w14:paraId="0B196396">
      <w:pPr>
        <w:spacing w:before="60" w:after="60"/>
        <w:ind w:firstLine="0" w:firstLineChars="0"/>
        <w:jc w:val="left"/>
        <w:outlineLvl w:val="1"/>
        <w:rPr>
          <w:rFonts w:hint="eastAsia" w:ascii="宋体" w:hAnsi="宋体" w:eastAsia="宋体" w:cs="宋体"/>
          <w:b w:val="0"/>
          <w:bCs w:val="0"/>
        </w:rPr>
      </w:pPr>
      <w:bookmarkStart w:id="29" w:name="_Toc6294"/>
      <w:r>
        <w:rPr>
          <w:rFonts w:hint="eastAsia" w:ascii="宋体" w:hAnsi="宋体" w:eastAsia="宋体" w:cs="宋体"/>
          <w:b w:val="0"/>
          <w:bCs w:val="0"/>
          <w:sz w:val="24"/>
        </w:rPr>
        <w:t>4.3  循环包装回收体系建设</w:t>
      </w:r>
      <w:bookmarkEnd w:id="29"/>
    </w:p>
    <w:p w14:paraId="521BB498">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可循环包装是实现包装废弃物"近零排放"最理想的路径。其核心逻辑是将一次性消耗的包装转变为多次循环使用的周转资产，从源头大幅削减废弃物产生量。构建完善的循环包装回收体系，需要在以下几个维度协同发力。</w:t>
      </w:r>
    </w:p>
    <w:p w14:paraId="4B54399E">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1）构建可循环周转箱应用体系。以菜鸟"绿色行动"、京东"绿色承诺"为代表的平台实践表明，在B2C电商仓配一体场景下，可循环周转箱的推广具有较好的可行性。典型模式是：电商平台或物流公司将标准化周转箱投放至消费者，消费者开箱取货后，通过驿站或快递员上门回收的方式将空箱归还，完成一次循环。关键在于：周转箱的材质需满足50次以上的使用寿命，并配备二维码或RFID标签以实现全程追踪；消费者端需有足够的激励机制（如积分、优惠券）和便捷的交还渠道；箱体的清洁、检测和维修流程需实现标准化和规模化运营。</w:t>
      </w:r>
    </w:p>
    <w:p w14:paraId="048C784B">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2）完善快递纸箱回收网络布局。对于无法推广可循环包装的场景，应着力完善废旧纸箱的回收网络。一方面，在快递驿站、社区服务站等流量节点布设标准化回收箱，方便消费者就近投放；另一方面，利用外卖配送、快递取件等"最后一公里"配送资源，实现快递包装的"上门顺向回收"，降低消费者的回收门槛。此外，通过平台积分兑换、"以旧换新"等利益驱动机制，提升消费者参与回收的意愿。</w:t>
      </w:r>
    </w:p>
    <w:p w14:paraId="095E156A">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3）发展再生材料闭环利用产业链。在回收端与加工端之间建立稳定的供应链对接机制，保障再生纸浆、再生塑料等的稳定出路。推动主要快递企业优先采购含再生成分的包装材料，形成"收废纸—再生纸浆—再生纸箱—包装使用—回收废纸"的完整产业闭环。政府层面可通过绿色采购政策和税收优惠，对使用再生原料生产包装材料的企业给予支持，提升再生材料的市场竞争力。</w:t>
      </w:r>
    </w:p>
    <w:p w14:paraId="635B5699">
      <w:pPr>
        <w:spacing w:before="60" w:after="60"/>
        <w:ind w:firstLine="0" w:firstLineChars="0"/>
        <w:jc w:val="left"/>
        <w:outlineLvl w:val="1"/>
        <w:rPr>
          <w:rFonts w:hint="eastAsia" w:ascii="宋体" w:hAnsi="宋体" w:eastAsia="宋体" w:cs="宋体"/>
          <w:b w:val="0"/>
          <w:bCs w:val="0"/>
        </w:rPr>
      </w:pPr>
      <w:bookmarkStart w:id="30" w:name="_Toc19213"/>
      <w:r>
        <w:rPr>
          <w:rFonts w:hint="eastAsia" w:ascii="宋体" w:hAnsi="宋体" w:eastAsia="宋体" w:cs="宋体"/>
          <w:b w:val="0"/>
          <w:bCs w:val="0"/>
          <w:sz w:val="24"/>
        </w:rPr>
        <w:t>4.4  政策法规保障与平台协同机制</w:t>
      </w:r>
      <w:bookmarkEnd w:id="30"/>
    </w:p>
    <w:p w14:paraId="1FE0C8D5">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推动绿色包装转型，仅靠市场自发力量是不够的，还需要有效的政策法规保障和平台协同机制。</w:t>
      </w:r>
    </w:p>
    <w:p w14:paraId="29179914">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（1）完善标准体系与法规约束。建议进一步细化和落实《快递绿色包装规范》（GB/T 37516）等现行标准，明确不同品类商品的包装空隙率上限、禁止使用的有毒材料清单以及可循环包装的技术要求。建议参照欧盟EPR制度，逐步建立我国快递包装生产者责任延伸制度，要求包装材料生产商和电商平台共同承担废弃物回收处置的法律责任，形成制度性约束。</w:t>
      </w:r>
    </w:p>
    <w:p w14:paraId="3E2CFD10">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2）构建电商平台绿色包装协同激励机制。头部电商平台（阿里、京东、拼多多等）应将绿色包装指标纳入商家评价体系，引导入驻商家积极采用绿色包装。具体措施包括：对使用认证绿色包装的商家给予搜索排名加权、流量倾斜等商业激励；对存在严重过度包装行为的商家实施差评或限流处罚；推广平台统一代发包装服务，以规模效益降低绿色包装的单位成本。</w:t>
      </w:r>
    </w:p>
    <w:p w14:paraId="7FB212DF">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3）加强消费者端教育与引导。消费者是绿色包装的最终使用者，其行为选择对包装废弃物的回收率有直接影响。应通过媒体宣传、社区教育和平台弹窗提示等多渠道，普及"垃圾分类就是新时尚"的理念，提升消费者对纸箱回收价值的认知；同时，通过碳积分、绿色消费补贴等激励手段，让绿色行为产生实实在在的经济收益，推动消费者从被动参与到主动践行的转变。</w:t>
      </w:r>
    </w:p>
    <w:p w14:paraId="470D8686">
      <w:pPr>
        <w:rPr>
          <w:rFonts w:hint="eastAsia" w:ascii="宋体" w:hAnsi="宋体" w:eastAsia="宋体" w:cs="宋体"/>
          <w:b w:val="0"/>
          <w:bCs w:val="0"/>
        </w:rPr>
      </w:pPr>
      <w:r>
        <w:rPr>
          <w:rFonts w:hint="eastAsia" w:ascii="宋体" w:hAnsi="宋体" w:eastAsia="宋体" w:cs="宋体"/>
          <w:b w:val="0"/>
          <w:bCs w:val="0"/>
        </w:rPr>
        <w:br w:type="page"/>
      </w:r>
    </w:p>
    <w:p w14:paraId="179D0C78">
      <w:pPr>
        <w:spacing w:before="120" w:after="120"/>
        <w:jc w:val="center"/>
        <w:outlineLvl w:val="0"/>
        <w:rPr>
          <w:rFonts w:hint="eastAsia" w:ascii="黑体" w:hAnsi="黑体" w:eastAsia="黑体" w:cs="黑体"/>
          <w:b w:val="0"/>
          <w:bCs w:val="0"/>
          <w:sz w:val="28"/>
          <w:szCs w:val="28"/>
        </w:rPr>
      </w:pPr>
      <w:bookmarkStart w:id="31" w:name="_Toc3421"/>
      <w:bookmarkStart w:id="32" w:name="_Toc16117"/>
      <w:r>
        <w:rPr>
          <w:rFonts w:hint="eastAsia" w:ascii="黑体" w:hAnsi="黑体" w:eastAsia="黑体" w:cs="黑体"/>
          <w:b w:val="0"/>
          <w:bCs w:val="0"/>
          <w:sz w:val="28"/>
          <w:szCs w:val="28"/>
        </w:rPr>
        <w:t>第5章  结论与展望</w:t>
      </w:r>
      <w:bookmarkEnd w:id="31"/>
      <w:bookmarkEnd w:id="32"/>
    </w:p>
    <w:p w14:paraId="3373CA34">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本文聚焦电商物流绿色包装议题，从理论梳理、问题诊断到路径建构，系统探讨了推动包装减量化与循环利用的可行方案。研究主要得出以下结论。</w:t>
      </w:r>
    </w:p>
    <w:p w14:paraId="7A20B593">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第一，绿色包装是多目标协同优化的系统工程。实现包装减量、材料绿色化和废弃物循环利用，需要在设计端、制造端、流通端和消费端形成完整闭环，任何单一环节的改进都难以产生根本性突破，必须以系统思维推动全链条协同变革。</w:t>
      </w:r>
    </w:p>
    <w:p w14:paraId="096AD926">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第二，技术创新与制度设计缺一不可。一方面，材料科学、结构优化和数字化管理等技术进步为绿色包装提供了持续的解决方案供给；另一方面，生产者责任延伸制度、平台绿色激励机制和消费者行为引导政策，是将技术方案转化为市场行为的制度保障。</w:t>
      </w:r>
    </w:p>
    <w:p w14:paraId="0A5CE541">
      <w:pPr>
        <w:spacing w:before="0" w:after="0" w:line="440" w:lineRule="exact"/>
        <w:ind w:firstLine="480"/>
        <w:jc w:val="both"/>
        <w:rPr>
          <w:rFonts w:hint="eastAsia" w:ascii="宋体" w:hAnsi="宋体" w:eastAsia="宋体" w:cs="宋体"/>
          <w:b w:val="0"/>
          <w:bCs w:val="0"/>
        </w:rPr>
      </w:pPr>
      <w:r>
        <w:rPr>
          <w:rFonts w:hint="eastAsia" w:ascii="宋体" w:hAnsi="宋体" w:eastAsia="宋体" w:cs="宋体"/>
          <w:b w:val="0"/>
          <w:bCs w:val="0"/>
          <w:sz w:val="24"/>
        </w:rPr>
        <w:t>第三，可循环包装是未来的战略方向。在可实现规模化运营的前提下，可循环周转箱体系相比一次性包装在全生命周期资源消耗和碳排放上具有显著优势，应作为绿色包装体系建设的重点方向持续投入推广。</w:t>
      </w:r>
    </w:p>
    <w:p w14:paraId="65228A40">
      <w:pPr>
        <w:spacing w:before="0" w:after="0" w:line="440" w:lineRule="exact"/>
        <w:ind w:firstLine="480"/>
        <w:jc w:val="both"/>
        <w:rPr>
          <w:rFonts w:ascii="宋体" w:hAnsi="宋体" w:eastAsia="宋体"/>
          <w:b w:val="0"/>
          <w:bCs w:val="0"/>
          <w:sz w:val="24"/>
        </w:rPr>
      </w:pPr>
      <w:r>
        <w:rPr>
          <w:rFonts w:hint="eastAsia" w:ascii="宋体" w:hAnsi="宋体" w:eastAsia="宋体" w:cs="宋体"/>
          <w:b w:val="0"/>
          <w:bCs w:val="0"/>
          <w:sz w:val="24"/>
        </w:rPr>
        <w:t>展望未来，随着"双碳"目标的深入推进、消费者绿色意识的不断提升和数字技术的广泛应用，我国电商物流包装的绿色化转型将进入加速发展阶段。人工智能驱动的包装尺寸智能匹配、区块链赋能的包装全生命周期溯源、生物基材料的持续降本迭代，将成为未来包装创新的重要技术方向。与此同时，随着监管政策的不断完善和市场竞争的充分发展，绿色包装有望从少数头部企业的差异化举措，逐步演变为行业普遍遵守的基本准则，助力物流行业实现更高质量、更可持续的发展。</w:t>
      </w:r>
    </w:p>
    <w:p w14:paraId="7684256A">
      <w:pPr>
        <w:spacing w:before="0" w:after="0" w:line="440" w:lineRule="exact"/>
        <w:ind w:firstLine="480"/>
        <w:jc w:val="both"/>
        <w:rPr>
          <w:rFonts w:ascii="宋体" w:hAnsi="宋体" w:eastAsia="宋体"/>
          <w:b w:val="0"/>
          <w:sz w:val="24"/>
        </w:rPr>
      </w:pPr>
    </w:p>
    <w:p w14:paraId="5893824F">
      <w:pPr>
        <w:spacing w:before="0" w:after="0" w:line="440" w:lineRule="exact"/>
        <w:ind w:firstLine="480"/>
        <w:jc w:val="both"/>
        <w:rPr>
          <w:rFonts w:ascii="宋体" w:hAnsi="宋体" w:eastAsia="宋体"/>
          <w:b w:val="0"/>
          <w:sz w:val="24"/>
        </w:rPr>
      </w:pPr>
    </w:p>
    <w:p w14:paraId="3A0B3427">
      <w:pPr>
        <w:spacing w:before="0" w:after="0" w:line="440" w:lineRule="exact"/>
        <w:ind w:firstLine="480"/>
        <w:jc w:val="both"/>
        <w:rPr>
          <w:rFonts w:ascii="宋体" w:hAnsi="宋体" w:eastAsia="宋体"/>
          <w:b w:val="0"/>
          <w:sz w:val="24"/>
        </w:rPr>
      </w:pPr>
    </w:p>
    <w:p w14:paraId="61FACF23">
      <w:pPr>
        <w:spacing w:before="0" w:after="0" w:line="440" w:lineRule="exact"/>
        <w:ind w:firstLine="480"/>
        <w:jc w:val="both"/>
        <w:rPr>
          <w:rFonts w:ascii="宋体" w:hAnsi="宋体" w:eastAsia="宋体"/>
          <w:b w:val="0"/>
          <w:sz w:val="24"/>
        </w:rPr>
      </w:pPr>
    </w:p>
    <w:p w14:paraId="1B23EDC4">
      <w:pPr>
        <w:spacing w:before="0" w:after="0" w:line="440" w:lineRule="exact"/>
        <w:ind w:firstLine="480"/>
        <w:jc w:val="both"/>
        <w:rPr>
          <w:rFonts w:ascii="宋体" w:hAnsi="宋体" w:eastAsia="宋体"/>
          <w:b w:val="0"/>
          <w:sz w:val="24"/>
        </w:rPr>
      </w:pPr>
    </w:p>
    <w:p w14:paraId="71F9F7CC">
      <w:pPr>
        <w:spacing w:before="0" w:after="0" w:line="440" w:lineRule="exact"/>
        <w:ind w:firstLine="480"/>
        <w:jc w:val="both"/>
        <w:rPr>
          <w:rFonts w:ascii="宋体" w:hAnsi="宋体" w:eastAsia="宋体"/>
          <w:b w:val="0"/>
          <w:sz w:val="24"/>
        </w:rPr>
      </w:pPr>
    </w:p>
    <w:p w14:paraId="1655ECA1">
      <w:pPr>
        <w:spacing w:before="0" w:after="0" w:line="440" w:lineRule="exact"/>
        <w:ind w:firstLine="480"/>
        <w:jc w:val="both"/>
        <w:rPr>
          <w:rFonts w:ascii="宋体" w:hAnsi="宋体" w:eastAsia="宋体"/>
          <w:b w:val="0"/>
          <w:sz w:val="24"/>
        </w:rPr>
      </w:pPr>
    </w:p>
    <w:p w14:paraId="126B7AC9">
      <w:pPr>
        <w:spacing w:before="0" w:after="0" w:line="440" w:lineRule="exact"/>
        <w:ind w:firstLine="480"/>
        <w:jc w:val="both"/>
        <w:rPr>
          <w:rFonts w:ascii="宋体" w:hAnsi="宋体" w:eastAsia="宋体"/>
          <w:b w:val="0"/>
          <w:sz w:val="24"/>
        </w:rPr>
      </w:pPr>
    </w:p>
    <w:p w14:paraId="4972BDC7">
      <w:pPr>
        <w:spacing w:before="0" w:after="0" w:line="440" w:lineRule="exact"/>
        <w:ind w:firstLine="480"/>
        <w:jc w:val="both"/>
        <w:rPr>
          <w:rFonts w:ascii="宋体" w:hAnsi="宋体" w:eastAsia="宋体"/>
          <w:b w:val="0"/>
          <w:sz w:val="24"/>
        </w:rPr>
      </w:pPr>
    </w:p>
    <w:p w14:paraId="6645D696">
      <w:pPr>
        <w:spacing w:before="0" w:after="0" w:line="440" w:lineRule="exact"/>
        <w:ind w:firstLine="480"/>
        <w:jc w:val="both"/>
        <w:rPr>
          <w:rFonts w:ascii="宋体" w:hAnsi="宋体" w:eastAsia="宋体"/>
          <w:b w:val="0"/>
          <w:sz w:val="24"/>
        </w:rPr>
      </w:pPr>
    </w:p>
    <w:p w14:paraId="0697932B">
      <w:pPr>
        <w:spacing w:before="120" w:after="120"/>
        <w:jc w:val="center"/>
        <w:outlineLvl w:val="0"/>
        <w:rPr>
          <w:sz w:val="28"/>
          <w:szCs w:val="28"/>
        </w:rPr>
      </w:pPr>
      <w:bookmarkStart w:id="33" w:name="_Toc2858"/>
      <w:bookmarkStart w:id="34" w:name="_Toc11652"/>
      <w:r>
        <w:rPr>
          <w:rFonts w:ascii="黑体" w:hAnsi="黑体" w:eastAsia="黑体"/>
          <w:b/>
          <w:sz w:val="28"/>
          <w:szCs w:val="28"/>
        </w:rPr>
        <w:t>参考文献</w:t>
      </w:r>
      <w:bookmarkEnd w:id="33"/>
      <w:bookmarkEnd w:id="34"/>
      <w:bookmarkStart w:id="35" w:name="_GoBack"/>
      <w:bookmarkEnd w:id="35"/>
    </w:p>
    <w:p w14:paraId="5CD37067">
      <w:pPr>
        <w:spacing w:before="0" w:after="0" w:line="440" w:lineRule="exact"/>
        <w:ind w:left="480" w:hanging="480"/>
        <w:jc w:val="both"/>
      </w:pPr>
      <w:r>
        <w:rPr>
          <w:rFonts w:ascii="宋体" w:hAnsi="宋体" w:eastAsia="宋体"/>
          <w:sz w:val="24"/>
        </w:rPr>
        <w:t>[1] 国家邮政局. 2023年邮政行业发展统计公报[R]. 北京：国家邮政局，2024.</w:t>
      </w:r>
    </w:p>
    <w:p w14:paraId="21149860">
      <w:pPr>
        <w:spacing w:before="0" w:after="0" w:line="440" w:lineRule="exact"/>
        <w:ind w:left="480" w:hanging="480"/>
        <w:jc w:val="both"/>
      </w:pPr>
      <w:r>
        <w:rPr>
          <w:rFonts w:ascii="宋体" w:hAnsi="宋体" w:eastAsia="宋体"/>
          <w:sz w:val="24"/>
        </w:rPr>
        <w:t>[2] 国家发展改革委，生态环境部，商务部，等. 关于加快推进快递包装绿色转型的意见[Z]. 2022.</w:t>
      </w:r>
    </w:p>
    <w:p w14:paraId="29FFB309">
      <w:pPr>
        <w:spacing w:before="0" w:after="0" w:line="440" w:lineRule="exact"/>
        <w:ind w:left="480" w:hanging="480"/>
        <w:jc w:val="both"/>
      </w:pPr>
      <w:r>
        <w:rPr>
          <w:rFonts w:ascii="宋体" w:hAnsi="宋体" w:eastAsia="宋体"/>
          <w:sz w:val="24"/>
        </w:rPr>
        <w:t>[3] 中国物流与采购联合会. 2022年中国快递包装材料消耗研究报告[R]. 北京：中国物流与采购联合会，2023.</w:t>
      </w:r>
    </w:p>
    <w:p w14:paraId="2FEDF25C">
      <w:pPr>
        <w:spacing w:before="0" w:after="0" w:line="440" w:lineRule="exact"/>
        <w:ind w:left="480" w:hanging="480"/>
        <w:jc w:val="both"/>
      </w:pPr>
      <w:r>
        <w:rPr>
          <w:rFonts w:ascii="宋体" w:hAnsi="宋体" w:eastAsia="宋体"/>
          <w:sz w:val="24"/>
        </w:rPr>
        <w:t>[4] 刘秉镰，李冬，郝远. 快递包装废弃物生成规律与减量化研究[J]. 中国流通经济，2018，32(11)：68-77.</w:t>
      </w:r>
    </w:p>
    <w:p w14:paraId="5F1A78C6">
      <w:pPr>
        <w:spacing w:before="0" w:after="0" w:line="440" w:lineRule="exact"/>
        <w:ind w:left="480" w:hanging="480"/>
        <w:jc w:val="both"/>
      </w:pPr>
      <w:r>
        <w:rPr>
          <w:rFonts w:ascii="宋体" w:hAnsi="宋体" w:eastAsia="宋体"/>
          <w:sz w:val="24"/>
        </w:rPr>
        <w:t>[5] 王建国，张涛. 基于循环经济的快递包装回收利用模式研究[J]. 物流技术，2020，39(3)：20-26.</w:t>
      </w:r>
    </w:p>
    <w:p w14:paraId="4D2ED0D9">
      <w:pPr>
        <w:spacing w:before="0" w:after="0" w:line="440" w:lineRule="exact"/>
        <w:ind w:left="480" w:hanging="480"/>
        <w:jc w:val="both"/>
      </w:pPr>
      <w:r>
        <w:rPr>
          <w:rFonts w:ascii="宋体" w:hAnsi="宋体" w:eastAsia="宋体"/>
          <w:sz w:val="24"/>
        </w:rPr>
        <w:t>[6] 张文静，陈宇. 生命周期视角下电商包装减量化效益评估[J]. 包装工程，2021，42(5)：1-9.</w:t>
      </w:r>
    </w:p>
    <w:p w14:paraId="11F3AD5A">
      <w:pPr>
        <w:spacing w:before="0" w:after="0" w:line="440" w:lineRule="exact"/>
        <w:ind w:left="480" w:hanging="480"/>
        <w:jc w:val="both"/>
      </w:pPr>
      <w:r>
        <w:rPr>
          <w:rFonts w:ascii="宋体" w:hAnsi="宋体" w:eastAsia="宋体"/>
          <w:sz w:val="24"/>
        </w:rPr>
        <w:t>[7] 孙丽文，王浩然. 消费者绿色包装偏好及其影响因素研究[J]. 商业研究，2022(2)：87-96.</w:t>
      </w:r>
    </w:p>
    <w:p w14:paraId="118FE71D">
      <w:pPr>
        <w:spacing w:before="0" w:after="0" w:line="440" w:lineRule="exact"/>
        <w:ind w:left="480" w:hanging="480"/>
        <w:jc w:val="both"/>
      </w:pPr>
      <w:r>
        <w:rPr>
          <w:rFonts w:ascii="宋体" w:hAnsi="宋体" w:eastAsia="宋体"/>
          <w:sz w:val="24"/>
        </w:rPr>
        <w:t>[8] Prendergast G, Pitt L. Packaging, marketing, logistics and the environment: are there trade-offs?[J]. International Journal of Physical Distribution &amp; Logistics Management, 1996, 26(6): 60-72.</w:t>
      </w:r>
    </w:p>
    <w:p w14:paraId="6001887C">
      <w:pPr>
        <w:spacing w:before="0" w:after="0" w:line="440" w:lineRule="exact"/>
        <w:ind w:left="480" w:hanging="480"/>
        <w:jc w:val="both"/>
      </w:pPr>
      <w:r>
        <w:rPr>
          <w:rFonts w:ascii="宋体" w:hAnsi="宋体" w:eastAsia="宋体"/>
          <w:sz w:val="24"/>
        </w:rPr>
        <w:t>[9] Svanes E, Vold M, Møller H, et al. Sustainable packaging design: A holistic methodology for packaging design[J]. Packaging Technology and Science, 2010, 23(3): 161-175.</w:t>
      </w:r>
    </w:p>
    <w:p w14:paraId="1F03DB10">
      <w:pPr>
        <w:spacing w:before="0" w:after="0" w:line="440" w:lineRule="exact"/>
        <w:ind w:left="480" w:hanging="480"/>
        <w:jc w:val="both"/>
      </w:pPr>
      <w:r>
        <w:rPr>
          <w:rFonts w:ascii="宋体" w:hAnsi="宋体" w:eastAsia="宋体"/>
          <w:sz w:val="24"/>
        </w:rPr>
        <w:t>[10] Verghese K, Lewis H, Lockrey S, et al. Packaging's role in minimizing food loss and waste across the supply chain[J]. Packaging Technology and Science, 2015, 28(7): 603-620.</w:t>
      </w:r>
    </w:p>
    <w:p w14:paraId="08B8F923">
      <w:pPr>
        <w:spacing w:before="0" w:after="0" w:line="440" w:lineRule="exact"/>
        <w:ind w:left="480" w:hanging="480"/>
        <w:jc w:val="both"/>
      </w:pPr>
      <w:r>
        <w:rPr>
          <w:rFonts w:ascii="宋体" w:hAnsi="宋体" w:eastAsia="宋体"/>
          <w:sz w:val="24"/>
        </w:rPr>
        <w:t>[11] 欧盟理事会. Directive 94/62/EC on Packaging and Packaging Waste[Z]. 1994.</w:t>
      </w:r>
    </w:p>
    <w:p w14:paraId="6156E44E">
      <w:pPr>
        <w:spacing w:before="0" w:after="0" w:line="440" w:lineRule="exact"/>
        <w:ind w:left="480" w:hanging="480"/>
        <w:jc w:val="both"/>
      </w:pPr>
      <w:r>
        <w:rPr>
          <w:rFonts w:ascii="宋体" w:hAnsi="宋体" w:eastAsia="宋体"/>
          <w:sz w:val="24"/>
        </w:rPr>
        <w:t>[12] 国家标准委. 快递绿色包装规范（GB/T 37516—2019）[S]. 北京：中国标准出版社，2019.</w:t>
      </w:r>
    </w:p>
    <w:p w14:paraId="60AD3ED7">
      <w:pPr>
        <w:spacing w:before="0" w:after="0" w:line="440" w:lineRule="exact"/>
        <w:ind w:left="480" w:hanging="480"/>
        <w:jc w:val="both"/>
      </w:pPr>
      <w:r>
        <w:rPr>
          <w:rFonts w:ascii="宋体" w:hAnsi="宋体" w:eastAsia="宋体"/>
          <w:sz w:val="24"/>
        </w:rPr>
        <w:t>[13] 菜鸟网络. 2023年菜鸟绿色行动可持续报告[R]. 杭州：菜鸟网络，2024.</w:t>
      </w:r>
    </w:p>
    <w:p w14:paraId="7F06A757">
      <w:pPr>
        <w:spacing w:before="0" w:after="0" w:line="440" w:lineRule="exact"/>
        <w:ind w:left="480" w:hanging="480"/>
        <w:jc w:val="both"/>
      </w:pPr>
      <w:r>
        <w:rPr>
          <w:rFonts w:ascii="宋体" w:hAnsi="宋体" w:eastAsia="宋体"/>
          <w:sz w:val="24"/>
        </w:rPr>
        <w:t>[14] 京东物流. 2023年京东绿色物流发展白皮书[R]. 北京：京东物流，2024.</w:t>
      </w:r>
    </w:p>
    <w:p w14:paraId="57237639">
      <w:pPr>
        <w:spacing w:line="360" w:lineRule="auto"/>
      </w:pPr>
    </w:p>
    <w:sectPr>
      <w:headerReference r:id="rId3" w:type="default"/>
      <w:footerReference r:id="rId4"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15EB6">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AE9A0AB">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1AE9A0AB">
                    <w:pPr>
                      <w:pStyle w:val="7"/>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34C3CB">
    <w:pPr>
      <w:pStyle w:val="8"/>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DBkMDc0YWE4M2Y4ZDIxMTU3Y2NkZjFlY2NjNmE4NmIifQ=="/>
  </w:docVars>
  <w:rsids>
    <w:rsidRoot w:val="3D437323"/>
    <w:rsid w:val="00105579"/>
    <w:rsid w:val="00770716"/>
    <w:rsid w:val="007750DF"/>
    <w:rsid w:val="00CF5991"/>
    <w:rsid w:val="00F426BF"/>
    <w:rsid w:val="00FE131B"/>
    <w:rsid w:val="281C590B"/>
    <w:rsid w:val="2CFC1FBF"/>
    <w:rsid w:val="37F005E9"/>
    <w:rsid w:val="3D437323"/>
    <w:rsid w:val="469127EC"/>
    <w:rsid w:val="539C78AE"/>
    <w:rsid w:val="56074256"/>
    <w:rsid w:val="61833C5B"/>
    <w:rsid w:val="7092306F"/>
    <w:rsid w:val="728606A7"/>
    <w:rsid w:val="73496EA4"/>
    <w:rsid w:val="7E63376D"/>
    <w:rsid w:val="7E697A3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iPriority="0" w:name="header"/>
    <w:lsdException w:qFormat="1" w:uiPriority="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iPriority="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12">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5">
    <w:name w:val="toc 3"/>
    <w:basedOn w:val="1"/>
    <w:next w:val="1"/>
    <w:semiHidden/>
    <w:unhideWhenUsed/>
    <w:uiPriority w:val="0"/>
    <w:pPr>
      <w:ind w:left="840" w:leftChars="400"/>
    </w:pPr>
  </w:style>
  <w:style w:type="paragraph" w:styleId="6">
    <w:name w:val="Balloon Text"/>
    <w:basedOn w:val="1"/>
    <w:link w:val="13"/>
    <w:qFormat/>
    <w:uiPriority w:val="0"/>
    <w:rPr>
      <w:sz w:val="18"/>
      <w:szCs w:val="18"/>
    </w:rPr>
  </w:style>
  <w:style w:type="paragraph" w:styleId="7">
    <w:name w:val="footer"/>
    <w:basedOn w:val="1"/>
    <w:semiHidden/>
    <w:unhideWhenUsed/>
    <w:qFormat/>
    <w:uiPriority w:val="0"/>
    <w:pPr>
      <w:tabs>
        <w:tab w:val="center" w:pos="4153"/>
        <w:tab w:val="right" w:pos="8306"/>
      </w:tabs>
      <w:snapToGrid w:val="0"/>
      <w:jc w:val="left"/>
    </w:pPr>
    <w:rPr>
      <w:sz w:val="18"/>
    </w:rPr>
  </w:style>
  <w:style w:type="paragraph" w:styleId="8">
    <w:name w:val="header"/>
    <w:basedOn w:val="1"/>
    <w:semiHidden/>
    <w:unhideWhenUsed/>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semiHidden/>
    <w:unhideWhenUsed/>
    <w:uiPriority w:val="0"/>
  </w:style>
  <w:style w:type="paragraph" w:styleId="10">
    <w:name w:val="toc 2"/>
    <w:basedOn w:val="1"/>
    <w:next w:val="1"/>
    <w:semiHidden/>
    <w:unhideWhenUsed/>
    <w:uiPriority w:val="0"/>
    <w:pPr>
      <w:ind w:left="420" w:leftChars="200"/>
    </w:pPr>
  </w:style>
  <w:style w:type="character" w:customStyle="1" w:styleId="13">
    <w:name w:val="批注框文本 字符"/>
    <w:basedOn w:val="12"/>
    <w:link w:val="6"/>
    <w:qFormat/>
    <w:uiPriority w:val="0"/>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15</Pages>
  <Words>7636</Words>
  <Characters>9576</Characters>
  <Lines>1</Lines>
  <Paragraphs>1</Paragraphs>
  <TotalTime>11</TotalTime>
  <ScaleCrop>false</ScaleCrop>
  <LinksUpToDate>false</LinksUpToDate>
  <CharactersWithSpaces>9929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2020-06-07T23:41:00Z</dcterms:created>
  <dc:creator>灯火阑珊</dc:creator>
  <cp:lastModifiedBy>WPS_1695223894</cp:lastModifiedBy>
  <dcterms:modified xsi:type="dcterms:W3CDTF">2026-06-17T15:55:45Z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0778D8D727FF48A68FDC47796B45E3F1_13</vt:lpwstr>
  </property>
  <property fmtid="{D5CDD505-2E9C-101B-9397-08002B2CF9AE}" pid="4" name="KSOTemplateDocerSaveRecord">
    <vt:lpwstr>eyJoZGlkIjoiOGNmZGNkMzkwZDIzYjg0OGFjNDE2ZjgxYjkxMTYzZTUiLCJ1c2VySWQiOiIxNTQzNzcxMzk0In0=</vt:lpwstr>
  </property>
</Properties>
</file>