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rPr>
          <w:rFonts w:ascii="Microsoft YaHei" w:hAnsi="Microsoft YaHei" w:eastAsia="Microsoft YaHei" w:cs="Microsoft YaHei"/>
          <w:b/>
          <w:color w:val="000000"/>
          <w:sz w:val="44"/>
        </w:rPr>
        <w:t>三维布线通宵实验结论简报</w:t>
      </w:r>
    </w:p>
    <w:p>
      <w:pPr>
        <w:keepNext w:val="0"/>
        <w:widowControl/>
        <w:spacing w:before="0" w:after="10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24"/>
        </w:rPr>
        <w:t>v5 v6 v7及八项机制复盘</w:t>
      </w:r>
    </w:p>
    <w:p>
      <w:pPr>
        <w:keepNext w:val="0"/>
        <w:widowControl/>
        <w:spacing w:before="0" w:after="30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9"/>
        </w:rPr>
        <w:t>2026年10月6日</w:t>
      </w:r>
    </w:p>
    <w:p>
      <w:pPr>
        <w:keepNext w:val="0"/>
        <w:widowControl/>
        <w:spacing w:before="0" w:after="22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3"/>
        </w:rPr>
        <w:t>本轮最明确的改进是每次目标尝试，两侧合计最多评价16个候选。相同的2880次追加评价下，N组终态近距对由30,999降至18,444，减少40.5%；R组降至19,233，减少38.0%。单纯改变候选评价顺序没有改变结果。</w:t>
      </w:r>
    </w:p>
    <w:p>
      <w:pPr>
        <w:keepNext w:val="0"/>
        <w:widowControl/>
        <w:spacing w:before="0" w:after="22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收益伴随长度和结构代价。N组阶段长度增加从23.78 mm升至57.50 mm，终态升降过渡数从154增至370。现有结果支持提高评价预算的利用率，尚不能说明在相同长度预算下仍有同样优势。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表1  2880档主试验的关键结果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3456"/>
        <w:gridCol w:w="1613"/>
        <w:gridCol w:w="2016"/>
        <w:gridCol w:w="2131"/>
      </w:tblGrid>
      <w:tr>
        <w:trPr>
          <w:tblHeader/>
        </w:trPr>
        <w:tc>
          <w:tcPr>
            <w:tcW w:type="dxa" w:w="3456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配置</w:t>
            </w:r>
          </w:p>
        </w:tc>
        <w:tc>
          <w:tcPr>
            <w:tcW w:type="dxa" w:w="1613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终态近距对</w:t>
            </w:r>
          </w:p>
        </w:tc>
        <w:tc>
          <w:tcPr>
            <w:tcW w:type="dxa" w:w="2016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阶段长度</w:t>
              <w:br/>
              <w:t>增加 mm</w:t>
            </w:r>
          </w:p>
        </w:tc>
        <w:tc>
          <w:tcPr>
            <w:tcW w:type="dxa" w:w="2131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实际评价</w:t>
              <w:br/>
              <w:t>次数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旧配置 N与R</w:t>
            </w:r>
          </w:p>
        </w:tc>
        <w:tc>
          <w:tcPr>
            <w:tcW w:type="dxa" w:w="1613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30,999</w:t>
            </w:r>
          </w:p>
        </w:tc>
        <w:tc>
          <w:tcPr>
            <w:tcW w:type="dxa" w:w="201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23.78</w:t>
            </w:r>
          </w:p>
        </w:tc>
        <w:tc>
          <w:tcPr>
            <w:tcW w:type="dxa" w:w="2131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2,880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K16 N</w:t>
            </w:r>
          </w:p>
        </w:tc>
        <w:tc>
          <w:tcPr>
            <w:tcW w:type="dxa" w:w="1613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18,444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57.50</w:t>
            </w:r>
          </w:p>
        </w:tc>
        <w:tc>
          <w:tcPr>
            <w:tcW w:type="dxa" w:w="2131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2,880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K16 R</w:t>
            </w:r>
          </w:p>
        </w:tc>
        <w:tc>
          <w:tcPr>
            <w:tcW w:type="dxa" w:w="1613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19,233</w:t>
            </w:r>
          </w:p>
        </w:tc>
        <w:tc>
          <w:tcPr>
            <w:tcW w:type="dxa" w:w="201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53.63</w:t>
            </w:r>
          </w:p>
        </w:tc>
        <w:tc>
          <w:tcPr>
            <w:tcW w:type="dxa" w:w="2131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2,880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K16加家族轮询 N</w:t>
            </w:r>
          </w:p>
        </w:tc>
        <w:tc>
          <w:tcPr>
            <w:tcW w:type="dxa" w:w="1613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17,905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71.86</w:t>
            </w:r>
          </w:p>
        </w:tc>
        <w:tc>
          <w:tcPr>
            <w:tcW w:type="dxa" w:w="2131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2,753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K16加家族轮询 R</w:t>
            </w:r>
          </w:p>
        </w:tc>
        <w:tc>
          <w:tcPr>
            <w:tcW w:type="dxa" w:w="1613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18,459</w:t>
            </w:r>
          </w:p>
        </w:tc>
        <w:tc>
          <w:tcPr>
            <w:tcW w:type="dxa" w:w="201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69.23</w:t>
            </w:r>
          </w:p>
        </w:tc>
        <w:tc>
          <w:tcPr>
            <w:tcW w:type="dxa" w:w="2131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2,664</w:t>
            </w:r>
          </w:p>
        </w:tc>
      </w:tr>
    </w:tbl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主起点为42,909对、3对未决、24条已抬升路线。阶段长度相对该起点计算。A家族轮询在2880上限下未用足评价预算，须与预算用满的结果区别陈述。</w:t>
      </w:r>
    </w:p>
    <w:p>
      <w:pPr>
        <w:pStyle w:val="Heading2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当前可以保留的结论</w:t>
      </w:r>
    </w:p>
    <w:p>
      <w:pPr>
        <w:keepNext w:val="0"/>
        <w:widowControl/>
        <w:spacing w:before="0" w:after="16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保留原目标排序与K16评价配额。家族轮询值得继续比较长度约束和实际评价对齐后的效果。分层调度让重定位获得了真实执行机会，但不足以支持整体采用；覆盖遍历也没有稳定优势。</w:t>
      </w:r>
    </w:p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N只允许首次抬升；R还允许已抬升路线重定位。近距对越少越好；长度与升降结构用于说明代价。</w:t>
      </w:r>
    </w:p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2880档K16动作数由旧配置53增至N161、R154；评价/动作由54.34降至17.89、18.70。</w:t>
      </w:r>
    </w:p>
    <w:p>
      <w:pPr>
        <w:sectPr>
          <w:footerReference w:type="default" r:id="rId11"/>
          <w:pgSz w:w="12240" w:h="15840"/>
          <w:pgMar w:top="936" w:right="1008" w:bottom="936" w:left="1008" w:header="360" w:footer="403" w:gutter="0"/>
          <w:cols w:space="720"/>
          <w:docGrid w:linePitch="360"/>
        </w:sectPr>
      </w:pPr>
    </w:p>
    <w:p>
      <w:pPr>
        <w:pStyle w:val="Heading1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34"/>
        </w:rPr>
        <w:t>评价配额是主要有效改动</w:t>
      </w:r>
    </w:p>
    <w:p>
      <w:pPr>
        <w:keepNext w:val="0"/>
        <w:widowControl/>
        <w:spacing w:before="0" w:after="1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E0与先排序的E1逐位一致；E2将每次目标尝试的两侧评价合计限制到16个，同预算完成更多动作。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7680960" cy="3693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1_pairs_vs_bud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369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95" w:lineRule="auto"/>
        <w:jc w:val="left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图1  原有v6预算对照图。左侧为主起点，右侧为固定挑战起点；两种起点分开比较。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表2  主试验三档预算对照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1728"/>
        <w:gridCol w:w="2880"/>
        <w:gridCol w:w="2592"/>
        <w:gridCol w:w="2592"/>
        <w:gridCol w:w="3456"/>
      </w:tblGrid>
      <w:tr>
        <w:trPr>
          <w:tblHeader/>
        </w:trPr>
        <w:tc>
          <w:tcPr>
            <w:tcW w:type="dxa" w:w="1728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追加预算</w:t>
            </w:r>
          </w:p>
        </w:tc>
        <w:tc>
          <w:tcPr>
            <w:tcW w:type="dxa" w:w="288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旧配置 N与R</w:t>
            </w:r>
          </w:p>
        </w:tc>
        <w:tc>
          <w:tcPr>
            <w:tcW w:type="dxa" w:w="2592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K16 N</w:t>
            </w:r>
          </w:p>
        </w:tc>
        <w:tc>
          <w:tcPr>
            <w:tcW w:type="dxa" w:w="2592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K16 R</w:t>
            </w:r>
          </w:p>
        </w:tc>
        <w:tc>
          <w:tcPr>
            <w:tcW w:type="dxa" w:w="3456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N相对旧配置少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720</w:t>
            </w:r>
          </w:p>
        </w:tc>
        <w:tc>
          <w:tcPr>
            <w:tcW w:type="dxa" w:w="288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40,072</w:t>
            </w:r>
          </w:p>
        </w:tc>
        <w:tc>
          <w:tcPr>
            <w:tcW w:type="dxa" w:w="259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33,738</w:t>
            </w:r>
          </w:p>
        </w:tc>
        <w:tc>
          <w:tcPr>
            <w:tcW w:type="dxa" w:w="259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33,738</w:t>
            </w:r>
          </w:p>
        </w:tc>
        <w:tc>
          <w:tcPr>
            <w:tcW w:type="dxa" w:w="345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6,334 对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1,440</w:t>
            </w:r>
          </w:p>
        </w:tc>
        <w:tc>
          <w:tcPr>
            <w:tcW w:type="dxa" w:w="288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36,995</w:t>
            </w:r>
          </w:p>
        </w:tc>
        <w:tc>
          <w:tcPr>
            <w:tcW w:type="dxa" w:w="2592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26,437</w:t>
            </w:r>
          </w:p>
        </w:tc>
        <w:tc>
          <w:tcPr>
            <w:tcW w:type="dxa" w:w="2592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26,437</w:t>
            </w:r>
          </w:p>
        </w:tc>
        <w:tc>
          <w:tcPr>
            <w:tcW w:type="dxa" w:w="3456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10,558 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2,880</w:t>
            </w:r>
          </w:p>
        </w:tc>
        <w:tc>
          <w:tcPr>
            <w:tcW w:type="dxa" w:w="288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30,999</w:t>
            </w:r>
          </w:p>
        </w:tc>
        <w:tc>
          <w:tcPr>
            <w:tcW w:type="dxa" w:w="259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18,444</w:t>
            </w:r>
          </w:p>
        </w:tc>
        <w:tc>
          <w:tcPr>
            <w:tcW w:type="dxa" w:w="259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19,233</w:t>
            </w:r>
          </w:p>
        </w:tc>
        <w:tc>
          <w:tcPr>
            <w:tcW w:type="dxa" w:w="345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12,555 对</w:t>
            </w:r>
          </w:p>
        </w:tc>
      </w:tr>
    </w:tbl>
    <w:p>
      <w:pPr>
        <w:sectPr>
          <w:pgSz w:w="15840" w:h="12240" w:orient="landscape"/>
          <w:pgMar w:top="648" w:right="1008" w:bottom="648" w:left="1008" w:header="360" w:footer="403" w:gutter="0"/>
          <w:cols w:space="720"/>
          <w:docGrid w:linePitch="360"/>
        </w:sectPr>
      </w:pPr>
    </w:p>
    <w:p>
      <w:pPr>
        <w:pStyle w:val="Heading1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34"/>
        </w:rPr>
        <w:t>更少近距对伴随更多长度代价</w:t>
      </w:r>
    </w:p>
    <w:p>
      <w:pPr>
        <w:keepNext w:val="0"/>
        <w:widowControl/>
        <w:spacing w:before="0" w:after="2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K16提高了单位评价的全局修复量，同时使用了更多首次抬升。家族轮询使用相同的完整候选池，为16个评价名额分配更多窗口家族，继续降低了终态近距对，但增加长度。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表3  2880档主试验的几何成本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3456"/>
        <w:gridCol w:w="2016"/>
        <w:gridCol w:w="1872"/>
        <w:gridCol w:w="1872"/>
      </w:tblGrid>
      <w:tr>
        <w:trPr>
          <w:tblHeader/>
        </w:trPr>
        <w:tc>
          <w:tcPr>
            <w:tcW w:type="dxa" w:w="3456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配置</w:t>
            </w:r>
          </w:p>
        </w:tc>
        <w:tc>
          <w:tcPr>
            <w:tcW w:type="dxa" w:w="2016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阶段长度</w:t>
              <w:br/>
              <w:t>增加 mm</w:t>
            </w:r>
          </w:p>
        </w:tc>
        <w:tc>
          <w:tcPr>
            <w:tcW w:type="dxa" w:w="1872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终态过渡</w:t>
              <w:br/>
              <w:t>段数</w:t>
            </w:r>
          </w:p>
        </w:tc>
        <w:tc>
          <w:tcPr>
            <w:tcW w:type="dxa" w:w="1872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已抬升</w:t>
              <w:br/>
              <w:t>路线数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旧配置 N与R</w:t>
            </w:r>
          </w:p>
        </w:tc>
        <w:tc>
          <w:tcPr>
            <w:tcW w:type="dxa" w:w="201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23.78</w:t>
            </w:r>
          </w:p>
        </w:tc>
        <w:tc>
          <w:tcPr>
            <w:tcW w:type="dxa" w:w="187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154</w:t>
            </w:r>
          </w:p>
        </w:tc>
        <w:tc>
          <w:tcPr>
            <w:tcW w:type="dxa" w:w="187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K16 N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57.50</w:t>
            </w:r>
          </w:p>
        </w:tc>
        <w:tc>
          <w:tcPr>
            <w:tcW w:type="dxa" w:w="1872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370</w:t>
            </w:r>
          </w:p>
        </w:tc>
        <w:tc>
          <w:tcPr>
            <w:tcW w:type="dxa" w:w="1872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185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K16 R</w:t>
            </w:r>
          </w:p>
        </w:tc>
        <w:tc>
          <w:tcPr>
            <w:tcW w:type="dxa" w:w="201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53.63</w:t>
            </w:r>
          </w:p>
        </w:tc>
        <w:tc>
          <w:tcPr>
            <w:tcW w:type="dxa" w:w="187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356</w:t>
            </w:r>
          </w:p>
        </w:tc>
        <w:tc>
          <w:tcPr>
            <w:tcW w:type="dxa" w:w="187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178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家族轮询 N</w:t>
            </w:r>
          </w:p>
        </w:tc>
        <w:tc>
          <w:tcPr>
            <w:tcW w:type="dxa" w:w="2016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71.86</w:t>
            </w:r>
          </w:p>
        </w:tc>
        <w:tc>
          <w:tcPr>
            <w:tcW w:type="dxa" w:w="1872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356</w:t>
            </w:r>
          </w:p>
        </w:tc>
        <w:tc>
          <w:tcPr>
            <w:tcW w:type="dxa" w:w="1872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178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家族轮询 R</w:t>
            </w:r>
          </w:p>
        </w:tc>
        <w:tc>
          <w:tcPr>
            <w:tcW w:type="dxa" w:w="201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69.23</w:t>
            </w:r>
          </w:p>
        </w:tc>
        <w:tc>
          <w:tcPr>
            <w:tcW w:type="dxa" w:w="187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338</w:t>
            </w:r>
          </w:p>
        </w:tc>
        <w:tc>
          <w:tcPr>
            <w:tcW w:type="dxa" w:w="187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169</w:t>
            </w:r>
          </w:p>
        </w:tc>
      </w:tr>
    </w:tbl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过渡数是当前终态的升段与降段数量，不是累计生成或累计执行数量。重定位替换原结构，因此动作数与终态结构数不能互相替代。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表4  家族轮询相对K16的进一步变化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1944"/>
        <w:gridCol w:w="1944"/>
        <w:gridCol w:w="2088"/>
        <w:gridCol w:w="3240"/>
      </w:tblGrid>
      <w:tr>
        <w:trPr>
          <w:tblHeader/>
        </w:trPr>
        <w:tc>
          <w:tcPr>
            <w:tcW w:type="dxa" w:w="1944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预算与模式</w:t>
            </w:r>
          </w:p>
        </w:tc>
        <w:tc>
          <w:tcPr>
            <w:tcW w:type="dxa" w:w="1944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额外少的</w:t>
              <w:br/>
              <w:t>近距对</w:t>
            </w:r>
          </w:p>
        </w:tc>
        <w:tc>
          <w:tcPr>
            <w:tcW w:type="dxa" w:w="2088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额外长度</w:t>
              <w:br/>
              <w:t>增加 mm</w:t>
            </w:r>
          </w:p>
        </w:tc>
        <w:tc>
          <w:tcPr>
            <w:tcW w:type="dxa" w:w="324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实际评价</w:t>
              <w:br/>
              <w:t>相对上限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720  N与R</w:t>
            </w:r>
          </w:p>
        </w:tc>
        <w:tc>
          <w:tcPr>
            <w:tcW w:type="dxa" w:w="1944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209</w:t>
            </w:r>
          </w:p>
        </w:tc>
        <w:tc>
          <w:tcPr>
            <w:tcW w:type="dxa" w:w="2088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7.38</w:t>
            </w:r>
          </w:p>
        </w:tc>
        <w:tc>
          <w:tcPr>
            <w:tcW w:type="dxa" w:w="324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720 / 720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1,440  N与R</w:t>
            </w:r>
          </w:p>
        </w:tc>
        <w:tc>
          <w:tcPr>
            <w:tcW w:type="dxa" w:w="1944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1,250</w:t>
            </w:r>
          </w:p>
        </w:tc>
        <w:tc>
          <w:tcPr>
            <w:tcW w:type="dxa" w:w="2088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14.82</w:t>
            </w:r>
          </w:p>
        </w:tc>
        <w:tc>
          <w:tcPr>
            <w:tcW w:type="dxa" w:w="324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1,440 / 1,440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2,880  N</w:t>
            </w:r>
          </w:p>
        </w:tc>
        <w:tc>
          <w:tcPr>
            <w:tcW w:type="dxa" w:w="1944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539</w:t>
            </w:r>
          </w:p>
        </w:tc>
        <w:tc>
          <w:tcPr>
            <w:tcW w:type="dxa" w:w="2088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14.36</w:t>
            </w:r>
          </w:p>
        </w:tc>
        <w:tc>
          <w:tcPr>
            <w:tcW w:type="dxa" w:w="324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2,753 / 2,880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2,880  R</w:t>
            </w:r>
          </w:p>
        </w:tc>
        <w:tc>
          <w:tcPr>
            <w:tcW w:type="dxa" w:w="1944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774</w:t>
            </w:r>
          </w:p>
        </w:tc>
        <w:tc>
          <w:tcPr>
            <w:tcW w:type="dxa" w:w="2088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15.61</w:t>
            </w:r>
          </w:p>
        </w:tc>
        <w:tc>
          <w:tcPr>
            <w:tcW w:type="dxa" w:w="324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2,664 / 2,880</w:t>
            </w:r>
          </w:p>
        </w:tc>
      </w:tr>
    </w:tbl>
    <w:p>
      <w:pPr>
        <w:keepNext w:val="0"/>
        <w:widowControl/>
        <w:spacing w:before="0" w:after="16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A在2880档触及200次目标尝试上限，实际评价未用满。不能把相同预算上限表述成相同实际评价次数。</w:t>
      </w:r>
    </w:p>
    <w:p>
      <w:pPr>
        <w:pStyle w:val="Heading2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需要补的公平对照</w:t>
      </w:r>
    </w:p>
    <w:p>
      <w:pPr>
        <w:keepNext w:val="0"/>
        <w:widowControl/>
        <w:spacing w:before="0" w:after="12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下一步应同时对齐评价次数和阶段长度上限，判断家族轮询的收益是否值得增加长度。</w:t>
      </w:r>
    </w:p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K16也会漏掉更好候选：固定诊断集里75个侧的前缀胜者差于完整枚举，合计收益少14.7%。更多有效动作使全布局结果仍得到改善。</w:t>
      </w:r>
    </w:p>
    <w:p>
      <w:pPr>
        <w:pStyle w:val="Heading1"/>
        <w:keepNext/>
        <w:pageBreakBefore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34"/>
        </w:rPr>
        <w:t>重定位获得检验但贡献有限</w:t>
      </w:r>
    </w:p>
    <w:p>
      <w:pPr>
        <w:keepNext w:val="0"/>
        <w:widowControl/>
        <w:spacing w:before="0" w:after="2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分层调度按当前抬升状态轮询目标，使原先排在很后面的重定位目标进入评价与执行。小预算下整体结果改善主要来自首次抬升转向了新的目标；重定位直接贡献很小。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表5  分层调度的主试验结果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1440"/>
        <w:gridCol w:w="2736"/>
        <w:gridCol w:w="2520"/>
        <w:gridCol w:w="2520"/>
      </w:tblGrid>
      <w:tr>
        <w:trPr>
          <w:tblHeader/>
        </w:trPr>
        <w:tc>
          <w:tcPr>
            <w:tcW w:type="dxa" w:w="144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预算</w:t>
            </w:r>
          </w:p>
        </w:tc>
        <w:tc>
          <w:tcPr>
            <w:tcW w:type="dxa" w:w="2736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旧配置 N与R</w:t>
            </w:r>
          </w:p>
        </w:tc>
        <w:tc>
          <w:tcPr>
            <w:tcW w:type="dxa" w:w="252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分层 N</w:t>
            </w:r>
          </w:p>
        </w:tc>
        <w:tc>
          <w:tcPr>
            <w:tcW w:type="dxa" w:w="252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分层 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720</w:t>
            </w:r>
          </w:p>
        </w:tc>
        <w:tc>
          <w:tcPr>
            <w:tcW w:type="dxa" w:w="273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40,072</w:t>
            </w:r>
          </w:p>
        </w:tc>
        <w:tc>
          <w:tcPr>
            <w:tcW w:type="dxa" w:w="252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39,590</w:t>
            </w:r>
          </w:p>
        </w:tc>
        <w:tc>
          <w:tcPr>
            <w:tcW w:type="dxa" w:w="252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38,884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1,440</w:t>
            </w:r>
          </w:p>
        </w:tc>
        <w:tc>
          <w:tcPr>
            <w:tcW w:type="dxa" w:w="2736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36,995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36,974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36,257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2,880</w:t>
            </w:r>
          </w:p>
        </w:tc>
        <w:tc>
          <w:tcPr>
            <w:tcW w:type="dxa" w:w="273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30,999</w:t>
            </w:r>
          </w:p>
        </w:tc>
        <w:tc>
          <w:tcPr>
            <w:tcW w:type="dxa" w:w="252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30,425</w:t>
            </w:r>
          </w:p>
        </w:tc>
        <w:tc>
          <w:tcPr>
            <w:tcW w:type="dxa" w:w="252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33,343</w:t>
            </w:r>
          </w:p>
        </w:tc>
      </w:tr>
    </w:tbl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分层N2880的30,425来自完整组产物与最终复核，补足原Markdown表的遗漏。各格使用相同对应预算。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表6  分层R组重定位的独立贡献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1440"/>
        <w:gridCol w:w="2736"/>
        <w:gridCol w:w="2520"/>
        <w:gridCol w:w="2520"/>
      </w:tblGrid>
      <w:tr>
        <w:trPr>
          <w:tblHeader/>
        </w:trPr>
        <w:tc>
          <w:tcPr>
            <w:tcW w:type="dxa" w:w="144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预算</w:t>
            </w:r>
          </w:p>
        </w:tc>
        <w:tc>
          <w:tcPr>
            <w:tcW w:type="dxa" w:w="2736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执行重定位</w:t>
            </w:r>
          </w:p>
        </w:tc>
        <w:tc>
          <w:tcPr>
            <w:tcW w:type="dxa" w:w="252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净减少对数</w:t>
            </w:r>
          </w:p>
        </w:tc>
        <w:tc>
          <w:tcPr>
            <w:tcW w:type="dxa" w:w="252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占本组净收益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720</w:t>
            </w:r>
          </w:p>
        </w:tc>
        <w:tc>
          <w:tcPr>
            <w:tcW w:type="dxa" w:w="273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</w:t>
            </w:r>
          </w:p>
        </w:tc>
        <w:tc>
          <w:tcPr>
            <w:tcW w:type="dxa" w:w="252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11</w:t>
            </w:r>
          </w:p>
        </w:tc>
        <w:tc>
          <w:tcPr>
            <w:tcW w:type="dxa" w:w="252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0.27%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1,440</w:t>
            </w:r>
          </w:p>
        </w:tc>
        <w:tc>
          <w:tcPr>
            <w:tcW w:type="dxa" w:w="2736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27</w:t>
            </w:r>
          </w:p>
        </w:tc>
        <w:tc>
          <w:tcPr>
            <w:tcW w:type="dxa" w:w="252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0.41%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2,880</w:t>
            </w:r>
          </w:p>
        </w:tc>
        <w:tc>
          <w:tcPr>
            <w:tcW w:type="dxa" w:w="2736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6</w:t>
            </w:r>
          </w:p>
        </w:tc>
        <w:tc>
          <w:tcPr>
            <w:tcW w:type="dxa" w:w="252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38</w:t>
            </w:r>
          </w:p>
        </w:tc>
        <w:tc>
          <w:tcPr>
            <w:tcW w:type="dxa" w:w="252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0.40%</w:t>
            </w:r>
          </w:p>
        </w:tc>
      </w:tr>
    </w:tbl>
    <w:p>
      <w:pPr>
        <w:keepNext w:val="0"/>
        <w:widowControl/>
        <w:spacing w:before="0" w:after="2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重定位净收益是11、27、38对，三档占比均不到0.5%。2880档分层R反而比旧配置多2,344对；预声明采纳规则因此保留旧调度。分层N在该档少574对，方向不能用R结果代替。</w:t>
      </w:r>
    </w:p>
    <w:p>
      <w:pPr>
        <w:keepNext w:val="0"/>
        <w:widowControl/>
        <w:spacing w:before="0" w:after="2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挑战起点上也有模式差异：分层N较旧配置少930对，分层R多4,212对。这表明等权分配调度机会并未稳定提高全布局净收益。</w:t>
      </w:r>
    </w:p>
    <w:p>
      <w:pPr>
        <w:pStyle w:val="Heading2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模式权限与执行收益要区分</w:t>
      </w:r>
    </w:p>
    <w:p>
      <w:pPr>
        <w:keepNext w:val="0"/>
        <w:widowControl/>
        <w:spacing w:before="0" w:after="16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主试验K16的N和R都没有执行重定位，结果差异来自候选池与K16前缀变化。挑战K16 R执行3次、净减少67对；A主R2880执行1次、净减少21对。不能把所有N/R差异归因于已执行的重定位。</w:t>
      </w:r>
    </w:p>
    <w:p>
      <w:pPr>
        <w:sectPr>
          <w:pgSz w:w="12240" w:h="15840"/>
          <w:pgMar w:top="936" w:right="1008" w:bottom="936" w:left="1008" w:header="360" w:footer="403" w:gutter="0"/>
          <w:cols w:space="720"/>
          <w:docGrid w:linePitch="360"/>
        </w:sectPr>
      </w:pPr>
    </w:p>
    <w:p>
      <w:pPr>
        <w:pStyle w:val="Heading1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34"/>
        </w:rPr>
        <w:t>提高目标上限只在受限起点释放预算</w:t>
      </w:r>
    </w:p>
    <w:p>
      <w:pPr>
        <w:keepNext w:val="0"/>
        <w:widowControl/>
        <w:spacing w:before="0" w:after="1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主起点把目标尝试上限从200提高到2000，六个结果逐位一致。挑战起点原配置提前触及200上限，提高上限后可用完剩余评价预算；覆盖遍历在对齐评价数后更差。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8412480" cy="2999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2_same_budget_N_vs_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9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95" w:lineRule="auto"/>
        <w:jc w:val="left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图2  原有v7主起点对照图。T0上限200、T1上限2000的结果相同；T2覆盖遍历的终态近距对更高。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表7  挑战起点上限变化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1008"/>
        <w:gridCol w:w="2880"/>
        <w:gridCol w:w="2880"/>
        <w:gridCol w:w="4032"/>
        <w:gridCol w:w="2448"/>
      </w:tblGrid>
      <w:tr>
        <w:trPr>
          <w:tblHeader/>
        </w:trPr>
        <w:tc>
          <w:tcPr>
            <w:tcW w:type="dxa" w:w="1008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88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上限200终态</w:t>
            </w:r>
          </w:p>
        </w:tc>
        <w:tc>
          <w:tcPr>
            <w:tcW w:type="dxa" w:w="288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上限2000终态</w:t>
            </w:r>
          </w:p>
        </w:tc>
        <w:tc>
          <w:tcPr>
            <w:tcW w:type="dxa" w:w="4032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实际评价 200到2000</w:t>
            </w:r>
          </w:p>
        </w:tc>
        <w:tc>
          <w:tcPr>
            <w:tcW w:type="dxa" w:w="2448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少的近距对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N</w:t>
            </w:r>
          </w:p>
        </w:tc>
        <w:tc>
          <w:tcPr>
            <w:tcW w:type="dxa" w:w="288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15,837</w:t>
            </w:r>
          </w:p>
        </w:tc>
        <w:tc>
          <w:tcPr>
            <w:tcW w:type="dxa" w:w="2880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14,583</w:t>
            </w:r>
          </w:p>
        </w:tc>
        <w:tc>
          <w:tcPr>
            <w:tcW w:type="dxa" w:w="4032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2,353 → 2,880</w:t>
            </w:r>
          </w:p>
        </w:tc>
        <w:tc>
          <w:tcPr>
            <w:tcW w:type="dxa" w:w="2448"/>
            <w:vAlign w:val="center"/>
            <w:shd w:fill="EAF1F6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1,254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R</w:t>
            </w:r>
          </w:p>
        </w:tc>
        <w:tc>
          <w:tcPr>
            <w:tcW w:type="dxa" w:w="288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16,537</w:t>
            </w:r>
          </w:p>
        </w:tc>
        <w:tc>
          <w:tcPr>
            <w:tcW w:type="dxa" w:w="2880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16,285</w:t>
            </w:r>
          </w:p>
        </w:tc>
        <w:tc>
          <w:tcPr>
            <w:tcW w:type="dxa" w:w="4032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2,481 → 2,880</w:t>
            </w:r>
          </w:p>
        </w:tc>
        <w:tc>
          <w:tcPr>
            <w:tcW w:type="dxa" w:w="2448"/>
            <w:vAlign w:val="center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252</w:t>
            </w:r>
          </w:p>
        </w:tc>
      </w:tr>
    </w:tbl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挑战起点为30,999对。该改善包含释放原未用评价预算的作用，不能视为同实际评价次数下的独立效率提升。</w:t>
      </w:r>
    </w:p>
    <w:p>
      <w:pPr>
        <w:sectPr>
          <w:pgSz w:w="15840" w:h="12240" w:orient="landscape"/>
          <w:pgMar w:top="648" w:right="1008" w:bottom="648" w:left="1008" w:header="360" w:footer="403" w:gutter="0"/>
          <w:cols w:space="720"/>
          <w:docGrid w:linePitch="360"/>
        </w:sectPr>
      </w:pPr>
    </w:p>
    <w:p>
      <w:pPr>
        <w:pStyle w:val="Heading1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34"/>
        </w:rPr>
        <w:t>八项机制的证据与当前决定</w:t>
      </w:r>
    </w:p>
    <w:p>
      <w:pPr>
        <w:keepNext w:val="0"/>
        <w:widowControl/>
        <w:spacing w:before="0" w:after="2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单项消融的结论按实际触发条件与正确对照陈述。零终态变化、没有执行、计算调用减少分别回答不同问题，不能统一写成机制无效。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表8  八项机制复盘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2088"/>
        <w:gridCol w:w="4968"/>
        <w:gridCol w:w="2160"/>
      </w:tblGrid>
      <w:tr>
        <w:trPr>
          <w:tblHeader/>
        </w:trPr>
        <w:tc>
          <w:tcPr>
            <w:tcW w:type="dxa" w:w="2088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4968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本轮观察</w:t>
            </w:r>
          </w:p>
        </w:tc>
        <w:tc>
          <w:tcPr>
            <w:tcW w:type="dxa" w:w="216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当前判断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A 家族轮询</w:t>
            </w:r>
          </w:p>
        </w:tc>
        <w:tc>
          <w:tcPr>
            <w:tcW w:type="dxa" w:w="4968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三档终态更少；长度增加；2880实际评价未用满。</w:t>
            </w:r>
          </w:p>
        </w:tc>
        <w:tc>
          <w:tcPr>
            <w:tcW w:type="dxa" w:w="2160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有改善潜力</w:t>
              <w:br/>
              <w:t>补成本对照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B 动作配额</w:t>
            </w:r>
          </w:p>
        </w:tc>
        <w:tc>
          <w:tcPr>
            <w:tcW w:type="dxa" w:w="4968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终态与基线相同；当前设置未体现预留配额的增益。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触发条件受限</w:t>
              <w:br/>
              <w:t>不能外推无效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C 等待年龄</w:t>
            </w:r>
          </w:p>
        </w:tc>
        <w:tc>
          <w:tcPr>
            <w:tcW w:type="dxa" w:w="4968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六个主终态与K16基线逐位一致。</w:t>
            </w:r>
          </w:p>
        </w:tc>
        <w:tc>
          <w:tcPr>
            <w:tcW w:type="dxa" w:w="2160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本设置无改善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D 路线覆盖</w:t>
            </w:r>
          </w:p>
        </w:tc>
        <w:tc>
          <w:tcPr>
            <w:tcW w:type="dxa" w:w="4968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对专门dctrl：N较差、R较好；2880实际评价不齐。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结果混合</w:t>
              <w:br/>
              <w:t>不普遍采纳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E 多锚点</w:t>
            </w:r>
          </w:p>
        </w:tc>
        <w:tc>
          <w:tcPr>
            <w:tcW w:type="dxa" w:w="4968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720略好；三档均在668次评价和200目标处停止。</w:t>
            </w:r>
          </w:p>
        </w:tc>
        <w:tc>
          <w:tcPr>
            <w:tcW w:type="dxa" w:w="2160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高预算退化</w:t>
              <w:br/>
              <w:t>需分开查上限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F 几何去重</w:t>
            </w:r>
          </w:p>
        </w:tc>
        <w:tc>
          <w:tcPr>
            <w:tcW w:type="dxa" w:w="4968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没有完全重复几何，也没有与现态相同的候选。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没有可去重项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G 判定缓存</w:t>
            </w:r>
          </w:p>
        </w:tc>
        <w:tc>
          <w:tcPr>
            <w:tcW w:type="dxa" w:w="4968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终态逐位一致，复用了邻居判定；未做受控串行计时。</w:t>
            </w:r>
          </w:p>
        </w:tc>
        <w:tc>
          <w:tcPr>
            <w:tcW w:type="dxa" w:w="2160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计算量有证据</w:t>
              <w:br/>
              <w:t>时间收益未证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H 撤回平面</w:t>
            </w:r>
          </w:p>
        </w:tc>
        <w:tc>
          <w:tcPr>
            <w:tcW w:type="dxa" w:w="4968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R2880评价7个撤回候选，0次执行。</w:t>
            </w:r>
          </w:p>
        </w:tc>
        <w:tc>
          <w:tcPr>
            <w:tcW w:type="dxa" w:w="2160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0"/>
              </w:rPr>
              <w:t>额外收益未测到</w:t>
            </w:r>
          </w:p>
        </w:tc>
      </w:tr>
    </w:tbl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D只与STRATIFIED加K16且不启用覆盖的dctrl比较；直接拿D与LEGACY加K16比较会同时改变两个因素。</w:t>
      </w:r>
    </w:p>
    <w:p>
      <w:pPr>
        <w:pStyle w:val="Heading2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未完成的核心工程</w:t>
      </w:r>
    </w:p>
    <w:p>
      <w:pPr>
        <w:keepNext w:val="0"/>
        <w:widowControl/>
        <w:spacing w:before="0" w:after="2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v8沿路径弧长的窗口扩展尚未实现、运行或验收。旧审计中33/120个目标侧无合法窗口，本轮没有测量它们是否因扩展生成域而变得可行。</w:t>
      </w:r>
    </w:p>
    <w:p>
      <w:pPr>
        <w:keepNext w:val="0"/>
        <w:widowControl/>
        <w:spacing w:before="0" w:after="16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固定512条合成路线上的几何结果不能直接外推真实损耗、串扰或工艺合规。实验结论限定于所列起点、模式、策略和评价预算。</w:t>
      </w:r>
    </w:p>
    <w:p>
      <w:pPr>
        <w:pStyle w:val="Heading1"/>
        <w:keepNext/>
        <w:pageBreakBefore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34"/>
        </w:rPr>
        <w:t>证据可信度与下一步</w:t>
      </w:r>
    </w:p>
    <w:p>
      <w:pPr>
        <w:keepNext/>
        <w:widowControl/>
        <w:spacing w:before="80" w:after="100" w:line="295" w:lineRule="auto"/>
      </w:pPr>
      <w:r>
        <w:rPr>
          <w:rFonts w:ascii="Microsoft YaHei" w:hAnsi="Microsoft YaHei" w:eastAsia="Microsoft YaHei" w:cs="Microsoft YaHei"/>
          <w:b/>
          <w:color w:val="234A68"/>
          <w:sz w:val="20"/>
        </w:rPr>
        <w:t>表9  本轮验证与尚缺证据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6" w:type="dxa"/>
          <w:bottom w:w="66" w:type="dxa"/>
          <w:left w:w="100" w:type="dxa"/>
          <w:right w:w="100" w:type="dxa"/>
        </w:tblCellMar>
      </w:tblPr>
      <w:tblGrid>
        <w:gridCol w:w="2376"/>
        <w:gridCol w:w="6840"/>
      </w:tblGrid>
      <w:tr>
        <w:trPr>
          <w:tblHeader/>
        </w:trPr>
        <w:tc>
          <w:tcPr>
            <w:tcW w:type="dxa" w:w="2376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40"/>
            <w:shd w:fill="234A68"/>
            <w:vAlign w:val="center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已完成证据或状态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全量回归</w:t>
            </w:r>
          </w:p>
        </w:tc>
        <w:tc>
          <w:tcPr>
            <w:tcW w:type="dxa" w:w="6840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778 passed，4 skipped；4个跳过为模块级scipy条件。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引擎针对性测试</w:t>
            </w:r>
          </w:p>
        </w:tc>
        <w:tc>
          <w:tcPr>
            <w:tcW w:type="dxa" w:w="6840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21 passed；对应本轮实现，历史测试数未充作本轮结果。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正式产物复核</w:t>
            </w:r>
          </w:p>
        </w:tc>
        <w:tc>
          <w:tcPr>
            <w:tcW w:type="dxa" w:w="6840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126组：104组运行PASS，22组引用完整性校验通过，0 FAIL。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终态复核</w:t>
            </w:r>
          </w:p>
        </w:tc>
        <w:tc>
          <w:tcPr>
            <w:tcW w:type="dxa" w:w="6840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每个正式终态保存重载后全扫130,816对，核对集合、几何与长度。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受控串行计时</w:t>
            </w:r>
          </w:p>
        </w:tc>
        <w:tc>
          <w:tcPr>
            <w:tcW w:type="dxa" w:w="6840"/>
            <w:vAlign w:val="center"/>
            <w:shd w:fill="EAF1F6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尚未进行；旧并行墙钟只作运行描述。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v8窗口扩展</w:t>
            </w:r>
          </w:p>
        </w:tc>
        <w:tc>
          <w:tcPr>
            <w:tcW w:type="dxa" w:w="6840"/>
            <w:vAlign w:val="center"/>
          </w:tcPr>
          <w:p>
            <w:pPr>
              <w:widowControl/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02A35"/>
                <w:sz w:val="21"/>
              </w:rPr>
              <w:t>未实现、未运行、未验收，不能报告无窗比例改善。</w:t>
            </w:r>
          </w:p>
        </w:tc>
      </w:tr>
    </w:tbl>
    <w:p>
      <w:pPr>
        <w:pStyle w:val="Heading2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建议按这个顺序补证据</w:t>
      </w:r>
    </w:p>
    <w:p>
      <w:pPr>
        <w:keepNext w:val="0"/>
        <w:widowControl/>
        <w:spacing w:before="0" w:after="2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先对齐A的实际评价预算，再在固定阶段长度上限下比较K16与A；这样可以判断减少的近距对是否值得增加长度。之后完成v8几何支持链和正式对照，检验当前无窗侧的适用范围。</w:t>
      </w:r>
    </w:p>
    <w:p>
      <w:pPr>
        <w:keepNext w:val="0"/>
        <w:widowControl/>
        <w:spacing w:before="0" w:after="200" w:line="295" w:lineRule="auto"/>
      </w:pPr>
      <w:r>
        <w:rPr>
          <w:rFonts w:ascii="Microsoft YaHei" w:hAnsi="Microsoft YaHei" w:eastAsia="Microsoft YaHei" w:cs="Microsoft YaHei"/>
          <w:b w:val="0"/>
          <w:color w:val="202A35"/>
          <w:sz w:val="22"/>
        </w:rPr>
        <w:t>缓存G采用相同轨迹的开关对照做受控串行计时。继续保留严格验收，不因负结果改判据；分层调度与覆盖遍历应按模式和起点讨论，避免把局部改善写成普遍优势。</w:t>
      </w:r>
    </w:p>
    <w:p>
      <w:pPr>
        <w:pStyle w:val="Heading2"/>
        <w:keepNext/>
        <w:spacing w:before="80" w:after="180"/>
      </w:pPr>
      <w:r>
        <w:rPr>
          <w:rFonts w:ascii="Microsoft YaHei" w:hAnsi="Microsoft YaHei" w:eastAsia="Microsoft YaHei" w:cs="Microsoft YaHei"/>
          <w:b/>
          <w:color w:val="000000"/>
          <w:sz w:val="25"/>
        </w:rPr>
        <w:t>数据来源与口径更正</w:t>
      </w:r>
    </w:p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数值来源：outputs/overnight_3d_ideas 下v5、v6、v7、ideas、dctrl的comparison.csv，以及verification/final_verification.json。漏列的组以正式组产物和最终复核补齐。图1和图2直接复用原有图件。</w:t>
      </w:r>
    </w:p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原Markdown把旧配置1440和2880档的终态过渡数写为140和212；当前CSV及路线数对应96和154。本简报采用当前终态口径。原Markdown遗漏分层N2880，本简报补入30,425。</w:t>
      </w:r>
    </w:p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v7采用决定以adoption_note.json的有效配置为准：LEGACY加E2_ORDERED_K16，K为16，目标上限200。原始实验与旧版报告保留。</w:t>
      </w:r>
    </w:p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图件选择：v7原预算图的挑战N格仍标注未完成，因CSV漏列；本简报复用无该标注的主起点图，挑战结果以表7中的最终复核为准。</w:t>
      </w:r>
    </w:p>
    <w:p>
      <w:pPr>
        <w:keepNext w:val="0"/>
        <w:widowControl/>
        <w:spacing w:before="0" w:after="140" w:line="295" w:lineRule="auto"/>
      </w:pPr>
      <w:r>
        <w:rPr>
          <w:rFonts w:ascii="Microsoft YaHei" w:hAnsi="Microsoft YaHei" w:eastAsia="Microsoft YaHei" w:cs="Microsoft YaHei"/>
          <w:b w:val="0"/>
          <w:color w:val="647382"/>
          <w:sz w:val="18"/>
        </w:rPr>
        <w:t>工程规则、组级明细、完整图集和恢复命令仍见原32页报告与原始产物；本简报用于读取主要结论和证据边界。</w:t>
      </w:r>
    </w:p>
    <w:sectPr w:rsidR="00FC693F" w:rsidRPr="0006063C" w:rsidSect="00034616">
      <w:pgSz w:w="12240" w:h="15840"/>
      <w:pgMar w:top="936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647382"/>
        <w:sz w:val="17"/>
      </w:rPr>
      <w:t xml:space="preserve">三维布线通宵实验结论  |  </w:t>
    </w:r>
    <w:r>
      <w:rPr>
        <w:rFonts w:ascii="Microsoft YaHei" w:hAnsi="Microsoft YaHei" w:eastAsia="Microsoft YaHei" w:cs="Microsoft YaHei"/>
        <w:color w:val="647382"/>
        <w:sz w:val="17"/>
      </w:rPr>
    </w:r>
    <w:fldSimple w:instr="PAGE">
      <w:r>
        <w:t>1</w:t>
      </w:r>
    </w:fldSimple>
    <w:r>
      <w:rPr>
        <w:rFonts w:ascii="Microsoft YaHei" w:hAnsi="Microsoft YaHei" w:eastAsia="Microsoft YaHei" w:cs="Microsoft YaHei"/>
        <w:color w:val="647382"/>
        <w:sz w:val="17"/>
      </w:rPr>
      <w:t xml:space="preserve"> / </w:t>
    </w:r>
    <w:r>
      <w:rPr>
        <w:rFonts w:ascii="Microsoft YaHei" w:hAnsi="Microsoft YaHei" w:eastAsia="Microsoft YaHei" w:cs="Microsoft YaHei"/>
        <w:color w:val="647382"/>
        <w:sz w:val="17"/>
      </w:rPr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三维布线通宵实验结论简报</dc:title>
  <dc:subject>v5 v6 v7及八项机制的效果 成本与限制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