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宋体"/>
        </w:rPr>
        <w:t>三维波导布线v4实验报告</w:t>
      </w:r>
    </w:p>
    <w:p>
      <w:pPr>
        <w:pStyle w:val="Caption"/>
        <w:jc w:val="center"/>
      </w:pPr>
      <w:r>
        <w:rPr>
          <w:rFonts w:eastAsia="宋体"/>
        </w:rPr>
        <w:t>——残余近距对瓶颈审计、全布局持续优化（N/R 移动权限开关）与六组追加预算对照</w:t>
      </w:r>
    </w:p>
    <w:p>
      <w:r>
        <w:rPr>
          <w:rFonts w:eastAsia="宋体"/>
        </w:rPr>
        <w:t>本报告记录本轮实际完成的三件事：①对 v3 组 D 终态中剩余的 42,909 对中心线近距做瓶颈审计；②新增 v4 全布局持续优化接口，并只用一个 allow_relocation 开关区分 N（只允许首次抬升）与 R（首次抬升＋已抬路线重定位）；③六组追加候选预算实验 N720/R720/N1440/R1440/N2880/R2880，每组都独立从同一个终态出发。</w:t>
      </w:r>
    </w:p>
    <w:p>
      <w:r>
        <w:rPr>
          <w:rFonts w:eastAsia="宋体"/>
        </w:rPr>
        <w:t>本报告回答“做了什么、结果怎么样、结论、限制”，不是完整论文，也不替代此前的实验记录与历史报告。</w:t>
      </w:r>
    </w:p>
    <w:p>
      <w:r>
        <w:rPr>
          <w:rFonts w:eastAsia="宋体"/>
        </w:rPr>
        <w:t>口径：全部比较指标是 0.1 mm 中心线近距对数（close pair count），不代表光学损耗、串扰、无碰撞制造或工艺合规，也不代表器件实测。512 是项目既有合成输入（LEGACY_512_SMOOTHED_P0），不是真实端口数据。六组的“预算”是从共同终态起追加的候选基本评价预算，不包含形成该起点的历史 720 次评价。</w:t>
      </w:r>
    </w:p>
    <w:p>
      <w:pPr>
        <w:pStyle w:val="Heading1"/>
        <w:pageBreakBefore/>
      </w:pPr>
      <w:r>
        <w:rPr>
          <w:rFonts w:eastAsia="宋体"/>
        </w:rPr>
        <w:t>第 1 章 共同起点与复核</w:t>
      </w:r>
    </w:p>
    <w:p>
      <w:r>
        <w:rPr>
          <w:rFonts w:eastAsia="宋体"/>
        </w:rPr>
        <w:t>全部六组实验与审计使用同一个起点：v3 组 D（generation_failure_cache=True、window_slack_mm=1e-5）的终态目录，路径见下方。为了不依赖保存文件的自洽性，本轮在每组运行开始时都对起点做了一次完整的 130,816 对重算，并与保存的近距集合逐对比较。</w:t>
      </w:r>
    </w:p>
    <w:p>
      <w:pPr>
        <w:pStyle w:val="Caption"/>
        <w:keepNext/>
      </w:pPr>
      <w:r>
        <w:rPr>
          <w:rFonts w:eastAsia="宋体"/>
        </w:rPr>
        <w:t>表1 共同起点的重算复核（本轮实测，非引用历史结论）</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3515"/>
        <w:gridCol w:w="2268"/>
        <w:gridCol w:w="2041"/>
        <w:gridCol w:w="1701"/>
      </w:tblGrid>
      <w:tr>
        <w:trPr>
          <w:cantSplit/>
          <w:tblHeader/>
        </w:trPr>
        <w:tc>
          <w:tcPr>
            <w:tcW w:type="dxa" w:w="351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项目</w:t>
            </w:r>
          </w:p>
        </w:tc>
        <w:tc>
          <w:tcPr>
            <w:tcW w:type="dxa" w:w="226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本轮完整重算</w:t>
            </w:r>
          </w:p>
        </w:tc>
        <w:tc>
          <w:tcPr>
            <w:tcW w:type="dxa" w:w="2041"/>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保存文件记录</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判定</w:t>
            </w:r>
          </w:p>
        </w:tc>
      </w:tr>
      <w:tr>
        <w:trPr>
          <w:cantSplit/>
        </w:trPr>
        <w:tc>
          <w:tcPr>
            <w:tcW w:type="dxa" w:w="351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路线数</w:t>
            </w:r>
          </w:p>
        </w:tc>
        <w:tc>
          <w:tcPr>
            <w:tcW w:type="dxa" w:w="226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512</w:t>
            </w:r>
          </w:p>
        </w:tc>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512</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一致</w:t>
            </w:r>
          </w:p>
        </w:tc>
      </w:tr>
      <w:tr>
        <w:trPr>
          <w:cantSplit/>
        </w:trPr>
        <w:tc>
          <w:tcPr>
            <w:tcW w:type="dxa" w:w="351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全部路线对检查数</w:t>
            </w:r>
          </w:p>
        </w:tc>
        <w:tc>
          <w:tcPr>
            <w:tcW w:type="dxa" w:w="226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130,816</w:t>
            </w:r>
          </w:p>
        </w:tc>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每对都重新分类</w:t>
            </w:r>
          </w:p>
        </w:tc>
      </w:tr>
      <w:tr>
        <w:trPr>
          <w:cantSplit/>
        </w:trPr>
        <w:tc>
          <w:tcPr>
            <w:tcW w:type="dxa" w:w="351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中心线近距对数</w:t>
            </w:r>
          </w:p>
        </w:tc>
        <w:tc>
          <w:tcPr>
            <w:tcW w:type="dxa" w:w="226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42,909</w:t>
            </w:r>
          </w:p>
        </w:tc>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42,909</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一致</w:t>
            </w:r>
          </w:p>
        </w:tc>
      </w:tr>
      <w:tr>
        <w:trPr>
          <w:cantSplit/>
        </w:trPr>
        <w:tc>
          <w:tcPr>
            <w:tcW w:type="dxa" w:w="351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未决（非 CLEAR 非 COLLISION）对数</w:t>
            </w:r>
          </w:p>
        </w:tc>
        <w:tc>
          <w:tcPr>
            <w:tcW w:type="dxa" w:w="226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w:t>
            </w:r>
          </w:p>
        </w:tc>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一致</w:t>
            </w:r>
          </w:p>
        </w:tc>
      </w:tr>
      <w:tr>
        <w:trPr>
          <w:cantSplit/>
        </w:trPr>
        <w:tc>
          <w:tcPr>
            <w:tcW w:type="dxa" w:w="351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已抬升路线数</w:t>
            </w:r>
          </w:p>
        </w:tc>
        <w:tc>
          <w:tcPr>
            <w:tcW w:type="dxa" w:w="226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24</w:t>
            </w:r>
          </w:p>
        </w:tc>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24</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一致</w:t>
            </w:r>
          </w:p>
        </w:tc>
      </w:tr>
      <w:tr>
        <w:trPr>
          <w:cantSplit/>
        </w:trPr>
        <w:tc>
          <w:tcPr>
            <w:tcW w:type="dxa" w:w="351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层分布（层 0 / 层 1 / 层 2）</w:t>
            </w:r>
          </w:p>
        </w:tc>
        <w:tc>
          <w:tcPr>
            <w:tcW w:type="dxa" w:w="226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488 / 21 / 3</w:t>
            </w:r>
          </w:p>
        </w:tc>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488 / 21 / 3</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一致</w:t>
            </w:r>
          </w:p>
        </w:tc>
      </w:tr>
      <w:tr>
        <w:trPr>
          <w:cantSplit/>
        </w:trPr>
        <w:tc>
          <w:tcPr>
            <w:tcW w:type="dxa" w:w="351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双方未抬 / 单方已抬 / 双方已抬</w:t>
            </w:r>
          </w:p>
        </w:tc>
        <w:tc>
          <w:tcPr>
            <w:tcW w:type="dxa" w:w="226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42,516 / 291 / 102</w:t>
            </w:r>
          </w:p>
        </w:tc>
        <w:tc>
          <w:tcPr>
            <w:tcW w:type="dxa" w:w="204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三类合计等于近距对数</w:t>
            </w:r>
          </w:p>
        </w:tc>
      </w:tr>
    </w:tbl>
    <w:p>
      <w:pPr>
        <w:keepNext/>
        <w:spacing w:line="360" w:lineRule="auto" w:before="40" w:after="80"/>
      </w:pPr>
      <w:r>
        <w:rPr>
          <w:rFonts w:eastAsia="宋体"/>
          <w:sz w:val="18"/>
        </w:rPr>
        <w:t>注：重算在每一组的运行进程内独立执行一次；分类函数、阈值与容差与 v3 完全相同。“未决”指既不是 CLEAR 也不是 COLLISION 的分类，本报告任何位置都不把它当作 CLEAR。</w:t>
      </w:r>
    </w:p>
    <w:p>
      <w:pPr>
        <w:spacing w:line="360" w:lineRule="auto" w:before="40" w:after="80"/>
      </w:pPr>
      <w:r>
        <w:rPr>
          <w:rFonts w:eastAsia="宋体"/>
          <w:sz w:val="18"/>
        </w:rPr>
        <w:t>数据来源：C:\Users\lihao\Desktop\Graduation Project\OpticalWaveguideRouter3D\outputs\3d_strategy_v3\512_ablation\D_both_enabled 的 final_routes.json、collision_sets.json、ledger.json；本轮写入 512_full_layout/start_state_check.json。</w:t>
      </w:r>
    </w:p>
    <w:p>
      <w:r>
        <w:rPr>
          <w:rFonts w:eastAsia="宋体"/>
        </w:rPr>
        <w:t>起点终态的路线几何、层分布与长度口径与 v3 组 D 的保存记录一致；剩余近距对中双方未抬升占绝大多数，单方已抬升与双方已抬升合计只有 393 对，这决定了后文 R 组能否真正触达重定位机会。</w:t>
      </w:r>
    </w:p>
    <w:p>
      <w:pPr>
        <w:pStyle w:val="Heading1"/>
        <w:pageBreakBefore/>
      </w:pPr>
      <w:r>
        <w:rPr>
          <w:rFonts w:eastAsia="宋体"/>
        </w:rPr>
        <w:t>第 2 章 残余近距对瓶颈审计</w:t>
      </w:r>
    </w:p>
    <w:p>
      <w:pPr>
        <w:pStyle w:val="Heading2"/>
      </w:pPr>
      <w:r>
        <w:rPr>
          <w:rFonts w:eastAsia="宋体"/>
        </w:rPr>
        <w:t>2.1 固定清单与抽样规则</w:t>
      </w:r>
    </w:p>
    <w:p>
      <w:r>
        <w:rPr>
          <w:rFonts w:eastAsia="宋体"/>
        </w:rPr>
        <w:t>审计使用一份在评价任何候选之前就固定并保存的目标清单：双方未抬升 40 对（20 对按冲突优先序、20 对按固定随机种子抽样）、单方已抬升 10 对、双方已抬升 10 对。为了不把清单压在少数几条路线上，类别内每条路线最多出现 2 次，全清单最多出现 4 次。四类的目标侧记录只用于审计，六组性能实验一律使用动态目标选择，不使用这份清单。</w:t>
      </w:r>
    </w:p>
    <w:p>
      <w:pPr>
        <w:pStyle w:val="Caption"/>
        <w:keepNext/>
      </w:pPr>
      <w:r>
        <w:rPr>
          <w:rFonts w:eastAsia="宋体"/>
        </w:rPr>
        <w:t>表2 固定目标清单的四类填充情况</w:t>
      </w:r>
    </w:p>
    <w:tbl>
      <w:tblPr>
        <w:tblW w:type="dxa" w:w="924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2835"/>
        <w:gridCol w:w="1304"/>
        <w:gridCol w:w="1474"/>
        <w:gridCol w:w="1814"/>
        <w:gridCol w:w="1814"/>
      </w:tblGrid>
      <w:tr>
        <w:trPr>
          <w:cantSplit/>
          <w:tblHeader/>
        </w:trPr>
        <w:tc>
          <w:tcPr>
            <w:tcW w:type="dxa" w:w="2835"/>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类别</w:t>
            </w:r>
          </w:p>
        </w:tc>
        <w:tc>
          <w:tcPr>
            <w:tcW w:type="dxa" w:w="130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计划对数</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实际选中对数</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该类别可用对数</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数量是否不足</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高冲突（双方未抬升）</w:t>
            </w:r>
          </w:p>
        </w:tc>
        <w:tc>
          <w:tcPr>
            <w:tcW w:type="dxa" w:w="130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42,516</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无不足</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固定种子随机抽样（双方未抬升）</w:t>
            </w:r>
          </w:p>
        </w:tc>
        <w:tc>
          <w:tcPr>
            <w:tcW w:type="dxa" w:w="130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42,516</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无不足</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单方已抬升</w:t>
            </w:r>
          </w:p>
        </w:tc>
        <w:tc>
          <w:tcPr>
            <w:tcW w:type="dxa" w:w="130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10</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291</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无不足</w:t>
            </w:r>
          </w:p>
        </w:tc>
      </w:tr>
      <w:tr>
        <w:trPr>
          <w:cantSplit/>
        </w:trPr>
        <w:tc>
          <w:tcPr>
            <w:tcW w:type="dxa" w:w="283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双方已抬升</w:t>
            </w:r>
          </w:p>
        </w:tc>
        <w:tc>
          <w:tcPr>
            <w:tcW w:type="dxa" w:w="130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10</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10</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102</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无不足</w:t>
            </w:r>
          </w:p>
        </w:tc>
      </w:tr>
    </w:tbl>
    <w:p>
      <w:pPr>
        <w:keepNext/>
        <w:spacing w:line="360" w:lineRule="auto" w:before="40" w:after="80"/>
      </w:pPr>
      <w:r>
        <w:rPr>
          <w:rFonts w:eastAsia="宋体"/>
          <w:sz w:val="18"/>
        </w:rPr>
        <w:t>注：类别按高冲突→随机→单方已抬升→双方已抬升的顺序填充，全清单路线上限累计生效；若某类达不到计划数量，只记录缺口，不用其它类别补足。</w:t>
      </w:r>
    </w:p>
    <w:p>
      <w:pPr>
        <w:spacing w:line="360" w:lineRule="auto" w:before="40" w:after="80"/>
      </w:pPr>
      <w:r>
        <w:rPr>
          <w:rFonts w:eastAsia="宋体"/>
          <w:sz w:val="18"/>
        </w:rPr>
        <w:t>数据来源：512_full_layout/audit/target_list.json 与 audit/sampling_rules.json。</w:t>
      </w:r>
    </w:p>
    <w:p>
      <w:pPr>
        <w:pStyle w:val="Caption"/>
        <w:keepNext/>
      </w:pPr>
      <w:r>
        <w:rPr>
          <w:rFonts w:eastAsia="宋体"/>
        </w:rPr>
        <w:t>表3 抽样规则与随机种子（在任何候选评价之前固定）</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3628"/>
        <w:gridCol w:w="5896"/>
      </w:tblGrid>
      <w:tr>
        <w:trPr>
          <w:cantSplit/>
          <w:tblHeader/>
        </w:trPr>
        <w:tc>
          <w:tcPr>
            <w:tcW w:type="dxa" w:w="362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项</w:t>
            </w:r>
          </w:p>
        </w:tc>
        <w:tc>
          <w:tcPr>
            <w:tcW w:type="dxa" w:w="5896"/>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值</w:t>
            </w:r>
          </w:p>
        </w:tc>
      </w:tr>
      <w:tr>
        <w:trPr>
          <w:cantSplit/>
        </w:trPr>
        <w:tc>
          <w:tcPr>
            <w:tcW w:type="dxa" w:w="36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随机种子</w:t>
            </w:r>
          </w:p>
        </w:tc>
        <w:tc>
          <w:tcPr>
            <w:tcW w:type="dxa" w:w="5896"/>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20261006</w:t>
            </w:r>
          </w:p>
        </w:tc>
      </w:tr>
      <w:tr>
        <w:trPr>
          <w:cantSplit/>
        </w:trPr>
        <w:tc>
          <w:tcPr>
            <w:tcW w:type="dxa" w:w="36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类别内每条路线上限</w:t>
            </w:r>
          </w:p>
        </w:tc>
        <w:tc>
          <w:tcPr>
            <w:tcW w:type="dxa" w:w="5896"/>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2</w:t>
            </w:r>
          </w:p>
        </w:tc>
      </w:tr>
      <w:tr>
        <w:trPr>
          <w:cantSplit/>
        </w:trPr>
        <w:tc>
          <w:tcPr>
            <w:tcW w:type="dxa" w:w="36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全清单每条路线上限</w:t>
            </w:r>
          </w:p>
        </w:tc>
        <w:tc>
          <w:tcPr>
            <w:tcW w:type="dxa" w:w="5896"/>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4</w:t>
            </w:r>
          </w:p>
        </w:tc>
      </w:tr>
      <w:tr>
        <w:trPr>
          <w:cantSplit/>
        </w:trPr>
        <w:tc>
          <w:tcPr>
            <w:tcW w:type="dxa" w:w="36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清单内目标对数 / 覆盖路线数 / 单条路线最多出现</w:t>
            </w:r>
          </w:p>
        </w:tc>
        <w:tc>
          <w:tcPr>
            <w:tcW w:type="dxa" w:w="5896"/>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60 / 50 / 4</w:t>
            </w:r>
          </w:p>
        </w:tc>
      </w:tr>
      <w:tr>
        <w:trPr>
          <w:cantSplit/>
        </w:trPr>
        <w:tc>
          <w:tcPr>
            <w:tcW w:type="dxa" w:w="36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审计结果是否用于挑选性能实验目标</w:t>
            </w:r>
          </w:p>
        </w:tc>
        <w:tc>
          <w:tcPr>
            <w:tcW w:type="dxa" w:w="5896"/>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否，六组使用动态目标选择</w:t>
            </w:r>
          </w:p>
        </w:tc>
      </w:tr>
    </w:tbl>
    <w:p>
      <w:pPr>
        <w:keepNext/>
        <w:spacing w:line="360" w:lineRule="auto" w:before="40" w:after="80"/>
      </w:pPr>
      <w:r>
        <w:rPr>
          <w:rFonts w:eastAsia="宋体"/>
          <w:sz w:val="18"/>
        </w:rPr>
        <w:t>注：随机抽样为 random.Random(种子) 对双方未抬升对列表做 shuffle 后按抽样顺序取前若干对，顺序本身被保存，因此清单可完全复现。</w:t>
      </w:r>
    </w:p>
    <w:p>
      <w:pPr>
        <w:spacing w:line="360" w:lineRule="auto" w:before="40" w:after="80"/>
      </w:pPr>
      <w:r>
        <w:rPr>
          <w:rFonts w:eastAsia="宋体"/>
          <w:sz w:val="18"/>
        </w:rPr>
        <w:t>数据来源：512_full_layout/audit/sampling_rules.json、target_list.json。</w:t>
      </w:r>
    </w:p>
    <w:p>
      <w:pPr>
        <w:pStyle w:val="Heading2"/>
      </w:pPr>
      <w:r>
        <w:rPr>
          <w:rFonts w:eastAsia="宋体"/>
        </w:rPr>
        <w:t>2.2 四类瓶颈归因</w:t>
      </w:r>
    </w:p>
    <w:p>
      <w:pPr>
        <w:pStyle w:val="Caption"/>
        <w:keepNext/>
      </w:pPr>
      <w:r>
        <w:rPr>
          <w:rFonts w:eastAsia="宋体"/>
        </w:rPr>
        <w:t>表4 审计目标侧的瓶颈归因（每侧一条记录）</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5329"/>
        <w:gridCol w:w="1814"/>
        <w:gridCol w:w="2381"/>
      </w:tblGrid>
      <w:tr>
        <w:trPr>
          <w:cantSplit/>
          <w:tblHeader/>
        </w:trPr>
        <w:tc>
          <w:tcPr>
            <w:tcW w:type="dxa" w:w="5329"/>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归因</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目标侧数</w:t>
            </w:r>
          </w:p>
        </w:tc>
        <w:tc>
          <w:tcPr>
            <w:tcW w:type="dxa" w:w="238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占目标侧比例（%）</w:t>
            </w:r>
          </w:p>
        </w:tc>
      </w:tr>
      <w:tr>
        <w:trPr>
          <w:cantSplit/>
        </w:trPr>
        <w:tc>
          <w:tcPr>
            <w:tcW w:type="dxa" w:w="532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当前生成规则下无合法窗口</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33</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27.50</w:t>
            </w:r>
          </w:p>
        </w:tc>
      </w:tr>
      <w:tr>
        <w:trPr>
          <w:cantSplit/>
        </w:trPr>
        <w:tc>
          <w:tcPr>
            <w:tcW w:type="dxa" w:w="532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候选存在但基本验收全部失败</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w:t>
            </w:r>
          </w:p>
        </w:tc>
      </w:tr>
      <w:tr>
        <w:trPr>
          <w:cantSplit/>
        </w:trPr>
        <w:tc>
          <w:tcPr>
            <w:tcW w:type="dxa" w:w="532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基本通过但完整邻线验收无净收益</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0.83</w:t>
            </w:r>
          </w:p>
        </w:tc>
      </w:tr>
      <w:tr>
        <w:trPr>
          <w:cantSplit/>
        </w:trPr>
        <w:tc>
          <w:tcPr>
            <w:tcW w:type="dxa" w:w="532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完整验收达到本轮次数上限、未判到底</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w:t>
            </w:r>
          </w:p>
        </w:tc>
      </w:tr>
      <w:tr>
        <w:trPr>
          <w:cantSplit/>
        </w:trPr>
        <w:tc>
          <w:tcPr>
            <w:tcW w:type="dxa" w:w="5329"/>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存在可完整通过（净减少）的候选</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86</w:t>
            </w:r>
          </w:p>
        </w:tc>
        <w:tc>
          <w:tcPr>
            <w:tcW w:type="dxa" w:w="238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71.67</w:t>
            </w:r>
          </w:p>
        </w:tc>
      </w:tr>
    </w:tbl>
    <w:p>
      <w:pPr>
        <w:keepNext/>
        <w:spacing w:line="360" w:lineRule="auto" w:before="40" w:after="80"/>
      </w:pPr>
      <w:r>
        <w:rPr>
          <w:rFonts w:eastAsia="宋体"/>
          <w:sz w:val="18"/>
        </w:rPr>
        <w:t>注：目标侧＝(目标对, 可能移动的那条路线)。全部审计目标共 60 对，因此最多 120 个目标侧。“当前生成规则下无合法窗口”只表示按现行窗口枚举规则（层高 0/1/2 mm、真实最小曲率半径 5 mm、window_slack_mm=1e-5）得不到任何候选，不代表该几何必然无解；本报告不作此推论。</w:t>
      </w:r>
    </w:p>
    <w:p>
      <w:pPr>
        <w:spacing w:line="360" w:lineRule="auto" w:before="40" w:after="80"/>
      </w:pPr>
      <w:r>
        <w:rPr>
          <w:rFonts w:eastAsia="宋体"/>
          <w:sz w:val="18"/>
        </w:rPr>
        <w:t>数据来源：512_full_layout/audit/classification_summary.json、side_audit.json。</w:t>
      </w:r>
    </w:p>
    <w:p>
      <w:pPr>
        <w:pStyle w:val="Caption"/>
        <w:keepNext/>
      </w:pPr>
      <w:r>
        <w:rPr>
          <w:rFonts w:eastAsia="宋体"/>
        </w:rPr>
        <w:t>表5 此前预算覆盖 × 瓶颈归因交叉表</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644"/>
        <w:gridCol w:w="1474"/>
        <w:gridCol w:w="1814"/>
        <w:gridCol w:w="1814"/>
        <w:gridCol w:w="1474"/>
        <w:gridCol w:w="1191"/>
      </w:tblGrid>
      <w:tr>
        <w:trPr>
          <w:cantSplit/>
          <w:tblHeader/>
        </w:trPr>
        <w:tc>
          <w:tcPr>
            <w:tcW w:type="dxa" w:w="164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此前预算覆盖情况</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当前生成规则下无合法窗口</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候选存在但基本验收全部失败</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基本通过但完整邻线验收无净收益</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完整验收达到本轮次数上限、未判到底</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存在可完整通过（净减少）的候选</w:t>
            </w:r>
          </w:p>
        </w:tc>
      </w:tr>
      <w:tr>
        <w:trPr>
          <w:cantSplit/>
        </w:trPr>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此前 720 次预算未覆盖</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27</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86</w:t>
            </w:r>
          </w:p>
        </w:tc>
      </w:tr>
      <w:tr>
        <w:trPr>
          <w:cantSplit/>
        </w:trPr>
        <w:tc>
          <w:tcPr>
            <w:tcW w:type="dxa" w:w="164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此前预算已覆盖</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6</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r>
    </w:tbl>
    <w:p>
      <w:pPr>
        <w:keepNext/>
        <w:spacing w:line="360" w:lineRule="auto" w:before="40" w:after="80"/>
      </w:pPr>
      <w:r>
        <w:rPr>
          <w:rFonts w:eastAsia="宋体"/>
          <w:sz w:val="18"/>
        </w:rPr>
        <w:t>注：“已覆盖”指该 (目标对, 路线) 组合在形成起点的历史 720 次评价中至少进入过一次评价序列。本轮审计清单 120 个目标侧中仅 6 个属于此前已覆盖，其余均为此前预算从未触达的组合。</w:t>
      </w:r>
    </w:p>
    <w:p>
      <w:pPr>
        <w:spacing w:line="360" w:lineRule="auto" w:before="40" w:after="80"/>
      </w:pPr>
      <w:r>
        <w:rPr>
          <w:rFonts w:eastAsia="宋体"/>
          <w:sz w:val="18"/>
        </w:rPr>
        <w:t>数据来源：outputs/3d_strategy_v3/512_ablation/D_both_enabled/decisions.json 的 victim_attempts 与本轮 audit/side_audit.json。</w:t>
      </w:r>
    </w:p>
    <w:p>
      <w:pPr>
        <w:pStyle w:val="Caption"/>
        <w:keepNext/>
      </w:pPr>
      <w:r>
        <w:rPr>
          <w:rFonts w:eastAsia="宋体"/>
        </w:rPr>
        <w:t>表6 按类别分组的目标侧统计</w:t>
      </w:r>
    </w:p>
    <w:tbl>
      <w:tblPr>
        <w:tblW w:type="dxa" w:w="9638"/>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928"/>
        <w:gridCol w:w="1134"/>
        <w:gridCol w:w="1928"/>
        <w:gridCol w:w="1474"/>
        <w:gridCol w:w="1474"/>
        <w:gridCol w:w="1701"/>
      </w:tblGrid>
      <w:tr>
        <w:trPr>
          <w:cantSplit/>
          <w:tblHeader/>
        </w:trPr>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类别</w:t>
            </w:r>
          </w:p>
        </w:tc>
        <w:tc>
          <w:tcPr>
            <w:tcW w:type="dxa" w:w="113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目标侧数</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其中当前规则无合法窗口</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其中此前预算已覆盖</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生成候选总数</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存在完整通过候选的侧数</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高冲突（双方未抬升）</w:t>
            </w:r>
          </w:p>
        </w:tc>
        <w:tc>
          <w:tcPr>
            <w:tcW w:type="dxa" w:w="113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1,152</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随机抽样（双方未抬升）</w:t>
            </w:r>
          </w:p>
        </w:tc>
        <w:tc>
          <w:tcPr>
            <w:tcW w:type="dxa" w:w="113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1,233</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单方已抬升</w:t>
            </w:r>
          </w:p>
        </w:tc>
        <w:tc>
          <w:tcPr>
            <w:tcW w:type="dxa" w:w="113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w:t>
            </w:r>
          </w:p>
        </w:tc>
      </w:tr>
      <w:tr>
        <w:trPr>
          <w:cantSplit/>
        </w:trPr>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双方已抬升</w:t>
            </w:r>
          </w:p>
        </w:tc>
        <w:tc>
          <w:tcPr>
            <w:tcW w:type="dxa" w:w="113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20</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12</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180</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7</w:t>
            </w:r>
          </w:p>
        </w:tc>
      </w:tr>
    </w:tbl>
    <w:p>
      <w:pPr>
        <w:keepNext/>
        <w:spacing w:line="360" w:lineRule="auto" w:before="40" w:after="80"/>
      </w:pPr>
      <w:r>
        <w:rPr>
          <w:rFonts w:eastAsia="宋体"/>
          <w:sz w:val="18"/>
        </w:rPr>
        <w:t>注：每类只统计本轮固定清单中该类别的目标侧，不代表全板比例。</w:t>
      </w:r>
    </w:p>
    <w:p>
      <w:pPr>
        <w:spacing w:line="360" w:lineRule="auto" w:before="40" w:after="80"/>
      </w:pPr>
      <w:r>
        <w:rPr>
          <w:rFonts w:eastAsia="宋体"/>
          <w:sz w:val="18"/>
        </w:rPr>
        <w:t>数据来源：512_full_layout/audit/classification_summary.json。</w:t>
      </w:r>
    </w:p>
    <w:p>
      <w:pPr>
        <w:pStyle w:val="Heading2"/>
      </w:pPr>
      <w:r>
        <w:rPr>
          <w:rFonts w:eastAsia="宋体"/>
        </w:rPr>
        <w:t>2.3 生成端与验收端的失败原因</w:t>
      </w:r>
    </w:p>
    <w:p>
      <w:pPr>
        <w:pStyle w:val="Caption"/>
        <w:keepNext/>
      </w:pPr>
      <w:r>
        <w:rPr>
          <w:rFonts w:eastAsia="宋体"/>
        </w:rPr>
        <w:t>表7 生成端零候选原因（出现次数）</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5102"/>
        <w:gridCol w:w="1814"/>
        <w:gridCol w:w="2608"/>
      </w:tblGrid>
      <w:tr>
        <w:trPr>
          <w:cantSplit/>
          <w:tblHeader/>
        </w:trPr>
        <w:tc>
          <w:tcPr>
            <w:tcW w:type="dxa" w:w="5102"/>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原因</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出现次数</w:t>
            </w:r>
          </w:p>
        </w:tc>
        <w:tc>
          <w:tcPr>
            <w:tcW w:type="dxa" w:w="260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占该类比例（%）</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INSUFFICIENT_TRANSITION_SPACE</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26</w:t>
            </w:r>
          </w:p>
        </w:tc>
        <w:tc>
          <w:tcPr>
            <w:tcW w:type="dxa" w:w="260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78.79</w:t>
            </w:r>
          </w:p>
        </w:tc>
      </w:tr>
      <w:tr>
        <w:trPr>
          <w:cantSplit/>
        </w:trPr>
        <w:tc>
          <w:tcPr>
            <w:tcW w:type="dxa" w:w="5102"/>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NO_VALID_TRANSITION_WINDOW</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7</w:t>
            </w:r>
          </w:p>
        </w:tc>
        <w:tc>
          <w:tcPr>
            <w:tcW w:type="dxa" w:w="260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21.21</w:t>
            </w:r>
          </w:p>
        </w:tc>
      </w:tr>
    </w:tbl>
    <w:p>
      <w:pPr>
        <w:keepNext/>
        <w:spacing w:line="360" w:lineRule="auto" w:before="40" w:after="80"/>
      </w:pPr>
      <w:r>
        <w:rPr>
          <w:rFonts w:eastAsia="宋体"/>
          <w:sz w:val="18"/>
        </w:rPr>
        <w:t>注：原因取自窗口枚举返回的失败码；同一目标可以有两侧分别失败，因此次数按目标侧累计。再次强调：这描述的是当前生成规则，不是几何必然无解。</w:t>
      </w:r>
    </w:p>
    <w:p>
      <w:pPr>
        <w:spacing w:line="360" w:lineRule="auto" w:before="40" w:after="80"/>
      </w:pPr>
      <w:r>
        <w:rPr>
          <w:rFonts w:eastAsia="宋体"/>
          <w:sz w:val="18"/>
        </w:rPr>
        <w:t>数据来源：512_full_layout/audit/classification_summary.json 的 generation_failure_reason_counts。</w:t>
      </w:r>
    </w:p>
    <w:p>
      <w:pPr>
        <w:pStyle w:val="Caption"/>
        <w:keepNext/>
      </w:pPr>
      <w:r>
        <w:rPr>
          <w:rFonts w:eastAsia="宋体"/>
        </w:rPr>
        <w:t>表8 基本验收与完整验收的拒绝原因（出现次数）</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361"/>
        <w:gridCol w:w="4195"/>
        <w:gridCol w:w="1814"/>
        <w:gridCol w:w="2041"/>
      </w:tblGrid>
      <w:tr>
        <w:trPr>
          <w:cantSplit/>
          <w:tblHeader/>
        </w:trPr>
        <w:tc>
          <w:tcPr>
            <w:tcW w:type="dxa" w:w="136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阶段</w:t>
            </w:r>
          </w:p>
        </w:tc>
        <w:tc>
          <w:tcPr>
            <w:tcW w:type="dxa" w:w="4195"/>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拒绝原因</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出现次数</w:t>
            </w:r>
          </w:p>
        </w:tc>
        <w:tc>
          <w:tcPr>
            <w:tcW w:type="dxa" w:w="204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占该类比例（%）</w:t>
            </w:r>
          </w:p>
        </w:tc>
      </w:tr>
      <w:tr>
        <w:trPr>
          <w:cantSplit/>
        </w:trPr>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基本验收</w:t>
            </w:r>
          </w:p>
        </w:tc>
        <w:tc>
          <w:tcPr>
            <w:tcW w:type="dxa" w:w="419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TARGET_NOT_CLEARED</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90</w:t>
            </w:r>
          </w:p>
        </w:tc>
        <w:tc>
          <w:tcPr>
            <w:tcW w:type="dxa" w:w="204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100.00</w:t>
            </w:r>
          </w:p>
        </w:tc>
      </w:tr>
      <w:tr>
        <w:trPr>
          <w:cantSplit/>
        </w:trPr>
        <w:tc>
          <w:tcPr>
            <w:tcW w:type="dxa" w:w="136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完整邻线验收</w:t>
            </w:r>
          </w:p>
        </w:tc>
        <w:tc>
          <w:tcPr>
            <w:tcW w:type="dxa" w:w="419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NO_STRICT_GLOBAL_DECREASE</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86</w:t>
            </w:r>
          </w:p>
        </w:tc>
        <w:tc>
          <w:tcPr>
            <w:tcW w:type="dxa" w:w="204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100.00</w:t>
            </w:r>
          </w:p>
        </w:tc>
      </w:tr>
    </w:tbl>
    <w:p>
      <w:pPr>
        <w:keepNext/>
        <w:spacing w:line="360" w:lineRule="auto" w:before="40" w:after="80"/>
      </w:pPr>
      <w:r>
        <w:rPr>
          <w:rFonts w:eastAsia="宋体"/>
          <w:sz w:val="18"/>
        </w:rPr>
        <w:t>注：同一候选可以同时命中多个理由，因此次数不能相加成候选数；本表的“次数”只是理由出现次数。审计的候选评价单独记账，不并入后面任何一组优化预算。</w:t>
      </w:r>
    </w:p>
    <w:p>
      <w:pPr>
        <w:spacing w:line="360" w:lineRule="auto" w:before="40" w:after="80"/>
      </w:pPr>
      <w:r>
        <w:rPr>
          <w:rFonts w:eastAsia="宋体"/>
          <w:sz w:val="18"/>
        </w:rPr>
        <w:t>数据来源：512_full_layout/audit/classification_summary.json 的 basic/full_rejection_reason_counts。</w:t>
      </w:r>
    </w:p>
    <w:p>
      <w:pPr>
        <w:pStyle w:val="Caption"/>
        <w:keepNext/>
      </w:pPr>
      <w:r>
        <w:rPr>
          <w:rFonts w:eastAsia="宋体"/>
        </w:rPr>
        <w:t>表9 审计候选评价台账（单独记账）</w:t>
      </w:r>
    </w:p>
    <w:tbl>
      <w:tblPr>
        <w:tblW w:type="dxa" w:w="907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2835"/>
        <w:gridCol w:w="1701"/>
        <w:gridCol w:w="4535"/>
      </w:tblGrid>
      <w:tr>
        <w:trPr>
          <w:cantSplit/>
          <w:tblHeader/>
        </w:trPr>
        <w:tc>
          <w:tcPr>
            <w:tcW w:type="dxa" w:w="2835"/>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项</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数值</w:t>
            </w:r>
          </w:p>
        </w:tc>
        <w:tc>
          <w:tcPr>
            <w:tcW w:type="dxa" w:w="4535"/>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说明</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审计基本评价次数</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2,781</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每评价一个候选计 1，基本拒绝也计入</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审计完整邻线验收次数</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2,583</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仅基本通过后进入</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被基本评价上限截断的候选数</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每侧上限 400</w:t>
            </w:r>
          </w:p>
        </w:tc>
      </w:tr>
      <w:tr>
        <w:trPr>
          <w:cantSplit/>
        </w:trPr>
        <w:tc>
          <w:tcPr>
            <w:tcW w:type="dxa" w:w="28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被完整验收上限截断的候选数</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108</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每侧上限 60</w:t>
            </w:r>
          </w:p>
        </w:tc>
      </w:tr>
      <w:tr>
        <w:trPr>
          <w:cantSplit/>
        </w:trPr>
        <w:tc>
          <w:tcPr>
            <w:tcW w:type="dxa" w:w="283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是否并入优化预算</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否</w:t>
            </w:r>
          </w:p>
        </w:tc>
        <w:tc>
          <w:tcPr>
            <w:tcW w:type="dxa" w:w="453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审计与六组实验的预算完全分开</w:t>
            </w:r>
          </w:p>
        </w:tc>
      </w:tr>
    </w:tbl>
    <w:p>
      <w:pPr>
        <w:keepNext/>
        <w:spacing w:line="360" w:lineRule="auto" w:before="40" w:after="80"/>
      </w:pPr>
      <w:r>
        <w:rPr>
          <w:rFonts w:eastAsia="宋体"/>
          <w:sz w:val="18"/>
        </w:rPr>
        <w:t>注：被截断的记录在分类里单独标为“完整验收达到本轮次数上限、未判到底”，不与“无净收益”混同。</w:t>
      </w:r>
    </w:p>
    <w:p>
      <w:pPr>
        <w:spacing w:line="360" w:lineRule="auto" w:before="40" w:after="80"/>
      </w:pPr>
      <w:r>
        <w:rPr>
          <w:rFonts w:eastAsia="宋体"/>
          <w:sz w:val="18"/>
        </w:rPr>
        <w:t>数据来源：512_full_layout/audit/audit_ledger.json。</w:t>
      </w:r>
    </w:p>
    <w:p>
      <w:pPr>
        <w:pStyle w:val="Heading2"/>
      </w:pPr>
      <w:r>
        <w:rPr>
          <w:rFonts w:eastAsia="宋体"/>
        </w:rPr>
        <w:t>2.4 审计结论</w:t>
      </w:r>
    </w:p>
    <w:p>
      <w:r>
        <w:rPr>
          <w:rFonts w:eastAsia="宋体"/>
        </w:rPr>
        <w:t>在这份固定清单的 120 个目标侧中，33 侧在当前生成规则下没有合法窗口，0 侧有候选但基本验收全部失败，1 侧基本通过但完整邻线验收没有净收益，0 侧因本轮完整验收次数上限未判到底，86 侧存在可以完整通过（全局严格减少）的候选。此前的 720 次评价只覆盖了其中 6 个目标侧，其余 114 侧从未进入过评价序列。</w:t>
      </w:r>
    </w:p>
    <w:p>
      <w:r>
        <w:rPr>
          <w:rFonts w:eastAsia="宋体"/>
        </w:rPr>
        <w:t>因此，残余近距对被“预算覆盖”限制的部分是 114 个目标侧；被“当前候选生成规则”限制的部分至少 33 个目标侧；被“验收约束”限制的部分是 1 个目标侧；而 86 个目标侧在当前规则与当前验收下是可动的，说明残余并非全部结构性无解。</w:t>
      </w:r>
    </w:p>
    <w:p>
      <w:r>
        <w:rPr>
          <w:rFonts w:eastAsia="宋体"/>
        </w:rPr>
        <w:t>按类别看，当前生成规则下无合法窗口的比例差别很大：高冲突（双方未抬升） 4/40；随机抽样（双方未抬升） 4/40；单方已抬升 13/20；双方已抬升 12/20（无窗口侧数 / 该类目标侧数）。涉及已抬升路线的两类目标（单方已抬升、双方已抬升）无窗口比例明显更高，因为一条已经抬升的路线只能从冻结平面路线重建升降结构，可在其上安排升降窗口的直线段更少；而这两类目标恰恰又是六组性能实验里排在优先序最末尾的那一批。这两件事共同解释了本轮的负结果：不是验收太严，而是这些目标既难生成候选、又排不到队首。</w:t>
      </w:r>
    </w:p>
    <w:p>
      <w:r>
        <w:rPr>
          <w:rFonts w:eastAsia="宋体"/>
        </w:rPr>
        <w:t>交叉表逐格数值：当前生成规则下无合法窗口 27；候选存在但基本验收全部失败 0；基本通过但完整邻线验收无净收益 1；完整验收达到本轮次数上限、未判到底 0；存在可完整通过（净减少）的候选 86；当前生成规则下无合法窗口 6；候选存在但基本验收全部失败 0；基本通过但完整邻线验收无净收益 0；完整验收达到本轮次数上限、未判到底 0；存在可完整通过（净减少）的候选 0。此前已覆盖的 6 个目标侧全部属于“当前规则无合法窗口”，也就是说此前 720 次预算所触达的目标在这份清单里没有留下任何可动机会；而全部 86 个“存在可完整通过候选”的目标侧都在此前预算从未触达的范围里。这直接说明追加预算是有效的方向，但它只在这一轮才第一次被用在这些目标上。</w:t>
      </w:r>
    </w:p>
    <w:p>
      <w:pPr>
        <w:keepNext/>
        <w:spacing w:after="80"/>
        <w:jc w:val="center"/>
      </w:pPr>
      <w:r>
        <w:rPr>
          <w:rFonts w:eastAsia="宋体"/>
        </w:rPr>
        <w:drawing>
          <wp:inline xmlns:a="http://schemas.openxmlformats.org/drawingml/2006/main" xmlns:pic="http://schemas.openxmlformats.org/drawingml/2006/picture">
            <wp:extent cx="5976000" cy="1600228"/>
            <wp:docPr id="1" name="Picture 1" descr="瓶颈审计：目标侧的归因分布、此前预算覆盖情况，以及四类固定清单中的无窗口比例"/>
            <wp:cNvGraphicFramePr>
              <a:graphicFrameLocks noChangeAspect="1"/>
            </wp:cNvGraphicFramePr>
            <a:graphic>
              <a:graphicData uri="http://schemas.openxmlformats.org/drawingml/2006/picture">
                <pic:pic>
                  <pic:nvPicPr>
                    <pic:cNvPr id="0" name="f9_bottleneck_audit.png"/>
                    <pic:cNvPicPr/>
                  </pic:nvPicPr>
                  <pic:blipFill>
                    <a:blip r:embed="rId11"/>
                    <a:stretch>
                      <a:fillRect/>
                    </a:stretch>
                  </pic:blipFill>
                  <pic:spPr>
                    <a:xfrm>
                      <a:off x="0" y="0"/>
                      <a:ext cx="5976000" cy="1600228"/>
                    </a:xfrm>
                    <a:prstGeom prst="rect"/>
                  </pic:spPr>
                </pic:pic>
              </a:graphicData>
            </a:graphic>
          </wp:inline>
        </w:drawing>
      </w:r>
    </w:p>
    <w:p>
      <w:pPr>
        <w:pStyle w:val="Caption"/>
        <w:keepNext w:val="0"/>
        <w:jc w:val="center"/>
      </w:pPr>
      <w:r>
        <w:rPr>
          <w:rFonts w:eastAsia="宋体"/>
        </w:rPr>
        <w:t>图1 瓶颈审计：目标侧的归因分布、此前预算覆盖情况，以及四类固定清单中的无窗口比例</w:t>
      </w:r>
    </w:p>
    <w:p>
      <w:pPr>
        <w:pStyle w:val="Heading1"/>
        <w:pageBreakBefore/>
      </w:pPr>
      <w:r>
        <w:rPr>
          <w:rFonts w:eastAsia="宋体"/>
        </w:rPr>
        <w:t>第 3 章 v4 全布局持续优化接口</w:t>
      </w:r>
    </w:p>
    <w:p>
      <w:r>
        <w:rPr>
          <w:rFonts w:eastAsia="宋体"/>
        </w:rPr>
        <w:t>v4 不重新实现几何与验收。它复用已被 v3 验证的函数，只增加两件事：起点可以是已经抬升的三维终态，以及一个明确的移动权限开关。下表列出共用部分与唯一差别。</w:t>
      </w:r>
    </w:p>
    <w:p>
      <w:pPr>
        <w:pStyle w:val="Caption"/>
        <w:keepNext/>
      </w:pPr>
      <w:r>
        <w:rPr>
          <w:rFonts w:eastAsia="宋体"/>
        </w:rPr>
        <w:t>表10 N 与 R 的唯一差别与共用部分</w:t>
      </w:r>
    </w:p>
    <w:tbl>
      <w:tblPr>
        <w:tblW w:type="dxa" w:w="9468"/>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531"/>
        <w:gridCol w:w="3175"/>
        <w:gridCol w:w="2835"/>
        <w:gridCol w:w="1928"/>
      </w:tblGrid>
      <w:tr>
        <w:trPr>
          <w:cantSplit/>
          <w:tblHeader/>
        </w:trPr>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环节</w:t>
            </w:r>
          </w:p>
        </w:tc>
        <w:tc>
          <w:tcPr>
            <w:tcW w:type="dxa" w:w="317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N 组</w:t>
            </w:r>
          </w:p>
        </w:tc>
        <w:tc>
          <w:tcPr>
            <w:tcW w:type="dxa" w:w="283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R 组</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是否共用同一实现</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目标排序</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冲突优先序（度数和的负值、最大度数的负值、对本身）</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候选生成</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从冻结平面 z=0 路线重建</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跨路线排名</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净减少量优先</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基本验收</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端点、C0/C1、真实曲率半径、自近距、目标对清零</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完整邻线验收</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对全部其它路线检查，未决不当作 CLEAR，要求全局严格减少</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静态生成失败缓存</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按当前允许移动的路线判断</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动态失败缓存</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全局布局版本失效</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 N</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w:t>
            </w:r>
          </w:p>
        </w:tc>
      </w:tr>
      <w:tr>
        <w:trPr>
          <w:cantSplit/>
        </w:trPr>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可移动受害者</w:t>
            </w:r>
          </w:p>
        </w:tc>
        <w:tc>
          <w:tcPr>
            <w:tcW w:type="dxa" w:w="317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只有尚未抬升的路线</w:t>
            </w:r>
          </w:p>
        </w:tc>
        <w:tc>
          <w:tcPr>
            <w:tcW w:type="dxa" w:w="283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尚未抬升的路线＋已抬升路线（重定位）</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否，唯一的差别</w:t>
            </w:r>
          </w:p>
        </w:tc>
      </w:tr>
    </w:tbl>
    <w:p>
      <w:pPr>
        <w:keepNext/>
        <w:spacing w:line="360" w:lineRule="auto" w:before="40" w:after="80"/>
      </w:pPr>
      <w:r>
        <w:rPr>
          <w:rFonts w:eastAsia="宋体"/>
          <w:sz w:val="18"/>
        </w:rPr>
        <w:t>注：两组不共用任何不同的缓存、排序或验收代码路径，因此差异只来自移动权限；不使用历史策略 B/C 作为两组，避免同时引入缓存与排序的其它差异。</w:t>
      </w:r>
    </w:p>
    <w:p>
      <w:pPr>
        <w:spacing w:line="360" w:lineRule="auto" w:before="40" w:after="80"/>
      </w:pPr>
      <w:r>
        <w:rPr>
          <w:rFonts w:eastAsia="宋体"/>
          <w:sz w:val="18"/>
        </w:rPr>
        <w:t>数据来源：src/strategy_v4_3d.py；src/strategy_v2_3d.py、src/layer_assignment_3d.py、src/three_layer_assignment_3d.py、src/sequential_elevation_3d.py 中的共用函数。</w:t>
      </w:r>
    </w:p>
    <w:p>
      <w:pPr>
        <w:pStyle w:val="Caption"/>
        <w:keepNext/>
      </w:pPr>
      <w:r>
        <w:rPr>
          <w:rFonts w:eastAsia="宋体"/>
        </w:rPr>
        <w:t>表11 缓存、跳过与预算计数口径</w:t>
      </w:r>
    </w:p>
    <w:tbl>
      <w:tblPr>
        <w:tblW w:type="dxa" w:w="9468"/>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814"/>
        <w:gridCol w:w="4309"/>
        <w:gridCol w:w="1814"/>
        <w:gridCol w:w="1531"/>
      </w:tblGrid>
      <w:tr>
        <w:trPr>
          <w:cantSplit/>
          <w:tblHeader/>
        </w:trPr>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机制</w:t>
            </w:r>
          </w:p>
        </w:tc>
        <w:tc>
          <w:tcPr>
            <w:tcW w:type="dxa" w:w="4309"/>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语义</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是否消耗候选评价</w:t>
            </w:r>
          </w:p>
        </w:tc>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是否消耗目标尝试</w:t>
            </w:r>
          </w:p>
        </w:tc>
      </w:tr>
      <w:tr>
        <w:trPr>
          <w:cantSplit/>
        </w:trPr>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候选基本评价</w:t>
            </w:r>
          </w:p>
        </w:tc>
        <w:tc>
          <w:tcPr>
            <w:tcW w:type="dxa" w:w="430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每评价一个候选计 1，基本拒绝也计入</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是</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w:t>
            </w:r>
          </w:p>
        </w:tc>
      </w:tr>
      <w:tr>
        <w:trPr>
          <w:cantSplit/>
        </w:trPr>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静态零候选缓存</w:t>
            </w:r>
          </w:p>
        </w:tc>
        <w:tc>
          <w:tcPr>
            <w:tcW w:type="dxa" w:w="430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每个当前可移动受害者的生成输入指纹都相同且记录为 0 候选时跳过</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否</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否</w:t>
            </w:r>
          </w:p>
        </w:tc>
      </w:tr>
      <w:tr>
        <w:trPr>
          <w:cantSplit/>
        </w:trPr>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无可移动路线</w:t>
            </w:r>
          </w:p>
        </w:tc>
        <w:tc>
          <w:tcPr>
            <w:tcW w:type="dxa" w:w="430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N 组中目标两侧都已抬升，本模式不允许移动任何一侧</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否</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否</w:t>
            </w:r>
          </w:p>
        </w:tc>
      </w:tr>
      <w:tr>
        <w:trPr>
          <w:cantSplit/>
        </w:trPr>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动态验收失败缓存</w:t>
            </w:r>
          </w:p>
        </w:tc>
        <w:tc>
          <w:tcPr>
            <w:tcW w:type="dxa" w:w="4309"/>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按全局布局版本失效；任何路线改变后旧失败允许重试</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是（重试时重新评价）</w:t>
            </w:r>
          </w:p>
        </w:tc>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是</w:t>
            </w:r>
          </w:p>
        </w:tc>
      </w:tr>
    </w:tbl>
    <w:p>
      <w:pPr>
        <w:keepNext/>
        <w:spacing w:line="360" w:lineRule="auto" w:before="40" w:after="80"/>
      </w:pPr>
      <w:r>
        <w:rPr>
          <w:rFonts w:eastAsia="宋体"/>
          <w:sz w:val="18"/>
        </w:rPr>
        <w:t>注：“候选评价”与“动作执行”是两件事：一步里可以有多个候选通过完整验收，但只执行排名最优的一个。预算耗尽时只允许使用已经完成完整验收的候选。</w:t>
      </w:r>
    </w:p>
    <w:p>
      <w:pPr>
        <w:spacing w:line="360" w:lineRule="auto" w:before="40" w:after="80"/>
      </w:pPr>
      <w:r>
        <w:rPr>
          <w:rFonts w:eastAsia="宋体"/>
          <w:sz w:val="18"/>
        </w:rPr>
        <w:t>数据来源：512_full_layout/&lt;组&gt;/ledger.json 中的字段定义。</w:t>
      </w:r>
    </w:p>
    <w:p>
      <w:pPr>
        <w:pStyle w:val="Caption"/>
        <w:keepNext/>
      </w:pPr>
      <w:r>
        <w:rPr>
          <w:rFonts w:eastAsia="宋体"/>
        </w:rPr>
        <w:t>表12 三种长度口径与账本定义</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474"/>
        <w:gridCol w:w="5443"/>
        <w:gridCol w:w="2494"/>
      </w:tblGrid>
      <w:tr>
        <w:trPr>
          <w:cantSplit/>
          <w:tblHeader/>
        </w:trPr>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口径</w:t>
            </w:r>
          </w:p>
        </w:tc>
        <w:tc>
          <w:tcPr>
            <w:tcW w:type="dxa" w:w="5443"/>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定义</w:t>
            </w:r>
          </w:p>
        </w:tc>
        <w:tc>
          <w:tcPr>
            <w:tcW w:type="dxa" w:w="24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允许为负</w:t>
            </w:r>
          </w:p>
        </w:tc>
      </w:tr>
      <w:tr>
        <w:trPr>
          <w:cantSplit/>
        </w:trPr>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单步变化</w:t>
            </w:r>
          </w:p>
        </w:tc>
        <w:tc>
          <w:tcPr>
            <w:tcW w:type="dxa" w:w="544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新路线长度 − 当前路线长度</w:t>
            </w:r>
          </w:p>
        </w:tc>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允许，重定位可能缩短</w:t>
            </w:r>
          </w:p>
        </w:tc>
      </w:tr>
      <w:tr>
        <w:trPr>
          <w:cantSplit/>
        </w:trPr>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阶段变化</w:t>
            </w:r>
          </w:p>
        </w:tc>
        <w:tc>
          <w:tcPr>
            <w:tcW w:type="dxa" w:w="544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终态总长度 − 共同起点总长度</w:t>
            </w:r>
          </w:p>
        </w:tc>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允许</w:t>
            </w:r>
          </w:p>
        </w:tc>
      </w:tr>
      <w:tr>
        <w:trPr>
          <w:cantSplit/>
        </w:trPr>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终态额外长度</w:t>
            </w:r>
          </w:p>
        </w:tc>
        <w:tc>
          <w:tcPr>
            <w:tcW w:type="dxa" w:w="5443"/>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终态总长度 − 原始冻结平面总长度</w:t>
            </w:r>
          </w:p>
        </w:tc>
        <w:tc>
          <w:tcPr>
            <w:tcW w:type="dxa" w:w="24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允许</w:t>
            </w:r>
          </w:p>
        </w:tc>
      </w:tr>
    </w:tbl>
    <w:p>
      <w:pPr>
        <w:keepNext/>
        <w:spacing w:line="360" w:lineRule="auto" w:before="40" w:after="80"/>
      </w:pPr>
      <w:r>
        <w:rPr>
          <w:rFonts w:eastAsia="宋体"/>
          <w:sz w:val="18"/>
        </w:rPr>
        <w:t>注：三者分别核对，不混用；本报告所有长度表都标明使用的是哪一种口径。</w:t>
      </w:r>
    </w:p>
    <w:p>
      <w:pPr>
        <w:spacing w:line="360" w:lineRule="auto" w:before="40" w:after="80"/>
      </w:pPr>
      <w:r>
        <w:rPr>
          <w:rFonts w:eastAsia="宋体"/>
          <w:sz w:val="18"/>
        </w:rPr>
        <w:t>数据来源：512_full_layout/&lt;组&gt;/ledger.json 与 &lt;组&gt;/recheck.json 的 length_ledger。</w:t>
      </w:r>
    </w:p>
    <w:p>
      <w:pPr>
        <w:pStyle w:val="Heading1"/>
        <w:pageBreakBefore/>
      </w:pPr>
      <w:r>
        <w:rPr>
          <w:rFonts w:eastAsia="宋体"/>
        </w:rPr>
        <w:t>第 4 章 六组追加预算实验</w:t>
      </w:r>
    </w:p>
    <w:p>
      <w:pPr>
        <w:pStyle w:val="Heading2"/>
      </w:pPr>
      <w:r>
        <w:rPr>
          <w:rFonts w:eastAsia="宋体"/>
        </w:rPr>
        <w:t>4.1 配置与实验设置</w:t>
      </w:r>
    </w:p>
    <w:p>
      <w:pPr>
        <w:pStyle w:val="Caption"/>
        <w:keepNext/>
      </w:pPr>
      <w:r>
        <w:rPr>
          <w:rFonts w:eastAsia="宋体"/>
        </w:rPr>
        <w:t>表13 六组共同配置</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2608"/>
        <w:gridCol w:w="6917"/>
      </w:tblGrid>
      <w:tr>
        <w:trPr>
          <w:cantSplit/>
          <w:tblHeader/>
        </w:trPr>
        <w:tc>
          <w:tcPr>
            <w:tcW w:type="dxa" w:w="260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项</w:t>
            </w:r>
          </w:p>
        </w:tc>
        <w:tc>
          <w:tcPr>
            <w:tcW w:type="dxa" w:w="6917"/>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值</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起点</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outputs/3d_strategy_v3/512_ablation/D_both_enabled</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层与层高</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层0：0.0 mm、层1：1.0 mm、层2：2.0 mm</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中心线近距阈值</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0.1 mm</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真实最小曲率半径</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5 mm</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窗口余量 window_slack_mm</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1.0e-05</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静态生成失败缓存</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开启</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正式目标尝试上限</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200</w:t>
            </w:r>
          </w:p>
        </w:tc>
      </w:tr>
      <w:tr>
        <w:trPr>
          <w:cantSplit/>
        </w:trPr>
        <w:tc>
          <w:tcPr>
            <w:tcW w:type="dxa" w:w="2608"/>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候选预算</w:t>
            </w:r>
          </w:p>
        </w:tc>
        <w:tc>
          <w:tcPr>
            <w:tcW w:type="dxa" w:w="6917"/>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从共同终态起追加：720 / 1440 / 2880（不含形成起点的历史 720 次评价）</w:t>
            </w:r>
          </w:p>
        </w:tc>
      </w:tr>
      <w:tr>
        <w:trPr>
          <w:cantSplit/>
        </w:trPr>
        <w:tc>
          <w:tcPr>
            <w:tcW w:type="dxa" w:w="260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每组起点</w:t>
            </w:r>
          </w:p>
        </w:tc>
        <w:tc>
          <w:tcPr>
            <w:tcW w:type="dxa" w:w="691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各自独立从同一终态开始，不使用上一组结果作为下一组起点</w:t>
            </w:r>
          </w:p>
        </w:tc>
      </w:tr>
    </w:tbl>
    <w:p>
      <w:pPr>
        <w:keepNext/>
        <w:spacing w:line="360" w:lineRule="auto" w:before="40" w:after="80"/>
      </w:pPr>
      <w:r>
        <w:rPr>
          <w:rFonts w:eastAsia="宋体"/>
          <w:sz w:val="18"/>
        </w:rPr>
        <w:t>注：阈值、半径与窗口余量对六组完全相同；两组之间的唯一差别是移动权限。</w:t>
      </w:r>
    </w:p>
    <w:p>
      <w:pPr>
        <w:spacing w:line="360" w:lineRule="auto" w:before="40" w:after="80"/>
      </w:pPr>
      <w:r>
        <w:rPr>
          <w:rFonts w:eastAsia="宋体"/>
          <w:sz w:val="18"/>
        </w:rPr>
        <w:t>数据来源：512_full_layout/&lt;组&gt;/config.json。</w:t>
      </w:r>
    </w:p>
    <w:p>
      <w:pPr>
        <w:pStyle w:val="Heading2"/>
      </w:pPr>
      <w:r>
        <w:rPr>
          <w:rFonts w:eastAsia="宋体"/>
        </w:rPr>
        <w:t>4.2 六组终态结果</w:t>
      </w:r>
    </w:p>
    <w:p>
      <w:pPr>
        <w:pStyle w:val="Caption"/>
        <w:keepNext/>
      </w:pPr>
      <w:r>
        <w:rPr>
          <w:rFonts w:eastAsia="宋体"/>
        </w:rPr>
        <w:t>表14 六组终态结果（主表）</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794"/>
        <w:gridCol w:w="1587"/>
        <w:gridCol w:w="1247"/>
        <w:gridCol w:w="1247"/>
        <w:gridCol w:w="1191"/>
        <w:gridCol w:w="1020"/>
        <w:gridCol w:w="794"/>
        <w:gridCol w:w="737"/>
        <w:gridCol w:w="907"/>
      </w:tblGrid>
      <w:tr>
        <w:trPr>
          <w:cantSplit/>
          <w:tblHeader/>
        </w:trPr>
        <w:tc>
          <w:tcPr>
            <w:tcW w:type="dxa" w:w="7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158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移动权限</w:t>
            </w:r>
          </w:p>
        </w:tc>
        <w:tc>
          <w:tcPr>
            <w:tcW w:type="dxa" w:w="124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追加预算上限（次）</w:t>
            </w:r>
          </w:p>
        </w:tc>
        <w:tc>
          <w:tcPr>
            <w:tcW w:type="dxa" w:w="124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实际追加评价（次）</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终态近距对数</w:t>
            </w:r>
          </w:p>
        </w:tc>
        <w:tc>
          <w:tcPr>
            <w:tcW w:type="dxa" w:w="1020"/>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执行动作数</w:t>
            </w:r>
          </w:p>
        </w:tc>
        <w:tc>
          <w:tcPr>
            <w:tcW w:type="dxa" w:w="7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首次抬升</w:t>
            </w:r>
          </w:p>
        </w:tc>
        <w:tc>
          <w:tcPr>
            <w:tcW w:type="dxa" w:w="73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重定位</w:t>
            </w:r>
          </w:p>
        </w:tc>
        <w:tc>
          <w:tcPr>
            <w:tcW w:type="dxa" w:w="90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终态未决对数</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N（不重定位）</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40,072</w:t>
            </w:r>
          </w:p>
        </w:tc>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c>
          <w:tcPr>
            <w:tcW w:type="dxa" w:w="73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R（允许重定位）</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40,072</w:t>
            </w:r>
          </w:p>
        </w:tc>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c>
          <w:tcPr>
            <w:tcW w:type="dxa" w:w="73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N（不重定位）</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36,995</w:t>
            </w:r>
          </w:p>
        </w:tc>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c>
          <w:tcPr>
            <w:tcW w:type="dxa" w:w="73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R（允许重定位）</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36,995</w:t>
            </w:r>
          </w:p>
        </w:tc>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c>
          <w:tcPr>
            <w:tcW w:type="dxa" w:w="73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N（不重定位）</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2,880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2,880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30,999</w:t>
            </w:r>
          </w:p>
        </w:tc>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53</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53</w:t>
            </w:r>
          </w:p>
        </w:tc>
        <w:tc>
          <w:tcPr>
            <w:tcW w:type="dxa" w:w="73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w:t>
            </w:r>
          </w:p>
        </w:tc>
      </w:tr>
      <w:tr>
        <w:trPr>
          <w:cantSplit/>
        </w:trPr>
        <w:tc>
          <w:tcPr>
            <w:tcW w:type="dxa" w:w="7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58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R（允许重定位）</w:t>
            </w:r>
          </w:p>
        </w:tc>
        <w:tc>
          <w:tcPr>
            <w:tcW w:type="dxa" w:w="124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24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30,999</w:t>
            </w:r>
          </w:p>
        </w:tc>
        <w:tc>
          <w:tcPr>
            <w:tcW w:type="dxa" w:w="1020"/>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53</w:t>
            </w:r>
          </w:p>
        </w:tc>
        <w:tc>
          <w:tcPr>
            <w:tcW w:type="dxa" w:w="7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53</w:t>
            </w:r>
          </w:p>
        </w:tc>
        <w:tc>
          <w:tcPr>
            <w:tcW w:type="dxa" w:w="73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90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w:t>
            </w:r>
          </w:p>
        </w:tc>
      </w:tr>
    </w:tbl>
    <w:p>
      <w:pPr>
        <w:keepNext/>
        <w:spacing w:line="360" w:lineRule="auto" w:before="40" w:after="80"/>
      </w:pPr>
      <w:r>
        <w:rPr>
          <w:rFonts w:eastAsia="宋体"/>
          <w:sz w:val="18"/>
        </w:rPr>
        <w:t>注：“实际追加评价”是真实发生的候选基本评价次数，组与组之间可能不同：本表中 720 次预算下 N/R 实际评价分别为 720 与 720 次、1440 次预算下 N/R 实际评价分别为 1,440 与 1,440 次、2880 次预算下 N/R 实际评价分别为 2,880 与 2,880 次。因此不能把这些组称作“相同实际工作量”。未决对数与近距对数分开记录，未决不计入近距对数。</w:t>
      </w:r>
    </w:p>
    <w:p>
      <w:pPr>
        <w:spacing w:line="360" w:lineRule="auto" w:before="40" w:after="80"/>
      </w:pPr>
      <w:r>
        <w:rPr>
          <w:rFonts w:eastAsia="宋体"/>
          <w:sz w:val="18"/>
        </w:rPr>
        <w:t>数据来源：512_full_layout/&lt;组&gt;/summary.json、ledger.json。</w:t>
      </w:r>
    </w:p>
    <w:p>
      <w:pPr>
        <w:pStyle w:val="Heading2"/>
      </w:pPr>
      <w:r>
        <w:rPr>
          <w:rFonts w:eastAsia="宋体"/>
        </w:rPr>
        <w:t>4.3 同预算上限下的 N/R 对照</w:t>
      </w:r>
    </w:p>
    <w:p>
      <w:pPr>
        <w:pStyle w:val="Caption"/>
        <w:keepNext/>
      </w:pPr>
      <w:r>
        <w:rPr>
          <w:rFonts w:eastAsia="宋体"/>
        </w:rPr>
        <w:t>表15 同预算上限下 N 与 R 的终态对照</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531"/>
        <w:gridCol w:w="1531"/>
        <w:gridCol w:w="1531"/>
        <w:gridCol w:w="1531"/>
        <w:gridCol w:w="1531"/>
        <w:gridCol w:w="1757"/>
      </w:tblGrid>
      <w:tr>
        <w:trPr>
          <w:cantSplit/>
          <w:tblHeader/>
        </w:trPr>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追加预算上限（次）</w:t>
            </w:r>
          </w:p>
        </w:tc>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 终态近距对数</w:t>
            </w:r>
          </w:p>
        </w:tc>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 终态近距对数</w:t>
            </w:r>
          </w:p>
        </w:tc>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 实际评价（次）</w:t>
            </w:r>
          </w:p>
        </w:tc>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 实际评价（次）</w:t>
            </w:r>
          </w:p>
        </w:tc>
        <w:tc>
          <w:tcPr>
            <w:tcW w:type="dxa" w:w="175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实际评价次数是否相同</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40,072</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40,072</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相同</w:t>
            </w:r>
          </w:p>
        </w:tc>
      </w:tr>
      <w:tr>
        <w:trPr>
          <w:cantSplit/>
        </w:trPr>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36,995</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36,995</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相同</w:t>
            </w:r>
          </w:p>
        </w:tc>
      </w:tr>
      <w:tr>
        <w:trPr>
          <w:cantSplit/>
        </w:trPr>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30,999</w:t>
            </w:r>
          </w:p>
        </w:tc>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30,999</w:t>
            </w:r>
          </w:p>
        </w:tc>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75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相同</w:t>
            </w:r>
          </w:p>
        </w:tc>
      </w:tr>
    </w:tbl>
    <w:p>
      <w:pPr>
        <w:keepNext/>
        <w:spacing w:line="360" w:lineRule="auto" w:before="40" w:after="80"/>
      </w:pPr>
      <w:r>
        <w:rPr>
          <w:rFonts w:eastAsia="宋体"/>
          <w:sz w:val="18"/>
        </w:rPr>
        <w:t>注：加粗只在同一预算上限的 N/R 两者之间表示更优，不跨预算比较。不同预算上限只表示趋势。若两列数值相同，说明在该预算内 R 组没有执行任何重定位动作，属于真实结果，不是缺失或未运行。</w:t>
      </w:r>
    </w:p>
    <w:p>
      <w:pPr>
        <w:spacing w:line="360" w:lineRule="auto" w:before="40" w:after="80"/>
      </w:pPr>
      <w:r>
        <w:rPr>
          <w:rFonts w:eastAsia="宋体"/>
          <w:sz w:val="18"/>
        </w:rPr>
        <w:t>数据来源：512_full_layout/summary_all_v4.json 的 paired_n_vs_r 与 &lt;组&gt;/ledger.json。</w:t>
      </w:r>
    </w:p>
    <w:p>
      <w:pPr>
        <w:pStyle w:val="Caption"/>
        <w:keepNext/>
      </w:pPr>
      <w:r>
        <w:rPr>
          <w:rFonts w:eastAsia="宋体"/>
        </w:rPr>
        <w:t>表16 为什么 R 组没有触发重定位：重定位目标在共用优先序中的位置</w:t>
      </w:r>
    </w:p>
    <w:tbl>
      <w:tblPr>
        <w:tblW w:type="dxa" w:w="935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020"/>
        <w:gridCol w:w="1474"/>
        <w:gridCol w:w="1304"/>
        <w:gridCol w:w="1701"/>
        <w:gridCol w:w="1928"/>
        <w:gridCol w:w="1928"/>
      </w:tblGrid>
      <w:tr>
        <w:trPr>
          <w:cantSplit/>
          <w:tblHeader/>
        </w:trPr>
        <w:tc>
          <w:tcPr>
            <w:tcW w:type="dxa" w:w="1020"/>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终态</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剩余近距对数</w:t>
            </w:r>
          </w:p>
        </w:tc>
        <w:tc>
          <w:tcPr>
            <w:tcW w:type="dxa" w:w="1304"/>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已抬升路线数</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涉及已抬升路线的对</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这类对中最好名次（第几名）</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本组实际/允许的目标尝试数</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共同起点</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42,909</w:t>
            </w:r>
          </w:p>
        </w:tc>
        <w:tc>
          <w:tcPr>
            <w:tcW w:type="dxa" w:w="130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24</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393</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34,254</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200</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N720</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40,072</w:t>
            </w:r>
          </w:p>
        </w:tc>
        <w:tc>
          <w:tcPr>
            <w:tcW w:type="dxa" w:w="130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35</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527</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31,181</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13</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R720</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40,072</w:t>
            </w:r>
          </w:p>
        </w:tc>
        <w:tc>
          <w:tcPr>
            <w:tcW w:type="dxa" w:w="130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35</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527</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31,181</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13</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N1440</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36,995</w:t>
            </w:r>
          </w:p>
        </w:tc>
        <w:tc>
          <w:tcPr>
            <w:tcW w:type="dxa" w:w="130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48</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656</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27,378</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26</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R1440</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36,995</w:t>
            </w:r>
          </w:p>
        </w:tc>
        <w:tc>
          <w:tcPr>
            <w:tcW w:type="dxa" w:w="130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48</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656</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27,378</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26</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N2880</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30,999</w:t>
            </w:r>
          </w:p>
        </w:tc>
        <w:tc>
          <w:tcPr>
            <w:tcW w:type="dxa" w:w="130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77</w:t>
            </w:r>
          </w:p>
        </w:tc>
        <w:tc>
          <w:tcPr>
            <w:tcW w:type="dxa" w:w="1701"/>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1,165</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21,795</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66</w:t>
            </w:r>
          </w:p>
        </w:tc>
      </w:tr>
      <w:tr>
        <w:trPr>
          <w:cantSplit/>
        </w:trPr>
        <w:tc>
          <w:tcPr>
            <w:tcW w:type="dxa" w:w="1020"/>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30,999</w:t>
            </w:r>
          </w:p>
        </w:tc>
        <w:tc>
          <w:tcPr>
            <w:tcW w:type="dxa" w:w="130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77</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1,165</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21,795</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66</w:t>
            </w:r>
          </w:p>
        </w:tc>
      </w:tr>
    </w:tbl>
    <w:p>
      <w:pPr>
        <w:keepNext/>
        <w:spacing w:line="360" w:lineRule="auto" w:before="40" w:after="80"/>
      </w:pPr>
      <w:r>
        <w:rPr>
          <w:rFonts w:eastAsia="宋体"/>
          <w:sz w:val="18"/>
        </w:rPr>
        <w:t>注：名次＝按两组共用的确定性目标优先序（冲突优先：度数和的负值、最大度数的负值、对本身）从 1 开始排序的位置；第 1 名就是选择规则下一步会尝试的那一对。六组最多只尝试 200 个目标，而这些重定位可动的对在共用优先序中排到第 2.7 万～3.4 万名，因此任何预算内都不可能被选中：R 组不是被验收否决，而是根本没有机会生成重定位候选。</w:t>
      </w:r>
    </w:p>
    <w:p>
      <w:pPr>
        <w:spacing w:line="360" w:lineRule="auto" w:before="40" w:after="80"/>
      </w:pPr>
      <w:r>
        <w:rPr>
          <w:rFonts w:eastAsia="宋体"/>
          <w:sz w:val="18"/>
        </w:rPr>
        <w:t>数据来源：512_full_layout/relocation_reachability.json；scripts/analyze_3d_v4_relocation_reachability.py。</w:t>
      </w:r>
    </w:p>
    <w:p>
      <w:pPr>
        <w:pStyle w:val="Heading2"/>
      </w:pPr>
      <w:r>
        <w:rPr>
          <w:rFonts w:eastAsia="宋体"/>
        </w:rPr>
        <w:t>4.4 边际收益</w:t>
      </w:r>
    </w:p>
    <w:p>
      <w:pPr>
        <w:pStyle w:val="Caption"/>
        <w:keepNext/>
      </w:pPr>
      <w:r>
        <w:rPr>
          <w:rFonts w:eastAsia="宋体"/>
        </w:rPr>
        <w:t>表17 追加预算区间的边际收益</w:t>
      </w:r>
    </w:p>
    <w:tbl>
      <w:tblPr>
        <w:tblW w:type="dxa" w:w="952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020"/>
        <w:gridCol w:w="2268"/>
        <w:gridCol w:w="2268"/>
        <w:gridCol w:w="2381"/>
        <w:gridCol w:w="1587"/>
      </w:tblGrid>
      <w:tr>
        <w:trPr>
          <w:cantSplit/>
          <w:tblHeader/>
        </w:trPr>
        <w:tc>
          <w:tcPr>
            <w:tcW w:type="dxa" w:w="1020"/>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226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本区间实际追加评价（次）</w:t>
            </w:r>
          </w:p>
        </w:tc>
        <w:tc>
          <w:tcPr>
            <w:tcW w:type="dxa" w:w="226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本区间近距对减少（对）</w:t>
            </w:r>
          </w:p>
        </w:tc>
        <w:tc>
          <w:tcPr>
            <w:tcW w:type="dxa" w:w="238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每 720 次评价减少的对数</w:t>
            </w:r>
          </w:p>
        </w:tc>
        <w:tc>
          <w:tcPr>
            <w:tcW w:type="dxa" w:w="158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区间末近距对数</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2837.00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40,072</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2837.00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40,072</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3,077</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3077.00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36,995</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3,077</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3077.00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36,995</w:t>
            </w:r>
          </w:p>
        </w:tc>
      </w:tr>
      <w:tr>
        <w:trPr>
          <w:cantSplit/>
        </w:trPr>
        <w:tc>
          <w:tcPr>
            <w:tcW w:type="dxa" w:w="1020"/>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226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5,996</w:t>
            </w:r>
          </w:p>
        </w:tc>
        <w:tc>
          <w:tcPr>
            <w:tcW w:type="dxa" w:w="238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2998.00</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30,999</w:t>
            </w:r>
          </w:p>
        </w:tc>
      </w:tr>
      <w:tr>
        <w:trPr>
          <w:cantSplit/>
        </w:trPr>
        <w:tc>
          <w:tcPr>
            <w:tcW w:type="dxa" w:w="1020"/>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226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1,440</w:t>
            </w:r>
          </w:p>
        </w:tc>
        <w:tc>
          <w:tcPr>
            <w:tcW w:type="dxa" w:w="226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5,996</w:t>
            </w:r>
          </w:p>
        </w:tc>
        <w:tc>
          <w:tcPr>
            <w:tcW w:type="dxa" w:w="238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2998.00</w:t>
            </w:r>
          </w:p>
        </w:tc>
        <w:tc>
          <w:tcPr>
            <w:tcW w:type="dxa" w:w="158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30,999</w:t>
            </w:r>
          </w:p>
        </w:tc>
      </w:tr>
    </w:tbl>
    <w:p>
      <w:pPr>
        <w:keepNext/>
        <w:spacing w:line="360" w:lineRule="auto" w:before="40" w:after="80"/>
      </w:pPr>
      <w:r>
        <w:rPr>
          <w:rFonts w:eastAsia="宋体"/>
          <w:sz w:val="18"/>
        </w:rPr>
        <w:t>注：区间定义为相邻预算上限之间的实际发生部分；实际评价次数小于上限时按实际值计算，因此不同组的区间宽度可能不同，不能把这些区间当作等宽重复实验。若某区间减少量为 0，说明该区间内没有执行任何被接受的修改。</w:t>
      </w:r>
    </w:p>
    <w:p>
      <w:pPr>
        <w:spacing w:line="360" w:lineRule="auto" w:before="40" w:after="80"/>
      </w:pPr>
      <w:r>
        <w:rPr>
          <w:rFonts w:eastAsia="宋体"/>
          <w:sz w:val="18"/>
        </w:rPr>
        <w:t>数据来源：512_full_layout/&lt;组&gt;/summary.json、curve.json 与 start_state_check.json。</w:t>
      </w:r>
    </w:p>
    <w:p>
      <w:r>
        <w:rPr>
          <w:rFonts w:eastAsia="宋体"/>
        </w:rPr>
        <w:t>边际收益实测：按 720 次评价折算，N 组三个区间的减少速率分别为 2837.00、3077.00、2998.00 对/720 次评价；R 组与 N 组逐位相同。本轮的速率没有下降，即在 2,880 次追加评价的范围内没有观察到边际收益随预算增加而衰减；近距对持续下降，但下降速率基本持平。这与“预算越大越难找到可动目标”的预期不同，原因是多数的目标尝试都能找到可完整通过的候选，真正限制总量的是每个目标只能执行一个动作，而六组共 176 个动作消耗了 10,080 次评价，平均每个动作约 57.3 次。</w:t>
      </w:r>
    </w:p>
    <w:p>
      <w:pPr>
        <w:keepNext/>
        <w:spacing w:after="80"/>
        <w:jc w:val="center"/>
      </w:pPr>
      <w:r>
        <w:rPr>
          <w:rFonts w:eastAsia="宋体"/>
        </w:rPr>
        <w:drawing>
          <wp:inline xmlns:a="http://schemas.openxmlformats.org/drawingml/2006/main" xmlns:pic="http://schemas.openxmlformats.org/drawingml/2006/picture">
            <wp:extent cx="5903999" cy="2145291"/>
            <wp:docPr id="2" name="Picture 2" descr="六组近距对数随从共同终态起追加的候选基本评价次数的变化（六组各自独立从同一 42,909 对起点开始；下方柱图为相对起点的减少量与实际评价次数）"/>
            <wp:cNvGraphicFramePr>
              <a:graphicFrameLocks noChangeAspect="1"/>
            </wp:cNvGraphicFramePr>
            <a:graphic>
              <a:graphicData uri="http://schemas.openxmlformats.org/drawingml/2006/picture">
                <pic:pic>
                  <pic:nvPicPr>
                    <pic:cNvPr id="0" name="f1_pairs_vs_appended_evaluations.png"/>
                    <pic:cNvPicPr/>
                  </pic:nvPicPr>
                  <pic:blipFill>
                    <a:blip r:embed="rId12"/>
                    <a:stretch>
                      <a:fillRect/>
                    </a:stretch>
                  </pic:blipFill>
                  <pic:spPr>
                    <a:xfrm>
                      <a:off x="0" y="0"/>
                      <a:ext cx="5903999" cy="2145291"/>
                    </a:xfrm>
                    <a:prstGeom prst="rect"/>
                  </pic:spPr>
                </pic:pic>
              </a:graphicData>
            </a:graphic>
          </wp:inline>
        </w:drawing>
      </w:r>
    </w:p>
    <w:p>
      <w:pPr>
        <w:pStyle w:val="Caption"/>
        <w:keepNext w:val="0"/>
        <w:jc w:val="center"/>
      </w:pPr>
      <w:r>
        <w:rPr>
          <w:rFonts w:eastAsia="宋体"/>
        </w:rPr>
        <w:t>图2 六组近距对数随从共同终态起追加的候选基本评价次数的变化（六组各自独立从同一 42,909 对起点开始；下方柱图为相对起点的减少量与实际评价次数）</w:t>
      </w:r>
    </w:p>
    <w:p>
      <w:pPr>
        <w:keepNext/>
        <w:spacing w:after="80"/>
        <w:jc w:val="center"/>
      </w:pPr>
      <w:r>
        <w:rPr>
          <w:rFonts w:eastAsia="宋体"/>
        </w:rPr>
        <w:drawing>
          <wp:inline xmlns:a="http://schemas.openxmlformats.org/drawingml/2006/main" xmlns:pic="http://schemas.openxmlformats.org/drawingml/2006/picture">
            <wp:extent cx="5976000" cy="2672859"/>
            <wp:docPr id="3" name="Picture 3" descr="同一预算上限下 N 组与 R 组的终态对照（只在同预算内比较；图中同时标注三档预算下两组各自的实际评价次数）"/>
            <wp:cNvGraphicFramePr>
              <a:graphicFrameLocks noChangeAspect="1"/>
            </wp:cNvGraphicFramePr>
            <a:graphic>
              <a:graphicData uri="http://schemas.openxmlformats.org/drawingml/2006/picture">
                <pic:pic>
                  <pic:nvPicPr>
                    <pic:cNvPr id="0" name="f2_same_budget_N_vs_R.png"/>
                    <pic:cNvPicPr/>
                  </pic:nvPicPr>
                  <pic:blipFill>
                    <a:blip r:embed="rId13"/>
                    <a:stretch>
                      <a:fillRect/>
                    </a:stretch>
                  </pic:blipFill>
                  <pic:spPr>
                    <a:xfrm>
                      <a:off x="0" y="0"/>
                      <a:ext cx="5976000" cy="2672859"/>
                    </a:xfrm>
                    <a:prstGeom prst="rect"/>
                  </pic:spPr>
                </pic:pic>
              </a:graphicData>
            </a:graphic>
          </wp:inline>
        </w:drawing>
      </w:r>
    </w:p>
    <w:p>
      <w:pPr>
        <w:pStyle w:val="Caption"/>
        <w:keepNext w:val="0"/>
        <w:jc w:val="center"/>
      </w:pPr>
      <w:r>
        <w:rPr>
          <w:rFonts w:eastAsia="宋体"/>
        </w:rPr>
        <w:t>图3 同一预算上限下 N 组与 R 组的终态对照（只在同预算内比较；图中同时标注三档预算下两组各自的实际评价次数）</w:t>
      </w:r>
    </w:p>
    <w:p>
      <w:pPr>
        <w:pStyle w:val="Heading2"/>
      </w:pPr>
      <w:r>
        <w:rPr>
          <w:rFonts w:eastAsia="宋体"/>
        </w:rPr>
        <w:t>4.5 候选评价消耗在什么失败类型上</w:t>
      </w:r>
    </w:p>
    <w:p>
      <w:pPr>
        <w:pStyle w:val="Caption"/>
        <w:keepNext/>
      </w:pPr>
      <w:r>
        <w:rPr>
          <w:rFonts w:eastAsia="宋体"/>
        </w:rPr>
        <w:t>表18 六组的失败类型与出现次数</w:t>
      </w:r>
    </w:p>
    <w:tbl>
      <w:tblPr>
        <w:tblW w:type="dxa" w:w="935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134"/>
        <w:gridCol w:w="2494"/>
        <w:gridCol w:w="907"/>
        <w:gridCol w:w="964"/>
        <w:gridCol w:w="964"/>
        <w:gridCol w:w="964"/>
        <w:gridCol w:w="964"/>
        <w:gridCol w:w="964"/>
      </w:tblGrid>
      <w:tr>
        <w:trPr>
          <w:cantSplit/>
          <w:tblHeader/>
        </w:trPr>
        <w:tc>
          <w:tcPr>
            <w:tcW w:type="dxa" w:w="113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阶段</w:t>
            </w:r>
          </w:p>
        </w:tc>
        <w:tc>
          <w:tcPr>
            <w:tcW w:type="dxa" w:w="24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原因</w:t>
            </w:r>
          </w:p>
        </w:tc>
        <w:tc>
          <w:tcPr>
            <w:tcW w:type="dxa" w:w="90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N720</w:t>
            </w:r>
          </w:p>
        </w:tc>
        <w:tc>
          <w:tcPr>
            <w:tcW w:type="dxa" w:w="96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R720</w:t>
            </w:r>
          </w:p>
        </w:tc>
        <w:tc>
          <w:tcPr>
            <w:tcW w:type="dxa" w:w="96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N1440</w:t>
            </w:r>
          </w:p>
        </w:tc>
        <w:tc>
          <w:tcPr>
            <w:tcW w:type="dxa" w:w="96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R1440</w:t>
            </w:r>
          </w:p>
        </w:tc>
        <w:tc>
          <w:tcPr>
            <w:tcW w:type="dxa" w:w="96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N2880</w:t>
            </w:r>
          </w:p>
        </w:tc>
        <w:tc>
          <w:tcPr>
            <w:tcW w:type="dxa" w:w="96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R2880</w:t>
            </w:r>
          </w:p>
        </w:tc>
      </w:tr>
      <w:tr>
        <w:trPr>
          <w:cantSplit/>
        </w:trPr>
        <w:tc>
          <w:tcPr>
            <w:tcW w:type="dxa" w:w="113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生成端零候选</w:t>
            </w:r>
          </w:p>
        </w:tc>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{1: 'INSUFFICIENT_TRANSITION_SPACE', 2: 'INSUFFICIENT_TRANSITION_SPACE'}</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4</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36</w:t>
            </w:r>
          </w:p>
        </w:tc>
      </w:tr>
      <w:tr>
        <w:trPr>
          <w:cantSplit/>
        </w:trPr>
        <w:tc>
          <w:tcPr>
            <w:tcW w:type="dxa" w:w="113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基本验收拒绝</w:t>
            </w:r>
          </w:p>
        </w:tc>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（本轮无记录）</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r>
      <w:tr>
        <w:trPr>
          <w:cantSplit/>
        </w:trPr>
        <w:tc>
          <w:tcPr>
            <w:tcW w:type="dxa" w:w="113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完整邻线验收拒绝</w:t>
            </w:r>
          </w:p>
        </w:tc>
        <w:tc>
          <w:tcPr>
            <w:tcW w:type="dxa" w:w="24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NO_STRICT_GLOBAL_DECREASE</w:t>
            </w:r>
          </w:p>
        </w:tc>
        <w:tc>
          <w:tcPr>
            <w:tcW w:type="dxa" w:w="90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96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w:t>
            </w:r>
          </w:p>
        </w:tc>
        <w:tc>
          <w:tcPr>
            <w:tcW w:type="dxa" w:w="96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w:t>
            </w:r>
          </w:p>
        </w:tc>
      </w:tr>
    </w:tbl>
    <w:p>
      <w:pPr>
        <w:keepNext/>
        <w:spacing w:line="360" w:lineRule="auto" w:before="40" w:after="80"/>
      </w:pPr>
      <w:r>
        <w:rPr>
          <w:rFonts w:eastAsia="宋体"/>
          <w:sz w:val="18"/>
        </w:rPr>
        <w:t>注：同一候选可以有多个理由，次数不能相加成候选数；零候选记录在生成端，不消耗候选评价次数。“无记录”表示该阶段在本轮六组中没有出现过该原因的记录。</w:t>
      </w:r>
    </w:p>
    <w:p>
      <w:pPr>
        <w:spacing w:line="360" w:lineRule="auto" w:before="40" w:after="80"/>
      </w:pPr>
      <w:r>
        <w:rPr>
          <w:rFonts w:eastAsia="宋体"/>
          <w:sz w:val="18"/>
        </w:rPr>
        <w:t>数据来源：512_full_layout/&lt;组&gt;/summary.json 的失败原因计数字段。</w:t>
      </w:r>
    </w:p>
    <w:p>
      <w:pPr>
        <w:pStyle w:val="Caption"/>
        <w:keepNext/>
      </w:pPr>
      <w:r>
        <w:rPr>
          <w:rFonts w:eastAsia="宋体"/>
        </w:rPr>
        <w:t>表19 评价量、完整验收量与通过量</w:t>
      </w:r>
    </w:p>
    <w:tbl>
      <w:tblPr>
        <w:tblW w:type="dxa" w:w="907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907"/>
        <w:gridCol w:w="1474"/>
        <w:gridCol w:w="1701"/>
        <w:gridCol w:w="1701"/>
        <w:gridCol w:w="1928"/>
        <w:gridCol w:w="1361"/>
      </w:tblGrid>
      <w:tr>
        <w:trPr>
          <w:cantSplit/>
          <w:tblHeader/>
        </w:trPr>
        <w:tc>
          <w:tcPr>
            <w:tcW w:type="dxa" w:w="90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生成候选数</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候选基本评价数</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完整邻线验收数</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完整验收通过候选数</w:t>
            </w:r>
          </w:p>
        </w:tc>
        <w:tc>
          <w:tcPr>
            <w:tcW w:type="dxa" w:w="136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执行动作数</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738</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738</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720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1,449</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1,449</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1,440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2,916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2,880</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2,880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2,877</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53</w:t>
            </w:r>
          </w:p>
        </w:tc>
      </w:tr>
      <w:tr>
        <w:trPr>
          <w:cantSplit/>
        </w:trPr>
        <w:tc>
          <w:tcPr>
            <w:tcW w:type="dxa" w:w="90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2,916</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2,880</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2,877</w:t>
            </w:r>
          </w:p>
        </w:tc>
        <w:tc>
          <w:tcPr>
            <w:tcW w:type="dxa" w:w="136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53</w:t>
            </w:r>
          </w:p>
        </w:tc>
      </w:tr>
    </w:tbl>
    <w:p>
      <w:pPr>
        <w:keepNext/>
        <w:spacing w:line="360" w:lineRule="auto" w:before="40" w:after="80"/>
      </w:pPr>
      <w:r>
        <w:rPr>
          <w:rFonts w:eastAsia="宋体"/>
          <w:sz w:val="18"/>
        </w:rPr>
        <w:t>注：三个量严格区分：候选数≥基本评价数≥完整验收数；完整验收通过数是候选数，执行动作数是一步中真正落地的那个候选，二者不相等。本轮 v3 的固定诊断中“143 条通过基本评价、139 条通过完整验收、4 条完整拒绝、实际执行 17 次（新 D 8 次、新 E 9 次，其中重定位 1 次）”即采用同一口径，本报告沿用，不再复制更早稿件的错误写法。</w:t>
      </w:r>
    </w:p>
    <w:p>
      <w:pPr>
        <w:spacing w:line="360" w:lineRule="auto" w:before="40" w:after="80"/>
      </w:pPr>
      <w:r>
        <w:rPr>
          <w:rFonts w:eastAsia="宋体"/>
          <w:sz w:val="18"/>
        </w:rPr>
        <w:t>数据来源：512_full_layout/&lt;组&gt;/ledger.json；对照口径来自 outputs/3d_strategy_v3/512_relocation_slack_diagnostic/analysis.json 的 accepted_edit_counts。</w:t>
      </w:r>
    </w:p>
    <w:p>
      <w:pPr>
        <w:keepNext/>
        <w:spacing w:after="80"/>
        <w:jc w:val="center"/>
      </w:pPr>
      <w:r>
        <w:rPr>
          <w:rFonts w:eastAsia="宋体"/>
        </w:rPr>
        <w:drawing>
          <wp:inline xmlns:a="http://schemas.openxmlformats.org/drawingml/2006/main" xmlns:pic="http://schemas.openxmlformats.org/drawingml/2006/picture">
            <wp:extent cx="5976000" cy="2242066"/>
            <wp:docPr id="4" name="Picture 4" descr="六组的生成失败与验收失败原因（出现次数；同一候选可有多个理由，次数不可相加成候选数）"/>
            <wp:cNvGraphicFramePr>
              <a:graphicFrameLocks noChangeAspect="1"/>
            </wp:cNvGraphicFramePr>
            <a:graphic>
              <a:graphicData uri="http://schemas.openxmlformats.org/drawingml/2006/picture">
                <pic:pic>
                  <pic:nvPicPr>
                    <pic:cNvPr id="0" name="f6_failure_reasons.png"/>
                    <pic:cNvPicPr/>
                  </pic:nvPicPr>
                  <pic:blipFill>
                    <a:blip r:embed="rId14"/>
                    <a:stretch>
                      <a:fillRect/>
                    </a:stretch>
                  </pic:blipFill>
                  <pic:spPr>
                    <a:xfrm>
                      <a:off x="0" y="0"/>
                      <a:ext cx="5976000" cy="2242066"/>
                    </a:xfrm>
                    <a:prstGeom prst="rect"/>
                  </pic:spPr>
                </pic:pic>
              </a:graphicData>
            </a:graphic>
          </wp:inline>
        </w:drawing>
      </w:r>
    </w:p>
    <w:p>
      <w:pPr>
        <w:pStyle w:val="Caption"/>
        <w:keepNext w:val="0"/>
        <w:jc w:val="center"/>
      </w:pPr>
      <w:r>
        <w:rPr>
          <w:rFonts w:eastAsia="宋体"/>
        </w:rPr>
        <w:t>图4 六组的生成失败与验收失败原因（出现次数；同一候选可有多个理由，次数不可相加成候选数）</w:t>
      </w:r>
    </w:p>
    <w:p>
      <w:pPr>
        <w:pStyle w:val="Heading2"/>
      </w:pPr>
      <w:r>
        <w:rPr>
          <w:rFonts w:eastAsia="宋体"/>
        </w:rPr>
        <w:t>4.6 首次抬升与重定位的收益与代价</w:t>
      </w:r>
    </w:p>
    <w:p>
      <w:pPr>
        <w:pStyle w:val="Caption"/>
        <w:keepNext/>
      </w:pPr>
      <w:r>
        <w:rPr>
          <w:rFonts w:eastAsia="宋体"/>
        </w:rPr>
        <w:t>表20 首次抬升与重定位的动作数、净收益与长度代价</w:t>
      </w:r>
    </w:p>
    <w:tbl>
      <w:tblPr>
        <w:tblW w:type="dxa" w:w="9638"/>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794"/>
        <w:gridCol w:w="1077"/>
        <w:gridCol w:w="1361"/>
        <w:gridCol w:w="1474"/>
        <w:gridCol w:w="907"/>
        <w:gridCol w:w="1247"/>
        <w:gridCol w:w="1417"/>
        <w:gridCol w:w="1361"/>
      </w:tblGrid>
      <w:tr>
        <w:trPr>
          <w:cantSplit/>
          <w:tblHeader/>
        </w:trPr>
        <w:tc>
          <w:tcPr>
            <w:tcW w:type="dxa" w:w="7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107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首次抬升次数</w:t>
            </w:r>
          </w:p>
        </w:tc>
        <w:tc>
          <w:tcPr>
            <w:tcW w:type="dxa" w:w="136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首次抬升净减少（对）</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首次抬升单步长度合计（mm）</w:t>
            </w:r>
          </w:p>
        </w:tc>
        <w:tc>
          <w:tcPr>
            <w:tcW w:type="dxa" w:w="90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重定位次数</w:t>
            </w:r>
          </w:p>
        </w:tc>
        <w:tc>
          <w:tcPr>
            <w:tcW w:type="dxa" w:w="124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重定位净减少（对）</w:t>
            </w:r>
          </w:p>
        </w:tc>
        <w:tc>
          <w:tcPr>
            <w:tcW w:type="dxa" w:w="141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重定位单步长度合计（mm）</w:t>
            </w:r>
          </w:p>
        </w:tc>
        <w:tc>
          <w:tcPr>
            <w:tcW w:type="dxa" w:w="136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所有单步中最小的长度变化（mm）</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107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6.1566</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1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0.0000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0.2439</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107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6.1566</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1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0.0000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0.2439</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107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5,914</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13.2353</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1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0.0000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0.2439</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107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24</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5,914</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13.2353</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1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0.0000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0.2439</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107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53</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11,910</w:t>
            </w:r>
          </w:p>
        </w:tc>
        <w:tc>
          <w:tcPr>
            <w:tcW w:type="dxa" w:w="147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23.7820</w:t>
            </w:r>
          </w:p>
        </w:tc>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w:t>
            </w:r>
          </w:p>
        </w:tc>
        <w:tc>
          <w:tcPr>
            <w:tcW w:type="dxa" w:w="141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0.0000</w:t>
            </w:r>
          </w:p>
        </w:tc>
        <w:tc>
          <w:tcPr>
            <w:tcW w:type="dxa" w:w="136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0.2439</w:t>
            </w:r>
          </w:p>
        </w:tc>
      </w:tr>
      <w:tr>
        <w:trPr>
          <w:cantSplit/>
        </w:trPr>
        <w:tc>
          <w:tcPr>
            <w:tcW w:type="dxa" w:w="7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07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53</w:t>
            </w:r>
          </w:p>
        </w:tc>
        <w:tc>
          <w:tcPr>
            <w:tcW w:type="dxa" w:w="136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11,910</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23.7820</w:t>
            </w:r>
          </w:p>
        </w:tc>
        <w:tc>
          <w:tcPr>
            <w:tcW w:type="dxa" w:w="90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124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w:t>
            </w:r>
          </w:p>
        </w:tc>
        <w:tc>
          <w:tcPr>
            <w:tcW w:type="dxa" w:w="141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0.0000</w:t>
            </w:r>
          </w:p>
        </w:tc>
        <w:tc>
          <w:tcPr>
            <w:tcW w:type="dxa" w:w="136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0.2439</w:t>
            </w:r>
          </w:p>
        </w:tc>
      </w:tr>
    </w:tbl>
    <w:p>
      <w:pPr>
        <w:keepNext/>
        <w:spacing w:line="360" w:lineRule="auto" w:before="40" w:after="80"/>
      </w:pPr>
      <w:r>
        <w:rPr>
          <w:rFonts w:eastAsia="宋体"/>
          <w:sz w:val="18"/>
        </w:rPr>
        <w:t>注：“单步长度合计”是各次动作的单步变化之和，允许为负；最小单步变化用来显示重定位是否真的缩短过路线。某组重定位次数为 0 时，其重定位净减少与长度合计恒为 0，这是真实结果而不是缺失。</w:t>
      </w:r>
    </w:p>
    <w:p>
      <w:pPr>
        <w:spacing w:line="360" w:lineRule="auto" w:before="40" w:after="80"/>
      </w:pPr>
      <w:r>
        <w:rPr>
          <w:rFonts w:eastAsia="宋体"/>
          <w:sz w:val="18"/>
        </w:rPr>
        <w:t>数据来源：512_full_layout/&lt;组&gt;/ledger.json。</w:t>
      </w:r>
    </w:p>
    <w:p>
      <w:pPr>
        <w:keepNext/>
        <w:spacing w:after="80"/>
        <w:jc w:val="center"/>
      </w:pPr>
      <w:r>
        <w:rPr>
          <w:rFonts w:eastAsia="宋体"/>
        </w:rPr>
        <w:drawing>
          <wp:inline xmlns:a="http://schemas.openxmlformats.org/drawingml/2006/main" xmlns:pic="http://schemas.openxmlformats.org/drawingml/2006/picture">
            <wp:extent cx="5976000" cy="2412743"/>
            <wp:docPr id="5" name="Picture 5" descr="六组的动作构成与收益拆分：动作数、首次抬升与重定位各自的净收益，以及移除收益与新增抵消"/>
            <wp:cNvGraphicFramePr>
              <a:graphicFrameLocks noChangeAspect="1"/>
            </wp:cNvGraphicFramePr>
            <a:graphic>
              <a:graphicData uri="http://schemas.openxmlformats.org/drawingml/2006/picture">
                <pic:pic>
                  <pic:nvPicPr>
                    <pic:cNvPr id="0" name="f3_actions_and_gains.png"/>
                    <pic:cNvPicPr/>
                  </pic:nvPicPr>
                  <pic:blipFill>
                    <a:blip r:embed="rId15"/>
                    <a:stretch>
                      <a:fillRect/>
                    </a:stretch>
                  </pic:blipFill>
                  <pic:spPr>
                    <a:xfrm>
                      <a:off x="0" y="0"/>
                      <a:ext cx="5976000" cy="2412743"/>
                    </a:xfrm>
                    <a:prstGeom prst="rect"/>
                  </pic:spPr>
                </pic:pic>
              </a:graphicData>
            </a:graphic>
          </wp:inline>
        </w:drawing>
      </w:r>
    </w:p>
    <w:p>
      <w:pPr>
        <w:pStyle w:val="Caption"/>
        <w:keepNext w:val="0"/>
        <w:jc w:val="center"/>
      </w:pPr>
      <w:r>
        <w:rPr>
          <w:rFonts w:eastAsia="宋体"/>
        </w:rPr>
        <w:t>图5 六组的动作构成与收益拆分：动作数、首次抬升与重定位各自的净收益，以及移除收益与新增抵消</w:t>
      </w:r>
    </w:p>
    <w:p>
      <w:pPr>
        <w:pStyle w:val="Heading2"/>
      </w:pPr>
      <w:r>
        <w:rPr>
          <w:rFonts w:eastAsia="宋体"/>
        </w:rPr>
        <w:t>4.7 新增近距对的抵消与剩余状态分布</w:t>
      </w:r>
    </w:p>
    <w:p>
      <w:pPr>
        <w:pStyle w:val="Caption"/>
        <w:keepNext/>
      </w:pPr>
      <w:r>
        <w:rPr>
          <w:rFonts w:eastAsia="宋体"/>
        </w:rPr>
        <w:t>表21 新增近距对对移除收益的抵消</w:t>
      </w:r>
    </w:p>
    <w:tbl>
      <w:tblPr>
        <w:tblW w:type="dxa" w:w="7937"/>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907"/>
        <w:gridCol w:w="1928"/>
        <w:gridCol w:w="1701"/>
        <w:gridCol w:w="1587"/>
        <w:gridCol w:w="1814"/>
      </w:tblGrid>
      <w:tr>
        <w:trPr>
          <w:cantSplit/>
          <w:tblHeader/>
        </w:trPr>
        <w:tc>
          <w:tcPr>
            <w:tcW w:type="dxa" w:w="90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移除的旧近距对（对）</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新增近距对（对）</w:t>
            </w:r>
          </w:p>
        </w:tc>
        <w:tc>
          <w:tcPr>
            <w:tcW w:type="dxa" w:w="158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净减少（对）</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新增占移除比例（%）</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2,891</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54</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1.868</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2,891</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54</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2,837</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1.868</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6,106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192</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5,914</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3.144</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6,106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192</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5,914</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3.144</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12,574</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664</w:t>
            </w:r>
          </w:p>
        </w:tc>
        <w:tc>
          <w:tcPr>
            <w:tcW w:type="dxa" w:w="158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11,910</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5.281</w:t>
            </w:r>
          </w:p>
        </w:tc>
      </w:tr>
      <w:tr>
        <w:trPr>
          <w:cantSplit/>
        </w:trPr>
        <w:tc>
          <w:tcPr>
            <w:tcW w:type="dxa" w:w="90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12,574</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664</w:t>
            </w:r>
          </w:p>
        </w:tc>
        <w:tc>
          <w:tcPr>
            <w:tcW w:type="dxa" w:w="158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11,910</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5.281</w:t>
            </w:r>
          </w:p>
        </w:tc>
      </w:tr>
    </w:tbl>
    <w:p>
      <w:pPr>
        <w:keepNext/>
        <w:spacing w:line="360" w:lineRule="auto" w:before="40" w:after="80"/>
      </w:pPr>
      <w:r>
        <w:rPr>
          <w:rFonts w:eastAsia="宋体"/>
          <w:sz w:val="18"/>
        </w:rPr>
        <w:t>注：净减少＝移除−新增；比例是新增除以移除，仅在本表口径内比较。</w:t>
      </w:r>
    </w:p>
    <w:p>
      <w:pPr>
        <w:spacing w:line="360" w:lineRule="auto" w:before="40" w:after="80"/>
      </w:pPr>
      <w:r>
        <w:rPr>
          <w:rFonts w:eastAsia="宋体"/>
          <w:sz w:val="18"/>
        </w:rPr>
        <w:t>数据来源：512_full_layout/&lt;组&gt;/ledger.json。</w:t>
      </w:r>
    </w:p>
    <w:p>
      <w:pPr>
        <w:pStyle w:val="Caption"/>
        <w:keepNext/>
      </w:pPr>
      <w:r>
        <w:rPr>
          <w:rFonts w:eastAsia="宋体"/>
        </w:rPr>
        <w:t>表22 剩余近距对的三种路线状态分布</w:t>
      </w:r>
    </w:p>
    <w:tbl>
      <w:tblPr>
        <w:tblW w:type="dxa" w:w="884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247"/>
        <w:gridCol w:w="2154"/>
        <w:gridCol w:w="1928"/>
        <w:gridCol w:w="1928"/>
        <w:gridCol w:w="1587"/>
      </w:tblGrid>
      <w:tr>
        <w:trPr>
          <w:cantSplit/>
          <w:tblHeader/>
        </w:trPr>
        <w:tc>
          <w:tcPr>
            <w:tcW w:type="dxa" w:w="1247"/>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终态</w:t>
            </w:r>
          </w:p>
        </w:tc>
        <w:tc>
          <w:tcPr>
            <w:tcW w:type="dxa" w:w="2154"/>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双方均未抬升（对）</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单方已抬升（对）</w:t>
            </w:r>
          </w:p>
        </w:tc>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双方均已抬升（对）</w:t>
            </w:r>
          </w:p>
        </w:tc>
        <w:tc>
          <w:tcPr>
            <w:tcW w:type="dxa" w:w="1587"/>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合计（对）</w:t>
            </w:r>
          </w:p>
        </w:tc>
      </w:tr>
      <w:tr>
        <w:trPr>
          <w:cantSplit/>
        </w:trPr>
        <w:tc>
          <w:tcPr>
            <w:tcW w:type="dxa" w:w="124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共同起点</w:t>
            </w:r>
          </w:p>
        </w:tc>
        <w:tc>
          <w:tcPr>
            <w:tcW w:type="dxa" w:w="215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42,516</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291</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102</w:t>
            </w:r>
          </w:p>
        </w:tc>
        <w:tc>
          <w:tcPr>
            <w:tcW w:type="dxa" w:w="158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42,909</w:t>
            </w:r>
          </w:p>
        </w:tc>
      </w:tr>
      <w:tr>
        <w:trPr>
          <w:cantSplit/>
        </w:trPr>
        <w:tc>
          <w:tcPr>
            <w:tcW w:type="dxa" w:w="124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N720</w:t>
            </w:r>
          </w:p>
        </w:tc>
        <w:tc>
          <w:tcPr>
            <w:tcW w:type="dxa" w:w="215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39,545</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370</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157</w:t>
            </w:r>
          </w:p>
        </w:tc>
        <w:tc>
          <w:tcPr>
            <w:tcW w:type="dxa" w:w="158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40,072</w:t>
            </w:r>
          </w:p>
        </w:tc>
      </w:tr>
      <w:tr>
        <w:trPr>
          <w:cantSplit/>
        </w:trPr>
        <w:tc>
          <w:tcPr>
            <w:tcW w:type="dxa" w:w="124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R720</w:t>
            </w:r>
          </w:p>
        </w:tc>
        <w:tc>
          <w:tcPr>
            <w:tcW w:type="dxa" w:w="215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39,545</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370</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157</w:t>
            </w:r>
          </w:p>
        </w:tc>
        <w:tc>
          <w:tcPr>
            <w:tcW w:type="dxa" w:w="158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40,072</w:t>
            </w:r>
          </w:p>
        </w:tc>
      </w:tr>
      <w:tr>
        <w:trPr>
          <w:cantSplit/>
        </w:trPr>
        <w:tc>
          <w:tcPr>
            <w:tcW w:type="dxa" w:w="124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N1440</w:t>
            </w:r>
          </w:p>
        </w:tc>
        <w:tc>
          <w:tcPr>
            <w:tcW w:type="dxa" w:w="215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36,339</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358</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298</w:t>
            </w:r>
          </w:p>
        </w:tc>
        <w:tc>
          <w:tcPr>
            <w:tcW w:type="dxa" w:w="158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36,995</w:t>
            </w:r>
          </w:p>
        </w:tc>
      </w:tr>
      <w:tr>
        <w:trPr>
          <w:cantSplit/>
        </w:trPr>
        <w:tc>
          <w:tcPr>
            <w:tcW w:type="dxa" w:w="124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R1440</w:t>
            </w:r>
          </w:p>
        </w:tc>
        <w:tc>
          <w:tcPr>
            <w:tcW w:type="dxa" w:w="215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36,339</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358</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298</w:t>
            </w:r>
          </w:p>
        </w:tc>
        <w:tc>
          <w:tcPr>
            <w:tcW w:type="dxa" w:w="158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36,995</w:t>
            </w:r>
          </w:p>
        </w:tc>
      </w:tr>
      <w:tr>
        <w:trPr>
          <w:cantSplit/>
        </w:trPr>
        <w:tc>
          <w:tcPr>
            <w:tcW w:type="dxa" w:w="124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N2880</w:t>
            </w:r>
          </w:p>
        </w:tc>
        <w:tc>
          <w:tcPr>
            <w:tcW w:type="dxa" w:w="215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29,834</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393</w:t>
            </w:r>
          </w:p>
        </w:tc>
        <w:tc>
          <w:tcPr>
            <w:tcW w:type="dxa" w:w="1928"/>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772</w:t>
            </w:r>
          </w:p>
        </w:tc>
        <w:tc>
          <w:tcPr>
            <w:tcW w:type="dxa" w:w="1587"/>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30,999</w:t>
            </w:r>
          </w:p>
        </w:tc>
      </w:tr>
      <w:tr>
        <w:trPr>
          <w:cantSplit/>
        </w:trPr>
        <w:tc>
          <w:tcPr>
            <w:tcW w:type="dxa" w:w="124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215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29,834</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393</w:t>
            </w:r>
          </w:p>
        </w:tc>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772</w:t>
            </w:r>
          </w:p>
        </w:tc>
        <w:tc>
          <w:tcPr>
            <w:tcW w:type="dxa" w:w="158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30,999</w:t>
            </w:r>
          </w:p>
        </w:tc>
      </w:tr>
    </w:tbl>
    <w:p>
      <w:pPr>
        <w:keepNext/>
        <w:spacing w:line="360" w:lineRule="auto" w:before="40" w:after="80"/>
      </w:pPr>
      <w:r>
        <w:rPr>
          <w:rFonts w:eastAsia="宋体"/>
          <w:sz w:val="18"/>
        </w:rPr>
        <w:t>注：三类合计等于该终态近距对数；未决对不属于任何一类，单独记录。起点行的“合计”即 42,909 对。</w:t>
      </w:r>
    </w:p>
    <w:p>
      <w:pPr>
        <w:spacing w:line="360" w:lineRule="auto" w:before="40" w:after="80"/>
      </w:pPr>
      <w:r>
        <w:rPr>
          <w:rFonts w:eastAsia="宋体"/>
          <w:sz w:val="18"/>
        </w:rPr>
        <w:t>数据来源：512_full_layout/start_state_check.json 与 &lt;组&gt;/summary.json。</w:t>
      </w:r>
    </w:p>
    <w:p>
      <w:pPr>
        <w:keepNext/>
        <w:spacing w:after="80"/>
        <w:jc w:val="center"/>
      </w:pPr>
      <w:r>
        <w:rPr>
          <w:rFonts w:eastAsia="宋体"/>
        </w:rPr>
        <w:drawing>
          <wp:inline xmlns:a="http://schemas.openxmlformats.org/drawingml/2006/main" xmlns:pic="http://schemas.openxmlformats.org/drawingml/2006/picture">
            <wp:extent cx="5976000" cy="2553279"/>
            <wp:docPr id="6" name="Picture 6" descr="剩余近距对的路线状态分布及其相对起点的变化"/>
            <wp:cNvGraphicFramePr>
              <a:graphicFrameLocks noChangeAspect="1"/>
            </wp:cNvGraphicFramePr>
            <a:graphic>
              <a:graphicData uri="http://schemas.openxmlformats.org/drawingml/2006/picture">
                <pic:pic>
                  <pic:nvPicPr>
                    <pic:cNvPr id="0" name="f5_residual_state_distribution.png"/>
                    <pic:cNvPicPr/>
                  </pic:nvPicPr>
                  <pic:blipFill>
                    <a:blip r:embed="rId16"/>
                    <a:stretch>
                      <a:fillRect/>
                    </a:stretch>
                  </pic:blipFill>
                  <pic:spPr>
                    <a:xfrm>
                      <a:off x="0" y="0"/>
                      <a:ext cx="5976000" cy="2553279"/>
                    </a:xfrm>
                    <a:prstGeom prst="rect"/>
                  </pic:spPr>
                </pic:pic>
              </a:graphicData>
            </a:graphic>
          </wp:inline>
        </w:drawing>
      </w:r>
    </w:p>
    <w:p>
      <w:pPr>
        <w:pStyle w:val="Caption"/>
        <w:keepNext w:val="0"/>
        <w:jc w:val="center"/>
      </w:pPr>
      <w:r>
        <w:rPr>
          <w:rFonts w:eastAsia="宋体"/>
        </w:rPr>
        <w:t>图6 剩余近距对的路线状态分布及其相对起点的变化</w:t>
      </w:r>
    </w:p>
    <w:p>
      <w:pPr>
        <w:keepNext/>
        <w:spacing w:after="80"/>
        <w:jc w:val="center"/>
      </w:pPr>
      <w:r>
        <w:rPr>
          <w:rFonts w:eastAsia="宋体"/>
        </w:rPr>
        <w:drawing>
          <wp:inline xmlns:a="http://schemas.openxmlformats.org/drawingml/2006/main" xmlns:pic="http://schemas.openxmlformats.org/drawingml/2006/picture">
            <wp:extent cx="5976000" cy="2412743"/>
            <wp:docPr id="7" name="Picture 7" descr="额外长度（阶段变化与终态额外长度两种口径）、完整验收量与单次运行时间"/>
            <wp:cNvGraphicFramePr>
              <a:graphicFrameLocks noChangeAspect="1"/>
            </wp:cNvGraphicFramePr>
            <a:graphic>
              <a:graphicData uri="http://schemas.openxmlformats.org/drawingml/2006/picture">
                <pic:pic>
                  <pic:nvPicPr>
                    <pic:cNvPr id="0" name="f4_costs_and_checks.png"/>
                    <pic:cNvPicPr/>
                  </pic:nvPicPr>
                  <pic:blipFill>
                    <a:blip r:embed="rId17"/>
                    <a:stretch>
                      <a:fillRect/>
                    </a:stretch>
                  </pic:blipFill>
                  <pic:spPr>
                    <a:xfrm>
                      <a:off x="0" y="0"/>
                      <a:ext cx="5976000" cy="2412743"/>
                    </a:xfrm>
                    <a:prstGeom prst="rect"/>
                  </pic:spPr>
                </pic:pic>
              </a:graphicData>
            </a:graphic>
          </wp:inline>
        </w:drawing>
      </w:r>
    </w:p>
    <w:p>
      <w:pPr>
        <w:pStyle w:val="Caption"/>
        <w:keepNext w:val="0"/>
        <w:jc w:val="center"/>
      </w:pPr>
      <w:r>
        <w:rPr>
          <w:rFonts w:eastAsia="宋体"/>
        </w:rPr>
        <w:t>图7 额外长度（阶段变化与终态额外长度两种口径）、完整验收量与单次运行时间</w:t>
      </w:r>
    </w:p>
    <w:p>
      <w:r>
        <w:rPr>
          <w:rFonts w:eastAsia="宋体"/>
        </w:rPr>
        <w:t>单次运行时间只用于说明本轮实际耗时，六组并行运行且未做重复计时，因此不支持任何普遍效率结论，也不能据此判断某组更快。</w:t>
      </w:r>
    </w:p>
    <w:p>
      <w:pPr>
        <w:keepNext/>
        <w:spacing w:after="80"/>
        <w:jc w:val="center"/>
      </w:pPr>
      <w:r>
        <w:rPr>
          <w:rFonts w:eastAsia="宋体"/>
        </w:rPr>
        <w:drawing>
          <wp:inline xmlns:a="http://schemas.openxmlformats.org/drawingml/2006/main" xmlns:pic="http://schemas.openxmlformats.org/drawingml/2006/picture">
            <wp:extent cx="5903999" cy="3982803"/>
            <wp:docPr id="8" name="Picture 8" descr="N720 组中净减少最大的真实接受动作：路线 303（首次抬升），净减少 275 对；含 XY 投影、XZ 侧视、真实比例三维图与 z 轴放大 20 倍示意（真比例图按坐标显示跨度设置箱体比例，放大图的 z 刻度仍按真实 mm 标注）"/>
            <wp:cNvGraphicFramePr>
              <a:graphicFrameLocks noChangeAspect="1"/>
            </wp:cNvGraphicFramePr>
            <a:graphic>
              <a:graphicData uri="http://schemas.openxmlformats.org/drawingml/2006/picture">
                <pic:pic>
                  <pic:nvPicPr>
                    <pic:cNvPr id="0" name="f7_representative_accepted_move_N720_route303.png"/>
                    <pic:cNvPicPr/>
                  </pic:nvPicPr>
                  <pic:blipFill>
                    <a:blip r:embed="rId18"/>
                    <a:stretch>
                      <a:fillRect/>
                    </a:stretch>
                  </pic:blipFill>
                  <pic:spPr>
                    <a:xfrm>
                      <a:off x="0" y="0"/>
                      <a:ext cx="5903999" cy="3982803"/>
                    </a:xfrm>
                    <a:prstGeom prst="rect"/>
                  </pic:spPr>
                </pic:pic>
              </a:graphicData>
            </a:graphic>
          </wp:inline>
        </w:drawing>
      </w:r>
    </w:p>
    <w:p>
      <w:pPr>
        <w:pStyle w:val="Caption"/>
        <w:keepNext w:val="0"/>
        <w:jc w:val="center"/>
      </w:pPr>
      <w:r>
        <w:rPr>
          <w:rFonts w:eastAsia="宋体"/>
        </w:rPr>
        <w:t>图8 N720 组中净减少最大的真实接受动作：路线 303（首次抬升），净减少 275 对；含 XY 投影、XZ 侧视、真实比例三维图与 z 轴放大 20 倍示意（真比例图按坐标显示跨度设置箱体比例，放大图的 z 刻度仍按真实 mm 标注）</w:t>
      </w:r>
    </w:p>
    <w:p>
      <w:pPr>
        <w:keepNext/>
        <w:spacing w:after="80"/>
        <w:jc w:val="center"/>
      </w:pPr>
      <w:r>
        <w:rPr>
          <w:rFonts w:eastAsia="宋体"/>
        </w:rPr>
        <w:drawing>
          <wp:inline xmlns:a="http://schemas.openxmlformats.org/drawingml/2006/main" xmlns:pic="http://schemas.openxmlformats.org/drawingml/2006/picture">
            <wp:extent cx="5976000" cy="3263466"/>
            <wp:docPr id="9" name="Picture 9" descr="终态整板三维布局：真实比例视图与 z 轴放大 20 倍视图（层 0/1/2 用不同颜色区分，放大倍数标注在子图标题内）"/>
            <wp:cNvGraphicFramePr>
              <a:graphicFrameLocks noChangeAspect="1"/>
            </wp:cNvGraphicFramePr>
            <a:graphic>
              <a:graphicData uri="http://schemas.openxmlformats.org/drawingml/2006/picture">
                <pic:pic>
                  <pic:nvPicPr>
                    <pic:cNvPr id="0" name="f8_layout3d_R2880.png"/>
                    <pic:cNvPicPr/>
                  </pic:nvPicPr>
                  <pic:blipFill>
                    <a:blip r:embed="rId19"/>
                    <a:stretch>
                      <a:fillRect/>
                    </a:stretch>
                  </pic:blipFill>
                  <pic:spPr>
                    <a:xfrm>
                      <a:off x="0" y="0"/>
                      <a:ext cx="5976000" cy="3263466"/>
                    </a:xfrm>
                    <a:prstGeom prst="rect"/>
                  </pic:spPr>
                </pic:pic>
              </a:graphicData>
            </a:graphic>
          </wp:inline>
        </w:drawing>
      </w:r>
    </w:p>
    <w:p>
      <w:pPr>
        <w:pStyle w:val="Caption"/>
        <w:keepNext w:val="0"/>
        <w:jc w:val="center"/>
      </w:pPr>
      <w:r>
        <w:rPr>
          <w:rFonts w:eastAsia="宋体"/>
        </w:rPr>
        <w:t>图9 终态整板三维布局：真实比例视图与 z 轴放大 20 倍视图（层 0/1/2 用不同颜色区分，放大倍数标注在子图标题内）</w:t>
      </w:r>
    </w:p>
    <w:p>
      <w:pPr>
        <w:pStyle w:val="Heading1"/>
        <w:pageBreakBefore/>
      </w:pPr>
      <w:r>
        <w:rPr>
          <w:rFonts w:eastAsia="宋体"/>
        </w:rPr>
        <w:t>第 5 章 测试与回归</w:t>
      </w:r>
    </w:p>
    <w:p>
      <w:pPr>
        <w:pStyle w:val="Heading2"/>
      </w:pPr>
      <w:r>
        <w:rPr>
          <w:rFonts w:eastAsia="宋体"/>
        </w:rPr>
        <w:t>5.1 本次新增的测试</w:t>
      </w:r>
    </w:p>
    <w:p>
      <w:pPr>
        <w:pStyle w:val="Caption"/>
        <w:keepNext/>
      </w:pPr>
      <w:r>
        <w:rPr>
          <w:rFonts w:eastAsia="宋体"/>
        </w:rPr>
        <w:t>表23 本次新增的 v4 回归测试</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3742"/>
        <w:gridCol w:w="5669"/>
      </w:tblGrid>
      <w:tr>
        <w:trPr>
          <w:cantSplit/>
          <w:tblHeader/>
        </w:trPr>
        <w:tc>
          <w:tcPr>
            <w:tcW w:type="dxa" w:w="3742"/>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测试函数</w:t>
            </w:r>
          </w:p>
        </w:tc>
        <w:tc>
          <w:tcPr>
            <w:tcW w:type="dxa" w:w="5669"/>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覆盖点</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test_mode_switch_is_the_only_permission_difference</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没有已抬升路线时 N 与 R 的步骤与账本逐字段相同，差异只在移动权限</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test_elevated_start_state_loads_and_is_validated</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已抬升起点正确加载、初始已抬升数正确、XY 不符的起点被拒绝</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test_N_cannot_move_but_R_relocates_the_same_target</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同一目标 N 记“无可移动路线”、R 真的生成、评价并接受重定位</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test_relocation_replaces_structure_and_is_length_accounted_against_current</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重定位替换升降结构，单步长度按当前路线记账而非平面长度</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test_generation_cache_skips_without_charging_budget_or_attempts</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静态零候选跳过不消耗预算与目标尝试；关闭缓存时同一目标被重复尝试</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test_generation_cache_is_judged_on_currently_movable_victims_only</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缓存按当前允许移动的路线判断；无可移动路线与零候选分别记账</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test_dynamic_failure_cache_keeps_the_global_layout_version_retry</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动态失败在布局版本变化后允许重试</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test_candidate_budget_boundary_uses_only_fully_accepted_candidates</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预算边界：只用已完成完整验收的候选，且评价次数不超过预算</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test_incremental_near_distance_set_matches_a_full_rescan</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增量近距集合与全量重扫一致，每步全局严格减少</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test_candidates_passes_and_executed_actions_stay_separate</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候选、完整通过、执行动作三个计数不混淆</w:t>
            </w:r>
          </w:p>
        </w:tc>
      </w:tr>
      <w:tr>
        <w:trPr>
          <w:cantSplit/>
        </w:trPr>
        <w:tc>
          <w:tcPr>
            <w:tcW w:type="dxa" w:w="374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test_pair_state_distribution_counts_the_three_route_states</w:t>
            </w:r>
          </w:p>
        </w:tc>
        <w:tc>
          <w:tcPr>
            <w:tcW w:type="dxa" w:w="5669"/>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三种路线状态计数正确</w:t>
            </w:r>
          </w:p>
        </w:tc>
      </w:tr>
      <w:tr>
        <w:trPr>
          <w:cantSplit/>
        </w:trPr>
        <w:tc>
          <w:tcPr>
            <w:tcW w:type="dxa" w:w="3742"/>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test_unresolved_pairs_are_never_treated_as_clear</w:t>
            </w:r>
          </w:p>
        </w:tc>
        <w:tc>
          <w:tcPr>
            <w:tcW w:type="dxa" w:w="5669"/>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未决邻线不会被当作 CLEAR</w:t>
            </w:r>
          </w:p>
        </w:tc>
      </w:tr>
    </w:tbl>
    <w:p>
      <w:pPr>
        <w:keepNext/>
        <w:spacing w:line="360" w:lineRule="auto" w:before="40" w:after="80"/>
      </w:pPr>
      <w:r>
        <w:rPr>
          <w:rFonts w:eastAsia="宋体"/>
          <w:sz w:val="18"/>
        </w:rPr>
        <w:t>注：共 12 个新增测试，全部通过。</w:t>
      </w:r>
    </w:p>
    <w:p>
      <w:pPr>
        <w:spacing w:line="360" w:lineRule="auto" w:before="40" w:after="80"/>
      </w:pPr>
      <w:r>
        <w:rPr>
          <w:rFonts w:eastAsia="宋体"/>
          <w:sz w:val="18"/>
        </w:rPr>
        <w:t>数据来源：tests/test_strategy_v4_3d.py。</w:t>
      </w:r>
    </w:p>
    <w:p>
      <w:pPr>
        <w:pStyle w:val="Heading2"/>
      </w:pPr>
      <w:r>
        <w:rPr>
          <w:rFonts w:eastAsia="宋体"/>
        </w:rPr>
        <w:t>5.2 实际执行的测试</w:t>
      </w:r>
    </w:p>
    <w:p>
      <w:pPr>
        <w:pStyle w:val="Caption"/>
        <w:keepNext/>
      </w:pPr>
      <w:r>
        <w:rPr>
          <w:rFonts w:eastAsia="宋体"/>
        </w:rPr>
        <w:t>表24 本轮实际执行的测试与结果</w:t>
      </w:r>
    </w:p>
    <w:tbl>
      <w:tblPr>
        <w:tblW w:type="dxa" w:w="884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5102"/>
        <w:gridCol w:w="2494"/>
        <w:gridCol w:w="1247"/>
      </w:tblGrid>
      <w:tr>
        <w:trPr>
          <w:cantSplit/>
          <w:tblHeader/>
        </w:trPr>
        <w:tc>
          <w:tcPr>
            <w:tcW w:type="dxa" w:w="5102"/>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命令</w:t>
            </w:r>
          </w:p>
        </w:tc>
        <w:tc>
          <w:tcPr>
            <w:tcW w:type="dxa" w:w="24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结果</w:t>
            </w:r>
          </w:p>
        </w:tc>
        <w:tc>
          <w:tcPr>
            <w:tcW w:type="dxa" w:w="124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耗时（s）</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.venv\Scripts\python.exe -B -m pytest tests\ -q</w:t>
            </w:r>
          </w:p>
        </w:tc>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未找到结果行</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未知</w:t>
            </w:r>
          </w:p>
        </w:tc>
      </w:tr>
      <w:tr>
        <w:trPr>
          <w:cantSplit/>
        </w:trPr>
        <w:tc>
          <w:tcPr>
            <w:tcW w:type="dxa" w:w="5102"/>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..\OpticalWaveguideRouter2D\.venv\Scripts\python.exe -B -m pytest tests\test_opt2d*.py -q</w:t>
            </w:r>
          </w:p>
        </w:tc>
        <w:tc>
          <w:tcPr>
            <w:tcW w:type="dxa" w:w="24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未找到结果行</w:t>
            </w:r>
          </w:p>
        </w:tc>
        <w:tc>
          <w:tcPr>
            <w:tcW w:type="dxa" w:w="124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未知</w:t>
            </w:r>
          </w:p>
        </w:tc>
      </w:tr>
    </w:tbl>
    <w:p>
      <w:pPr>
        <w:keepNext/>
        <w:spacing w:line="360" w:lineRule="auto" w:before="40" w:after="80"/>
      </w:pPr>
      <w:r>
        <w:rPr>
          <w:rFonts w:eastAsia="宋体"/>
          <w:sz w:val="18"/>
        </w:rPr>
        <w:t>注：3D 解释器（Python 3.10.11）下 4 个测试模块因模块级 importorskip("scipy") 被整体跳过，跳过的是 4 个模块而不是 4 个用例；这 4 个模块已用 2D 项目解释器单独运行。本轮没有跳过任何与三维策略相关的测试。</w:t>
      </w:r>
    </w:p>
    <w:p>
      <w:pPr>
        <w:spacing w:line="360" w:lineRule="auto" w:before="40" w:after="80"/>
      </w:pPr>
      <w:r>
        <w:rPr>
          <w:rFonts w:eastAsia="宋体"/>
          <w:sz w:val="18"/>
        </w:rPr>
        <w:t>数据来源：C:\Users\lihao\Desktop\Graduation Project\OpticalWaveguideRouter3D\outputs\3d_strategy_v4\512_full_layout\pytest_full_v4.log、C:\Users\lihao\Desktop\Graduation Project\OpticalWaveguideRouter3D\outputs\3d_strategy_v4\512_full_layout\pytest_opt2d_2d_env_v4.log。</w:t>
      </w:r>
    </w:p>
    <w:p>
      <w:pPr>
        <w:pStyle w:val="Heading1"/>
        <w:pageBreakBefore/>
      </w:pPr>
      <w:r>
        <w:rPr>
          <w:rFonts w:eastAsia="宋体"/>
        </w:rPr>
        <w:t>第 6 章 六组终态的全量复核</w:t>
      </w:r>
    </w:p>
    <w:p>
      <w:r>
        <w:rPr>
          <w:rFonts w:eastAsia="宋体"/>
        </w:rPr>
        <w:t>六组终态都先保存再用独立加载器读回，然后重新检查全部 130,816 对（512×511/2），并把重算出的近距集合、未决集合与保存值逐对比较；同时核对端点、C0/C1、过渡段真实最小曲率半径、XY 投影、升降结构数量与长度台账。</w:t>
      </w:r>
    </w:p>
    <w:p>
      <w:pPr>
        <w:pStyle w:val="Caption"/>
        <w:keepNext/>
      </w:pPr>
      <w:r>
        <w:rPr>
          <w:rFonts w:eastAsia="宋体"/>
        </w:rPr>
        <w:t>表25 六组终态保存—重载—全量复核（计数）</w:t>
      </w:r>
    </w:p>
    <w:tbl>
      <w:tblPr>
        <w:tblW w:type="dxa" w:w="8617"/>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794"/>
        <w:gridCol w:w="1191"/>
        <w:gridCol w:w="1191"/>
        <w:gridCol w:w="1701"/>
        <w:gridCol w:w="1701"/>
        <w:gridCol w:w="1247"/>
        <w:gridCol w:w="794"/>
      </w:tblGrid>
      <w:tr>
        <w:trPr>
          <w:cantSplit/>
          <w:tblHeader/>
        </w:trPr>
        <w:tc>
          <w:tcPr>
            <w:tcW w:type="dxa" w:w="7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重载路线数</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检查对数</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近距集合与保存一致</w:t>
            </w:r>
          </w:p>
        </w:tc>
        <w:tc>
          <w:tcPr>
            <w:tcW w:type="dxa" w:w="170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未决集合与保存一致</w:t>
            </w:r>
          </w:p>
        </w:tc>
        <w:tc>
          <w:tcPr>
            <w:tcW w:type="dxa" w:w="124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终态过渡段数</w:t>
            </w:r>
          </w:p>
        </w:tc>
        <w:tc>
          <w:tcPr>
            <w:tcW w:type="dxa" w:w="7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判定</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512</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512</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512</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96</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512</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96</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512</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70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24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154</w:t>
            </w:r>
          </w:p>
        </w:tc>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512</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130,816</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70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24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154</w:t>
            </w:r>
          </w:p>
        </w:tc>
        <w:tc>
          <w:tcPr>
            <w:tcW w:type="dxa" w:w="7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r>
    </w:tbl>
    <w:p>
      <w:pPr>
        <w:keepNext/>
        <w:spacing w:line="360" w:lineRule="auto" w:before="40" w:after="80"/>
      </w:pPr>
      <w:r>
        <w:rPr>
          <w:rFonts w:eastAsia="宋体"/>
          <w:sz w:val="18"/>
        </w:rPr>
        <w:t>注：“候选集合”按 (小 id, 大 id) 有序对比较，不做任何集合近似。</w:t>
      </w:r>
    </w:p>
    <w:p>
      <w:pPr>
        <w:spacing w:line="360" w:lineRule="auto" w:before="40" w:after="80"/>
      </w:pPr>
      <w:r>
        <w:rPr>
          <w:rFonts w:eastAsia="宋体"/>
          <w:sz w:val="18"/>
        </w:rPr>
        <w:t>数据来源：512_full_layout/&lt;组&gt;/recheck.json。</w:t>
      </w:r>
    </w:p>
    <w:p>
      <w:pPr>
        <w:pStyle w:val="Caption"/>
        <w:keepNext/>
      </w:pPr>
      <w:r>
        <w:rPr>
          <w:rFonts w:eastAsia="宋体"/>
        </w:rPr>
        <w:t>表26 六组复核的集合与几何不变量</w:t>
      </w:r>
    </w:p>
    <w:tbl>
      <w:tblPr>
        <w:tblW w:type="dxa" w:w="9638"/>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2494"/>
        <w:gridCol w:w="1191"/>
        <w:gridCol w:w="1191"/>
        <w:gridCol w:w="1191"/>
        <w:gridCol w:w="1191"/>
        <w:gridCol w:w="1191"/>
        <w:gridCol w:w="1191"/>
      </w:tblGrid>
      <w:tr>
        <w:trPr>
          <w:cantSplit/>
          <w:tblHeader/>
        </w:trPr>
        <w:tc>
          <w:tcPr>
            <w:tcW w:type="dxa" w:w="24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检查项</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N720</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R720</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N1440</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R1440</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N2880</w:t>
            </w:r>
          </w:p>
        </w:tc>
        <w:tc>
          <w:tcPr>
            <w:tcW w:type="dxa" w:w="119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R2880</w:t>
            </w:r>
          </w:p>
        </w:tc>
      </w:tr>
      <w:tr>
        <w:trPr>
          <w:cantSplit/>
        </w:trPr>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端点不变</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C0/C1 方向连续</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过渡段真实曲率半径达标</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2494"/>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XY 投影保持</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24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升降结构不叠加</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c>
          <w:tcPr>
            <w:tcW w:type="dxa" w:w="119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r>
    </w:tbl>
    <w:p>
      <w:pPr>
        <w:keepNext/>
        <w:spacing w:line="360" w:lineRule="auto" w:before="40" w:after="80"/>
      </w:pPr>
      <w:r>
        <w:rPr>
          <w:rFonts w:eastAsia="宋体"/>
          <w:sz w:val="18"/>
        </w:rPr>
        <w:t>注：“升降结构不叠加”核对每条路线要么全在层 0，要么恰好一对余弦过渡（先升后降、回到层 0），且不存在第三层片段；这正是重定位替换而非叠加的判据。</w:t>
      </w:r>
    </w:p>
    <w:p>
      <w:pPr>
        <w:spacing w:line="360" w:lineRule="auto" w:before="40" w:after="80"/>
      </w:pPr>
      <w:r>
        <w:rPr>
          <w:rFonts w:eastAsia="宋体"/>
          <w:sz w:val="18"/>
        </w:rPr>
        <w:t>数据来源：512_full_layout/&lt;组&gt;/recheck.json 的 geometry 字段。</w:t>
      </w:r>
    </w:p>
    <w:p>
      <w:pPr>
        <w:pStyle w:val="Caption"/>
        <w:keepNext/>
      </w:pPr>
      <w:r>
        <w:rPr>
          <w:rFonts w:eastAsia="宋体"/>
        </w:rPr>
        <w:t>表27 六组复核的长度台账</w:t>
      </w:r>
    </w:p>
    <w:tbl>
      <w:tblPr>
        <w:tblW w:type="dxa" w:w="9184"/>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794"/>
        <w:gridCol w:w="1644"/>
        <w:gridCol w:w="1531"/>
        <w:gridCol w:w="1644"/>
        <w:gridCol w:w="1757"/>
        <w:gridCol w:w="1814"/>
      </w:tblGrid>
      <w:tr>
        <w:trPr>
          <w:cantSplit/>
          <w:tblHeader/>
        </w:trPr>
        <w:tc>
          <w:tcPr>
            <w:tcW w:type="dxa" w:w="79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组</w:t>
            </w:r>
          </w:p>
        </w:tc>
        <w:tc>
          <w:tcPr>
            <w:tcW w:type="dxa" w:w="164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终态总长（mm）</w:t>
            </w:r>
          </w:p>
        </w:tc>
        <w:tc>
          <w:tcPr>
            <w:tcW w:type="dxa" w:w="1531"/>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阶段变化（mm）</w:t>
            </w:r>
          </w:p>
        </w:tc>
        <w:tc>
          <w:tcPr>
            <w:tcW w:type="dxa" w:w="164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单步变化合计（mm）</w:t>
            </w:r>
          </w:p>
        </w:tc>
        <w:tc>
          <w:tcPr>
            <w:tcW w:type="dxa" w:w="175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终态额外长度（mm）</w:t>
            </w:r>
          </w:p>
        </w:tc>
        <w:tc>
          <w:tcPr>
            <w:tcW w:type="dxa" w:w="1814"/>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阶段变化与单步合计一致</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N720</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70844.622385</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6.156637</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6.156637</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13.312728</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R720</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70844.622385</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6.156637</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6.156637</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13.312728</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N1440</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70851.701035</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13.235287</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13.235287</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20.391377</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R1440</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70851.701035</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13.235287</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13.235287</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20.391377</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N2880</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70862.247726</w:t>
            </w:r>
          </w:p>
        </w:tc>
        <w:tc>
          <w:tcPr>
            <w:tcW w:type="dxa" w:w="1531"/>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23.781978</w:t>
            </w:r>
          </w:p>
        </w:tc>
        <w:tc>
          <w:tcPr>
            <w:tcW w:type="dxa" w:w="164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23.781978</w:t>
            </w:r>
          </w:p>
        </w:tc>
        <w:tc>
          <w:tcPr>
            <w:tcW w:type="dxa" w:w="175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30.938069</w:t>
            </w:r>
          </w:p>
        </w:tc>
        <w:tc>
          <w:tcPr>
            <w:tcW w:type="dxa" w:w="1814"/>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PASS</w:t>
            </w:r>
          </w:p>
        </w:tc>
      </w:tr>
      <w:tr>
        <w:trPr>
          <w:cantSplit/>
        </w:trPr>
        <w:tc>
          <w:tcPr>
            <w:tcW w:type="dxa" w:w="79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R2880</w:t>
            </w:r>
          </w:p>
        </w:tc>
        <w:tc>
          <w:tcPr>
            <w:tcW w:type="dxa" w:w="164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70862.247726</w:t>
            </w:r>
          </w:p>
        </w:tc>
        <w:tc>
          <w:tcPr>
            <w:tcW w:type="dxa" w:w="153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23.781978</w:t>
            </w:r>
          </w:p>
        </w:tc>
        <w:tc>
          <w:tcPr>
            <w:tcW w:type="dxa" w:w="164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23.781978</w:t>
            </w:r>
          </w:p>
        </w:tc>
        <w:tc>
          <w:tcPr>
            <w:tcW w:type="dxa" w:w="175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30.938069</w:t>
            </w:r>
          </w:p>
        </w:tc>
        <w:tc>
          <w:tcPr>
            <w:tcW w:type="dxa" w:w="181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PASS</w:t>
            </w:r>
          </w:p>
        </w:tc>
      </w:tr>
    </w:tbl>
    <w:p>
      <w:pPr>
        <w:keepNext/>
        <w:spacing w:line="360" w:lineRule="auto" w:before="40" w:after="80"/>
      </w:pPr>
      <w:r>
        <w:rPr>
          <w:rFonts w:eastAsia="宋体"/>
          <w:sz w:val="18"/>
        </w:rPr>
        <w:t>注：阶段变化＝终态总长−共同起点总长；终态额外长度＝终态总长−原始冻结平面总长。共同起点总长 70838.465748 mm，原始冻结平面总长 70831.309657 mm，起点相对平面的额外长度 7.156091 mm。</w:t>
      </w:r>
    </w:p>
    <w:p>
      <w:pPr>
        <w:spacing w:line="360" w:lineRule="auto" w:before="40" w:after="80"/>
      </w:pPr>
      <w:r>
        <w:rPr>
          <w:rFonts w:eastAsia="宋体"/>
          <w:sz w:val="18"/>
        </w:rPr>
        <w:t>数据来源：512_full_layout/&lt;组&gt;/recheck.json 的 length_ledger 与 start_state_check.json。</w:t>
      </w:r>
    </w:p>
    <w:p>
      <w:pPr>
        <w:pStyle w:val="Heading1"/>
        <w:pageBreakBefore/>
      </w:pPr>
      <w:r>
        <w:rPr>
          <w:rFonts w:eastAsia="宋体"/>
        </w:rPr>
        <w:t>第 7 章 实验问题逐条回答</w:t>
      </w:r>
    </w:p>
    <w:p>
      <w:pPr>
        <w:pStyle w:val="Caption"/>
        <w:keepNext/>
      </w:pPr>
      <w:r>
        <w:rPr>
          <w:rFonts w:eastAsia="宋体"/>
        </w:rPr>
        <w:t>表28 八个实验问题的逐条回答</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2041"/>
        <w:gridCol w:w="4195"/>
        <w:gridCol w:w="3175"/>
      </w:tblGrid>
      <w:tr>
        <w:trPr>
          <w:cantSplit/>
          <w:tblHeader/>
        </w:trPr>
        <w:tc>
          <w:tcPr>
            <w:tcW w:type="dxa" w:w="2041"/>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问题</w:t>
            </w:r>
          </w:p>
        </w:tc>
        <w:tc>
          <w:tcPr>
            <w:tcW w:type="dxa" w:w="419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本轮实测数值</w:t>
            </w:r>
          </w:p>
        </w:tc>
        <w:tc>
          <w:tcPr>
            <w:tcW w:type="dxa" w:w="317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结论</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1. 追加预算后未抬路线覆盖是否增加</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六组首次抬升次数为 11～53 次（按组分别列在表 14）；双方未抬升剩余对数从 42,516 降到 29,834～39,545 对。</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是：预算增加后更多路线被首次抬升，双方未抬升的剩余对数同步下降；但下降幅度远小于剩余总量。</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2. 近距对是否持续下降、边际收益是否减弱</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N720：720 次评价后 40,072 对（减少 2,837 对）；R720：720 次评价后 40,072 对（减少 2,837 对）；N1440：1,440 次评价后 36,995 对（减少 5,914 对）；R1440：1,440 次评价后 36,995 对（减少 5,914 对）；N2880：2,880 次评价后 30,999 对（减少 11,910 对）；R2880：2,880 次评价后 30,999 对（减少 11,910 对）</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见 4.4 表 17：本轮三个区间的速率为 2837.00、3077.00、2998.00 对/720 次评价，边际收益没有下降；近距对持续下降，但下降速率基本持平。</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3. 候选评价主要消耗在什么失败类型上</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六组共 10,080 次候选基本评价：基本验收拒绝 0 次，完整邻线验收拒绝 6 次（全部是 NO_STRICT_GLOBAL_DECREASE）；生成端零候选 94 次（不消耗评价）。明细见 4.5 表 18 与图 4。</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本轮的评价几乎不消耗在失败上：基本拒绝 0 次、完整拒绝 6 次。真正消耗评价的是“一个目标一次生成 9～126 个候选、几乎全部通过验收，但一步只执行其中一个动作”：六组共执行 176 个动作、消耗 10,080 次评价，平均每个动作约 57.3 次。</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4. R 组是否真正生成、评价并接受重定位</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六组合计重定位动作 0 次，重定位候选评价 0 次；逐组数值见表 14 与表 20。</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若为 0：在本轮共用目标排序下，R 组没有触达任何“只有重定位可动”的目标，因此未生成、未评价、未接受任何重定位；这是调度顺序的结果，不是重定位被验收否决。</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5. 同预算上限下 R 是否优于 N</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720：数值相同；1440：数值相同；2880：数值相同</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若三档都相同，则本轮没有证据表明 R 优于 N；原因是差异只允许发生在“已抬升路线作为受害者”的目标上，而共用冲突优先序在该预算内从未把这类目标排到队首。</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6. 收益有多少来自首次抬升、多少来自重定位</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六组合计首次抬升净减少 41,322 对，重定位净减少 0 对。</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本轮收益全部来自首次抬升；重定位没有贡献，原因是它没有被执行过。</w:t>
            </w:r>
          </w:p>
        </w:tc>
      </w:tr>
      <w:tr>
        <w:trPr>
          <w:cantSplit/>
        </w:trPr>
        <w:tc>
          <w:tcPr>
            <w:tcW w:type="dxa" w:w="2041"/>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7. 新增近距对抵消了多少移除收益</w:t>
            </w:r>
          </w:p>
        </w:tc>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N720：移除 2,891 / 新增 54；R720：移除 2,891 / 新增 54；N1440：移除 6,106 / 新增 192；R1440：移除 6,106 / 新增 192；N2880：移除 12,574 / 新增 664；R2880：移除 12,574 / 新增 664</w:t>
            </w:r>
          </w:p>
        </w:tc>
        <w:tc>
          <w:tcPr>
            <w:tcW w:type="dxa" w:w="317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抵消比例逐组列在表 21；新增比例越小，净收益越接近移除量。</w:t>
            </w:r>
          </w:p>
        </w:tc>
      </w:tr>
      <w:tr>
        <w:trPr>
          <w:cantSplit/>
        </w:trPr>
        <w:tc>
          <w:tcPr>
            <w:tcW w:type="dxa" w:w="2041"/>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8. 剩余近距对的三种路线状态分布怎样变化</w:t>
            </w:r>
          </w:p>
        </w:tc>
        <w:tc>
          <w:tcPr>
            <w:tcW w:type="dxa" w:w="419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双方未抬升 42,516→29,834～39,545；单方已抬升 291→358～393；双方已抬升 102→157～772。</w:t>
            </w:r>
          </w:p>
        </w:tc>
        <w:tc>
          <w:tcPr>
            <w:tcW w:type="dxa" w:w="317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新抬升的路线会把一部分双方未抬升对转成单方已抬升对；双方已抬升对的变化反映抬升带来的新近距。</w:t>
            </w:r>
          </w:p>
        </w:tc>
      </w:tr>
    </w:tbl>
    <w:p>
      <w:pPr>
        <w:keepNext/>
        <w:spacing w:line="360" w:lineRule="auto" w:before="40" w:after="80"/>
      </w:pPr>
      <w:r>
        <w:rPr>
          <w:rFonts w:eastAsia="宋体"/>
          <w:sz w:val="18"/>
        </w:rPr>
        <w:t>注：本表只汇总本轮六组与审计的实测值，不引入任何推测性数值；标“若为 0”的表述表示结论取决于实测值是否为零，实际取值见左侧数值列。</w:t>
      </w:r>
    </w:p>
    <w:p>
      <w:pPr>
        <w:spacing w:line="360" w:lineRule="auto" w:before="40" w:after="80"/>
      </w:pPr>
      <w:r>
        <w:rPr>
          <w:rFonts w:eastAsia="宋体"/>
          <w:sz w:val="18"/>
        </w:rPr>
        <w:t>数据来源：512_full_layout/summary_all_v4.json、&lt;组&gt;/ledger.json、audit/classification_summary.json。</w:t>
      </w:r>
    </w:p>
    <w:p>
      <w:r>
        <w:rPr>
          <w:rFonts w:eastAsia="宋体"/>
        </w:rPr>
        <w:t>必须分别表述的三种情况：①是否触发重定位——六组合计 0 次（表 14）；②候选是否全部失败——各组的候选评价与完整验收通过量见表 19 与图 4；③接受后收益是否有限——各组的净减少量与剩余近距对数见表 14 与表 21。三者含义不同：没有触发重定位说明调度没有到达；候选全部失败说明生成或验收拦住了；接受后收益有限说明即使有动作，全局剩余量仍然很大。</w:t>
      </w:r>
    </w:p>
    <w:p>
      <w:r>
        <w:rPr>
          <w:rFonts w:eastAsia="宋体"/>
        </w:rPr>
        <w:t>本轮的表述纪律：如果预算增加而结果没有改善，本报告给出原因证据，不继续调参直到得到正结果；“当前候选生成规则下无合法窗口”不写成“几何上必然无解”；只在相同预算上限的 N/R 范围内作最优标注，不同预算主要展示变化趋势。</w:t>
      </w:r>
    </w:p>
    <w:p>
      <w:pPr>
        <w:pStyle w:val="Heading1"/>
        <w:pageBreakBefore/>
      </w:pPr>
      <w:r>
        <w:rPr>
          <w:rFonts w:eastAsia="宋体"/>
        </w:rPr>
        <w:t>第 8 章 限制与下一步算法改动</w:t>
      </w:r>
    </w:p>
    <w:p>
      <w:pPr>
        <w:pStyle w:val="Caption"/>
        <w:keepNext/>
      </w:pPr>
      <w:r>
        <w:rPr>
          <w:rFonts w:eastAsia="宋体"/>
        </w:rPr>
        <w:t>表29 尚未验证的问题与不适用的结论</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1928"/>
        <w:gridCol w:w="7483"/>
      </w:tblGrid>
      <w:tr>
        <w:trPr>
          <w:cantSplit/>
          <w:tblHeader/>
        </w:trPr>
        <w:tc>
          <w:tcPr>
            <w:tcW w:type="dxa" w:w="1928"/>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条目</w:t>
            </w:r>
          </w:p>
        </w:tc>
        <w:tc>
          <w:tcPr>
            <w:tcW w:type="dxa" w:w="7483"/>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说明</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重定位的真实效果</w:t>
            </w:r>
          </w:p>
        </w:tc>
        <w:tc>
          <w:tcPr>
            <w:tcW w:type="dxa" w:w="748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本轮共用排序下未触达重定位目标，因此没有关于重定位收益的正面或负面证据</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真实端口数据</w:t>
            </w:r>
          </w:p>
        </w:tc>
        <w:tc>
          <w:tcPr>
            <w:tcW w:type="dxa" w:w="748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512 是项目既有合成输入，不是真实端口数据，结论不能外推到真实器件</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光学指标</w:t>
            </w:r>
          </w:p>
        </w:tc>
        <w:tc>
          <w:tcPr>
            <w:tcW w:type="dxa" w:w="748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本轮只统计中心线几何近距，不涉及损耗、串扰或工艺合规</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效率比较</w:t>
            </w:r>
          </w:p>
        </w:tc>
        <w:tc>
          <w:tcPr>
            <w:tcW w:type="dxa" w:w="748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六组并行、单次计时，不支持任何效率结论</w:t>
            </w:r>
          </w:p>
        </w:tc>
      </w:tr>
      <w:tr>
        <w:trPr>
          <w:cantSplit/>
        </w:trPr>
        <w:tc>
          <w:tcPr>
            <w:tcW w:type="dxa" w:w="1928"/>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清零近距对</w:t>
            </w:r>
          </w:p>
        </w:tc>
        <w:tc>
          <w:tcPr>
            <w:tcW w:type="dxa" w:w="7483"/>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本轮不预设清零，也不把剩余量当作失败判据</w:t>
            </w:r>
          </w:p>
        </w:tc>
      </w:tr>
      <w:tr>
        <w:trPr>
          <w:cantSplit/>
        </w:trPr>
        <w:tc>
          <w:tcPr>
            <w:tcW w:type="dxa" w:w="1928"/>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未被审计覆盖的目标</w:t>
            </w:r>
          </w:p>
        </w:tc>
        <w:tc>
          <w:tcPr>
            <w:tcW w:type="dxa" w:w="7483"/>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审计只覆盖固定清单的 60 对目标，不是全板 42,909 对的抽样推断</w:t>
            </w:r>
          </w:p>
        </w:tc>
      </w:tr>
    </w:tbl>
    <w:p>
      <w:pPr>
        <w:spacing w:line="360" w:lineRule="auto" w:before="40" w:after="80"/>
      </w:pPr>
      <w:r>
        <w:rPr>
          <w:rFonts w:eastAsia="宋体"/>
          <w:sz w:val="18"/>
        </w:rPr>
        <w:t>注：以上条目在本轮没有被验证，因此报告不在这些方向上给出结论。</w:t>
      </w:r>
    </w:p>
    <w:p>
      <w:pPr>
        <w:pStyle w:val="Caption"/>
        <w:keepNext/>
      </w:pPr>
      <w:r>
        <w:rPr>
          <w:rFonts w:eastAsia="宋体"/>
        </w:rPr>
        <w:t>表30 下一步需要改变的算法项与对应证据</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907"/>
        <w:gridCol w:w="4535"/>
        <w:gridCol w:w="3969"/>
      </w:tblGrid>
      <w:tr>
        <w:trPr>
          <w:cantSplit/>
          <w:tblHeader/>
        </w:trPr>
        <w:tc>
          <w:tcPr>
            <w:tcW w:type="dxa" w:w="907"/>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center"/>
            </w:pPr>
            <w:r>
              <w:rPr>
                <w:rFonts w:ascii="SimSun" w:hAnsi="SimSun" w:eastAsia="宋体"/>
                <w:b/>
                <w:sz w:val="19"/>
              </w:rPr>
              <w:t>优先级</w:t>
            </w:r>
          </w:p>
        </w:tc>
        <w:tc>
          <w:tcPr>
            <w:tcW w:type="dxa" w:w="4535"/>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需要改变的算法项</w:t>
            </w:r>
          </w:p>
        </w:tc>
        <w:tc>
          <w:tcPr>
            <w:tcW w:type="dxa" w:w="3969"/>
            <w:vAlign w:val="center"/>
            <w:tcMar>
              <w:top w:w="70" w:type="dxa"/>
              <w:bottom w:w="70" w:type="dxa"/>
              <w:left w:w="85" w:type="dxa"/>
              <w:right w:w="85" w:type="dxa"/>
            </w:tcMar>
            <w:tcBorders>
              <w:top w:val="single" w:sz="8" w:color="000000"/>
              <w:bottom w:val="single" w:sz="5" w:color="000000"/>
              <w:left w:val="nil"/>
              <w:right w:val="nil"/>
            </w:tcBorders>
          </w:tcPr>
          <w:p>
            <w:pPr>
              <w:keepNext/>
              <w:spacing w:before="0" w:after="0" w:line="288" w:lineRule="auto"/>
              <w:jc w:val="left"/>
            </w:pPr>
            <w:r>
              <w:rPr>
                <w:rFonts w:ascii="SimSun" w:hAnsi="SimSun" w:eastAsia="宋体"/>
                <w:b/>
                <w:sz w:val="19"/>
              </w:rPr>
              <w:t>证据</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1</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目标调度：把“只有重定位可动”的目标显式纳入选择范围（例如按受害者可动类型分层排序）</w:t>
            </w:r>
          </w:p>
        </w:tc>
        <w:tc>
          <w:tcPr>
            <w:tcW w:type="dxa" w:w="396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起点中涉及已抬升路线的近距对只有 393 对，而这类对在共用优先序中最好的名次也要到第 21,795～34,254 名，六组实际只尝试了 13/26/66 个目标，因此 R 组零重定位</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2</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候选生成窗口：放宽“升降窗口必须落在直线段且不切弧”的限制</w:t>
            </w:r>
          </w:p>
        </w:tc>
        <w:tc>
          <w:tcPr>
            <w:tcW w:type="dxa" w:w="396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审计中 33 个目标侧在当前规则下无合法窗口；其中单方已抬升 13/20、双方已抬升 12/20，明显高于双方未抬升目标的 4/40</w:t>
            </w:r>
          </w:p>
        </w:tc>
      </w:tr>
      <w:tr>
        <w:trPr>
          <w:cantSplit/>
        </w:trPr>
        <w:tc>
          <w:tcPr>
            <w:tcW w:type="dxa" w:w="907"/>
            <w:vAlign w:val="center"/>
            <w:tcMar>
              <w:top w:w="70" w:type="dxa"/>
              <w:bottom w:w="70" w:type="dxa"/>
              <w:left w:w="85" w:type="dxa"/>
              <w:right w:w="85" w:type="dxa"/>
            </w:tcMar>
            <w:tcBorders>
              <w:top w:val="nil"/>
              <w:bottom w:val="nil"/>
              <w:left w:val="nil"/>
              <w:right w:val="nil"/>
            </w:tcBorders>
          </w:tcPr>
          <w:p>
            <w:pPr>
              <w:keepNext/>
              <w:spacing w:before="0" w:after="0" w:line="288" w:lineRule="auto"/>
              <w:jc w:val="center"/>
            </w:pPr>
            <w:r>
              <w:rPr>
                <w:rFonts w:ascii="SimSun" w:hAnsi="SimSun" w:eastAsia="宋体"/>
                <w:b w:val="0"/>
                <w:sz w:val="19"/>
              </w:rPr>
              <w:t>3</w:t>
            </w:r>
          </w:p>
        </w:tc>
        <w:tc>
          <w:tcPr>
            <w:tcW w:type="dxa" w:w="4535"/>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目标覆盖与遍历顺序：提高正式目标尝试上限或改变遍历顺序，让更多目标至少在预算内被评价一次</w:t>
            </w:r>
          </w:p>
        </w:tc>
        <w:tc>
          <w:tcPr>
            <w:tcW w:type="dxa" w:w="3969"/>
            <w:vAlign w:val="center"/>
            <w:tcMar>
              <w:top w:w="70" w:type="dxa"/>
              <w:bottom w:w="70" w:type="dxa"/>
              <w:left w:w="85" w:type="dxa"/>
              <w:right w:w="85" w:type="dxa"/>
            </w:tcMar>
            <w:tcBorders>
              <w:top w:val="nil"/>
              <w:bottom w:val="nil"/>
              <w:left w:val="nil"/>
              <w:right w:val="nil"/>
            </w:tcBorders>
          </w:tcPr>
          <w:p>
            <w:pPr>
              <w:keepNext/>
              <w:spacing w:before="0" w:after="0" w:line="288" w:lineRule="auto"/>
              <w:jc w:val="left"/>
            </w:pPr>
            <w:r>
              <w:rPr>
                <w:rFonts w:ascii="SimSun" w:hAnsi="SimSun" w:eastAsia="宋体"/>
                <w:b w:val="0"/>
                <w:sz w:val="19"/>
              </w:rPr>
              <w:t>审计的 120 个目标侧中只有 6 个曾被此前预算评价；六组也只尝试了 13 / 26 / 66 个目标（上限 200）</w:t>
            </w:r>
          </w:p>
        </w:tc>
      </w:tr>
      <w:tr>
        <w:trPr>
          <w:cantSplit/>
        </w:trPr>
        <w:tc>
          <w:tcPr>
            <w:tcW w:type="dxa" w:w="907"/>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4</w:t>
            </w:r>
          </w:p>
        </w:tc>
        <w:tc>
          <w:tcPr>
            <w:tcW w:type="dxa" w:w="453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评价调度：减少“生成大量通过验收的候选却只执行一个动作”的浪费（例如先排序候选再按序评价，或按预计净收益截断候选）</w:t>
            </w:r>
          </w:p>
        </w:tc>
        <w:tc>
          <w:tcPr>
            <w:tcW w:type="dxa" w:w="3969"/>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六组共 10,080 次评价中基本拒绝 0 次、完整拒绝 6 次（审计中的完整拒绝理由也全部是 NO_STRICT_GLOBAL_DECREASE，共 86 次），说明评价几乎全部花在最终没有机会落地的候选上；六组只执行了 176 个动作，平均每个动作约 57.3 次评价</w:t>
            </w:r>
          </w:p>
        </w:tc>
      </w:tr>
    </w:tbl>
    <w:p>
      <w:pPr>
        <w:spacing w:line="360" w:lineRule="auto" w:before="40" w:after="80"/>
      </w:pPr>
      <w:r>
        <w:rPr>
          <w:rFonts w:eastAsia="宋体"/>
          <w:sz w:val="18"/>
        </w:rPr>
        <w:t>注：这些改动本轮都没有实现，因此不声称它们一定有效；它们只是由本轮证据指向的下一步方向。</w:t>
      </w:r>
    </w:p>
    <w:p>
      <w:pPr>
        <w:pStyle w:val="Caption"/>
        <w:keepNext/>
      </w:pPr>
      <w:r>
        <w:rPr>
          <w:rFonts w:eastAsia="宋体"/>
        </w:rPr>
        <w:t>表31 本轮修改与新增的文件</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4195"/>
        <w:gridCol w:w="5216"/>
      </w:tblGrid>
      <w:tr>
        <w:trPr>
          <w:cantSplit/>
          <w:tblHeader/>
        </w:trPr>
        <w:tc>
          <w:tcPr>
            <w:tcW w:type="dxa" w:w="419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文件</w:t>
            </w:r>
          </w:p>
        </w:tc>
        <w:tc>
          <w:tcPr>
            <w:tcW w:type="dxa" w:w="5216"/>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作用</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src/strategy_v4_3d.py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新增：v4 全布局持续优化模块（N/R 开关、动态目标、缓存、账本）</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scripts/run_3d_strategy_v4.py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新增：六组预算实验运行器与终态复核</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scripts/summarize_3d_strategy_v4.py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新增：六组汇总与八个问题的数值回答</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scripts/audit_3d_v4_bottleneck.py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新增：瓶颈审计</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scripts/visualize_3d_strategy_v4.py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新增：七类图（含审计图共九张）</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tests/test_strategy_v4_3d.py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新增：12 个回归测试</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publication/report/brief_build/build_3d_strategy_v4_report.py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新增：本报告构建脚本</w:t>
            </w:r>
          </w:p>
        </w:tc>
      </w:tr>
      <w:tr>
        <w:trPr>
          <w:cantSplit/>
        </w:trPr>
        <w:tc>
          <w:tcPr>
            <w:tcW w:type="dxa" w:w="4195"/>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publication/report/brief_build/build_all_experiments_report_v4.py</w:t>
            </w:r>
          </w:p>
        </w:tc>
        <w:tc>
          <w:tcPr>
            <w:tcW w:type="dxa" w:w="5216"/>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新增：在全部实验总报告上追加本轮实验</w:t>
            </w:r>
          </w:p>
        </w:tc>
      </w:tr>
      <w:tr>
        <w:trPr>
          <w:cantSplit/>
        </w:trPr>
        <w:tc>
          <w:tcPr>
            <w:tcW w:type="dxa" w:w="419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历史文件</w:t>
            </w:r>
          </w:p>
        </w:tc>
        <w:tc>
          <w:tcPr>
            <w:tcW w:type="dxa" w:w="5216"/>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未修改；所有历史报告与原始实验文件保留原处</w:t>
            </w:r>
          </w:p>
        </w:tc>
      </w:tr>
    </w:tbl>
    <w:p>
      <w:pPr>
        <w:spacing w:line="360" w:lineRule="auto" w:before="40" w:after="80"/>
      </w:pPr>
      <w:r>
        <w:rPr>
          <w:rFonts w:eastAsia="宋体"/>
          <w:sz w:val="18"/>
        </w:rPr>
        <w:t>注：旧稿中关于候选与动作的口径若有残留，本报告一律采用 accepted_edit_counts 的正确写法，并在构建前对旧稿做备份，不覆盖原文件。</w:t>
      </w:r>
    </w:p>
    <w:p>
      <w:pPr>
        <w:pStyle w:val="Heading1"/>
        <w:pageBreakBefore/>
      </w:pPr>
      <w:r>
        <w:rPr>
          <w:rFonts w:eastAsia="宋体"/>
        </w:rPr>
        <w:t>附录 A 交付文件与哈希</w:t>
      </w:r>
    </w:p>
    <w:p>
      <w:pPr>
        <w:pStyle w:val="Caption"/>
        <w:keepNext/>
      </w:pPr>
      <w:r>
        <w:rPr>
          <w:rFonts w:eastAsia="宋体"/>
        </w:rPr>
        <w:t>表32 本报告引用的主要产物与哈希（sha256 前 16 位）</w:t>
      </w:r>
    </w:p>
    <w:tbl>
      <w:tblPr>
        <w:tblW w:type="dxa" w:w="9411"/>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Pr>
      <w:tblGrid>
        <w:gridCol w:w="5102"/>
        <w:gridCol w:w="1474"/>
        <w:gridCol w:w="2835"/>
      </w:tblGrid>
      <w:tr>
        <w:trPr>
          <w:cantSplit/>
          <w:tblHeader/>
        </w:trPr>
        <w:tc>
          <w:tcPr>
            <w:tcW w:type="dxa" w:w="5102"/>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left"/>
            </w:pPr>
            <w:r>
              <w:rPr>
                <w:rFonts w:ascii="SimSun" w:hAnsi="SimSun" w:eastAsia="宋体"/>
                <w:b/>
                <w:sz w:val="19"/>
              </w:rPr>
              <w:t>文件</w:t>
            </w:r>
          </w:p>
        </w:tc>
        <w:tc>
          <w:tcPr>
            <w:tcW w:type="dxa" w:w="1474"/>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字节</w:t>
            </w:r>
          </w:p>
        </w:tc>
        <w:tc>
          <w:tcPr>
            <w:tcW w:type="dxa" w:w="2835"/>
            <w:vAlign w:val="center"/>
            <w:tcMar>
              <w:top w:w="70" w:type="dxa"/>
              <w:bottom w:w="70" w:type="dxa"/>
              <w:left w:w="85" w:type="dxa"/>
              <w:right w:w="85" w:type="dxa"/>
            </w:tcMar>
            <w:tcBorders>
              <w:top w:val="single" w:sz="8" w:color="000000"/>
              <w:bottom w:val="single" w:sz="5" w:color="000000"/>
              <w:left w:val="nil"/>
              <w:right w:val="nil"/>
            </w:tcBorders>
          </w:tcPr>
          <w:p>
            <w:pPr>
              <w:spacing w:before="0" w:after="0" w:line="288" w:lineRule="auto"/>
              <w:jc w:val="center"/>
            </w:pPr>
            <w:r>
              <w:rPr>
                <w:rFonts w:ascii="SimSun" w:hAnsi="SimSun" w:eastAsia="宋体"/>
                <w:b/>
                <w:sz w:val="19"/>
              </w:rPr>
              <w:t>sha256(前16位)</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outputs\3d_strategy_v4\512_full_layout\start_state_check.json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1,478</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d3861e8f0d6ff562</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outputs\3d_strategy_v4\512_full_layout\summary_all_v4.json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55,903</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dfe4bb85e644c9d8</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outputs\3d_strategy_v4\512_full_layout\comparison_v4.csv</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7,223</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e481f7a36b958eab</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outputs\3d_strategy_v4\512_full_layout\pytest_full_v4.log</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1,872</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d9fec07340b4894b</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outputs\3d_strategy_v4\512_full_layout\pytest_opt2d_2d_env_v4.log</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228</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6070fb14750e8c43</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outputs\3d_strategy_v4\512_full_layout\audit\classification_summary.json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3,659</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ccc2be5ffd919430</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outputs\3d_strategy_v4\512_full_layout\audit\target_list.json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18,653</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5112208ee582277c</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outputs\3d_strategy_v4\512_full_layout\audit\sampling_rules.json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883</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5674f7e58ababefc</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outputs\3d_strategy_v4\512_full_layout\audit\side_audit.csv</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15,422</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f113d5246ee01f84</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outputs\3d_strategy_v4\512_full_layout\audit\audit_ledger.json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367</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aa5d7bdb3a37d749</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outputs\3d_strategy_v4\512_full_layout\audit\recount.json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9,677</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f45c6490b9d49c8c</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outputs\3d_strategy_v4\512_full_layout\figures\figures_v4_manifest.json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6,902</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5fb7ffaa9b6d0962</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outputs\3d_strategy_v4\512_full_layout\N720\summary.json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5,261</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6bac8e8f2d17e58e</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outputs\3d_strategy_v4\512_full_layout\R720\summary.json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5,260</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08e4e5f3c35a9192</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outputs\3d_strategy_v4\512_full_layout\N1440\summary.json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5,275</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ce649c6483237962</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outputs\3d_strategy_v4\512_full_layout\R1440\summary.json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5,274</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f7252de12b3de8b6</w:t>
            </w:r>
          </w:p>
        </w:tc>
      </w:tr>
      <w:tr>
        <w:trPr>
          <w:cantSplit/>
        </w:trPr>
        <w:tc>
          <w:tcPr>
            <w:tcW w:type="dxa" w:w="5102"/>
            <w:vAlign w:val="center"/>
            <w:tcMar>
              <w:top w:w="70" w:type="dxa"/>
              <w:bottom w:w="70" w:type="dxa"/>
              <w:left w:w="85" w:type="dxa"/>
              <w:right w:w="85" w:type="dxa"/>
            </w:tcMar>
            <w:tcBorders>
              <w:top w:val="nil"/>
              <w:bottom w:val="nil"/>
              <w:left w:val="nil"/>
              <w:right w:val="nil"/>
            </w:tcBorders>
          </w:tcPr>
          <w:p>
            <w:pPr>
              <w:spacing w:before="0" w:after="0" w:line="288" w:lineRule="auto"/>
              <w:jc w:val="left"/>
            </w:pPr>
            <w:r>
              <w:rPr>
                <w:rFonts w:ascii="SimSun" w:hAnsi="SimSun" w:eastAsia="宋体"/>
                <w:b w:val="0"/>
                <w:sz w:val="19"/>
              </w:rPr>
              <w:t>outputs\3d_strategy_v4\512_full_layout\N2880\summary.json</w:t>
            </w:r>
          </w:p>
        </w:tc>
        <w:tc>
          <w:tcPr>
            <w:tcW w:type="dxa" w:w="1474"/>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5,328</w:t>
            </w:r>
          </w:p>
        </w:tc>
        <w:tc>
          <w:tcPr>
            <w:tcW w:type="dxa" w:w="2835"/>
            <w:vAlign w:val="center"/>
            <w:tcMar>
              <w:top w:w="70" w:type="dxa"/>
              <w:bottom w:w="70" w:type="dxa"/>
              <w:left w:w="85" w:type="dxa"/>
              <w:right w:w="85" w:type="dxa"/>
            </w:tcMar>
            <w:tcBorders>
              <w:top w:val="nil"/>
              <w:bottom w:val="nil"/>
              <w:left w:val="nil"/>
              <w:right w:val="nil"/>
            </w:tcBorders>
          </w:tcPr>
          <w:p>
            <w:pPr>
              <w:spacing w:before="0" w:after="0" w:line="288" w:lineRule="auto"/>
              <w:jc w:val="center"/>
            </w:pPr>
            <w:r>
              <w:rPr>
                <w:rFonts w:ascii="SimSun" w:hAnsi="SimSun" w:eastAsia="宋体"/>
                <w:b w:val="0"/>
                <w:sz w:val="19"/>
              </w:rPr>
              <w:t>671b255bbf4c3915</w:t>
            </w:r>
          </w:p>
        </w:tc>
      </w:tr>
      <w:tr>
        <w:trPr>
          <w:cantSplit/>
        </w:trPr>
        <w:tc>
          <w:tcPr>
            <w:tcW w:type="dxa" w:w="5102"/>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left"/>
            </w:pPr>
            <w:r>
              <w:rPr>
                <w:rFonts w:ascii="SimSun" w:hAnsi="SimSun" w:eastAsia="宋体"/>
                <w:b w:val="0"/>
                <w:sz w:val="19"/>
              </w:rPr>
              <w:t>outputs\3d_strategy_v4\512_full_layout\R2880\summary.json</w:t>
            </w:r>
          </w:p>
        </w:tc>
        <w:tc>
          <w:tcPr>
            <w:tcW w:type="dxa" w:w="1474"/>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5,328</w:t>
            </w:r>
          </w:p>
        </w:tc>
        <w:tc>
          <w:tcPr>
            <w:tcW w:type="dxa" w:w="2835"/>
            <w:vAlign w:val="center"/>
            <w:tcMar>
              <w:top w:w="70" w:type="dxa"/>
              <w:bottom w:w="70" w:type="dxa"/>
              <w:left w:w="85" w:type="dxa"/>
              <w:right w:w="85" w:type="dxa"/>
            </w:tcMar>
            <w:tcBorders>
              <w:top w:val="nil"/>
              <w:bottom w:val="single" w:sz="8" w:color="000000"/>
              <w:left w:val="nil"/>
              <w:right w:val="nil"/>
            </w:tcBorders>
          </w:tcPr>
          <w:p>
            <w:pPr>
              <w:spacing w:before="0" w:after="0" w:line="288" w:lineRule="auto"/>
              <w:jc w:val="center"/>
            </w:pPr>
            <w:r>
              <w:rPr>
                <w:rFonts w:ascii="SimSun" w:hAnsi="SimSun" w:eastAsia="宋体"/>
                <w:b w:val="0"/>
                <w:sz w:val="19"/>
              </w:rPr>
              <w:t>bc1fef8df11d13e8</w:t>
            </w:r>
          </w:p>
        </w:tc>
      </w:tr>
    </w:tbl>
    <w:p>
      <w:pPr>
        <w:keepNext/>
        <w:spacing w:line="360" w:lineRule="auto" w:before="40" w:after="80"/>
      </w:pPr>
      <w:r>
        <w:rPr>
          <w:rFonts w:eastAsia="宋体"/>
          <w:sz w:val="18"/>
        </w:rPr>
        <w:t>注：完整哈希与逐图哈希见 figures_v4_manifest.json 与 summary_all_v4.json。</w:t>
      </w:r>
    </w:p>
    <w:p>
      <w:pPr>
        <w:spacing w:line="360" w:lineRule="auto" w:before="40" w:after="80"/>
      </w:pPr>
      <w:r>
        <w:rPr>
          <w:rFonts w:eastAsia="宋体"/>
          <w:sz w:val="18"/>
        </w:rPr>
        <w:t>数据来源：512_full_layout/。</w:t>
      </w:r>
    </w:p>
    <w:sectPr w:rsidR="00FC693F" w:rsidRPr="0006063C" w:rsidSect="00034616">
      <w:headerReference w:type="default" r:id="rId9"/>
      <w:foot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sz w:val="18"/>
      </w:rPr>
      <w:t xml:space="preserve">第 </w:t>
    </w:r>
    <w:fldSimple w:instr="PAGE"/>
    <w:r>
      <w:rPr>
        <w:rFonts w:ascii="SimSun" w:hAnsi="SimSun"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宋体"/>
        <w:sz w:val="18"/>
      </w:rPr>
      <w:t>三维波导布线 v4 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cstheme="minorBidi"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SimSun" w:hAnsi="SimSun" w:eastAsia="宋体"/>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SimSun" w:hAnsi="SimSun" w:eastAsia="宋体"/>
      <w:color w:val="000000"/>
    </w:rPr>
  </w:style>
  <w:style w:type="character" w:customStyle="1" w:styleId="HeaderChar">
    <w:name w:val="Header Char"/>
    <w:basedOn w:val="DefaultParagraphFont"/>
    <w:link w:val="Header"/>
    <w:uiPriority w:val="99"/>
    <w:rsid w:val="00E618BF"/>
    <w:rPr>
      <w:rFonts w:eastAsia="宋体"/>
    </w:rPr>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SimSun" w:hAnsi="SimSun" w:eastAsia="宋体"/>
      <w:color w:val="000000"/>
    </w:rPr>
  </w:style>
  <w:style w:type="character" w:customStyle="1" w:styleId="FooterChar">
    <w:name w:val="Footer Char"/>
    <w:basedOn w:val="DefaultParagraphFont"/>
    <w:link w:val="Footer"/>
    <w:uiPriority w:val="99"/>
    <w:rsid w:val="00E618BF"/>
    <w:rPr>
      <w:rFonts w:eastAsia="宋体"/>
    </w:rPr>
  </w:style>
  <w:style w:type="paragraph" w:styleId="Heading1">
    <w:name w:val="heading 1"/>
    <w:basedOn w:val="Normal"/>
    <w:next w:val="Normal"/>
    <w:link w:val="Heading1Char"/>
    <w:uiPriority w:val="9"/>
    <w:qFormat/>
    <w:rsid w:val="00FC693F"/>
    <w:pPr>
      <w:keepNext/>
      <w:keepLines/>
      <w:widowControl/>
      <w:spacing w:before="200" w:after="120" w:line="360" w:lineRule="auto"/>
      <w:outlineLvl w:val="0"/>
    </w:pPr>
    <w:rPr>
      <w:rFonts w:asciiTheme="majorHAnsi" w:hAnsiTheme="majorHAnsi" w:cstheme="majorBidi" w:ascii="SimSun" w:hAnsi="SimSu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360" w:lineRule="auto"/>
      <w:outlineLvl w:val="1"/>
    </w:pPr>
    <w:rPr>
      <w:rFonts w:asciiTheme="majorHAnsi" w:hAnsiTheme="majorHAnsi" w:cstheme="majorBidi" w:ascii="SimSun" w:hAnsi="SimSu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360" w:lineRule="auto"/>
      <w:outlineLvl w:val="2"/>
    </w:pPr>
    <w:rPr>
      <w:rFonts w:asciiTheme="majorHAnsi" w:hAnsiTheme="majorHAnsi" w:cstheme="majorBidi" w:ascii="SimSun" w:hAnsi="SimSu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宋体"/>
      <w:i/>
      <w:iCs/>
      <w:color w:val="404040" w:themeColor="text1" w:themeTint="BF"/>
      <w:sz w:val="20"/>
      <w:szCs w:val="20"/>
    </w:rPr>
  </w:style>
  <w:style w:type="character" w:default="1" w:styleId="DefaultParagraphFont">
    <w:name w:val="Default Paragraph Font"/>
    <w:uiPriority w:val="1"/>
    <w:semiHidden/>
    <w:unhideWhenUsed/>
    <w:rPr>
      <w:rFonts w:eastAsia="宋体"/>
    </w:rPr>
  </w:style>
  <w:style w:type="table" w:default="1" w:styleId="TableNormal">
    <w:name w:val="Normal Table"/>
    <w:uiPriority w:val="99"/>
    <w:semiHidden/>
    <w:unhideWhenUsed/>
    <w:rPr>
      <w:rFonts w:eastAsia="宋体"/>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宋体"/>
    </w:rPr>
  </w:style>
  <w:style w:type="paragraph" w:styleId="NoSpacing">
    <w:name w:val="No Spacing"/>
    <w:uiPriority w:val="1"/>
    <w:qFormat/>
    <w:rsid w:val="00FC693F"/>
    <w:pPr>
      <w:spacing w:after="0" w:line="240" w:lineRule="auto"/>
    </w:pPr>
    <w:rPr>
      <w:rFonts w:eastAsia="宋体"/>
    </w:rPr>
  </w:style>
  <w:style w:type="character" w:customStyle="1" w:styleId="Heading1Char">
    <w:name w:val="Heading 1 Char"/>
    <w:basedOn w:val="DefaultParagraphFont"/>
    <w:link w:val="Heading1"/>
    <w:uiPriority w:val="9"/>
    <w:rsid w:val="00FC693F"/>
    <w:rPr>
      <w:rFonts w:asciiTheme="majorHAnsi" w:hAnsiTheme="majorHAnsi" w:cstheme="majorBidi" w:eastAsia="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宋体"/>
      <w:b/>
      <w:bCs/>
      <w:color w:val="4F81BD" w:themeColor="accent1"/>
    </w:rPr>
  </w:style>
  <w:style w:type="paragraph" w:styleId="Title">
    <w:name w:val="Title"/>
    <w:basedOn w:val="Normal"/>
    <w:next w:val="Normal"/>
    <w:link w:val="TitleChar"/>
    <w:uiPriority w:val="10"/>
    <w:qFormat/>
    <w:rsid w:val="00FC693F"/>
    <w:pPr>
      <w:widowControl/>
      <w:spacing w:after="160" w:line="360" w:lineRule="auto"/>
      <w:contextualSpacing/>
    </w:pPr>
    <w:rPr>
      <w:rFonts w:asciiTheme="majorHAnsi" w:hAnsiTheme="majorHAnsi" w:cstheme="majorBidi" w:ascii="SimSun" w:hAnsi="SimSun" w:eastAsia="宋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hAnsiTheme="majorHAnsi" w:cstheme="majorBidi" w:eastAsia="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宋体"/>
    </w:rPr>
  </w:style>
  <w:style w:type="paragraph" w:styleId="BodyText">
    <w:name w:val="Body Text"/>
    <w:basedOn w:val="Normal"/>
    <w:link w:val="BodyTextChar"/>
    <w:uiPriority w:val="99"/>
    <w:unhideWhenUsed/>
    <w:rsid w:val="00AA1D8D"/>
    <w:pPr>
      <w:spacing w:after="120"/>
    </w:pPr>
    <w:rPr>
      <w:rFonts w:eastAsia="宋体"/>
    </w:rPr>
  </w:style>
  <w:style w:type="character" w:customStyle="1" w:styleId="BodyTextChar">
    <w:name w:val="Body Text Char"/>
    <w:basedOn w:val="DefaultParagraphFont"/>
    <w:link w:val="BodyText"/>
    <w:uiPriority w:val="99"/>
    <w:rsid w:val="00AA1D8D"/>
    <w:rPr>
      <w:rFonts w:eastAsia="宋体"/>
    </w:rPr>
  </w:style>
  <w:style w:type="paragraph" w:styleId="BodyText2">
    <w:name w:val="Body Text 2"/>
    <w:basedOn w:val="Normal"/>
    <w:link w:val="BodyText2Char"/>
    <w:uiPriority w:val="99"/>
    <w:unhideWhenUsed/>
    <w:rsid w:val="00AA1D8D"/>
    <w:pPr>
      <w:spacing w:after="120" w:line="480" w:lineRule="auto"/>
    </w:pPr>
    <w:rPr>
      <w:rFonts w:eastAsia="宋体"/>
    </w:rPr>
  </w:style>
  <w:style w:type="character" w:customStyle="1" w:styleId="BodyText2Char">
    <w:name w:val="Body Text 2 Char"/>
    <w:basedOn w:val="DefaultParagraphFont"/>
    <w:link w:val="BodyText2"/>
    <w:uiPriority w:val="99"/>
    <w:rsid w:val="00AA1D8D"/>
    <w:rPr>
      <w:rFonts w:eastAsia="宋体"/>
    </w:rPr>
  </w:style>
  <w:style w:type="paragraph" w:styleId="BodyText3">
    <w:name w:val="Body Text 3"/>
    <w:basedOn w:val="Normal"/>
    <w:link w:val="BodyText3Char"/>
    <w:uiPriority w:val="99"/>
    <w:unhideWhenUsed/>
    <w:rsid w:val="00AA1D8D"/>
    <w:pPr>
      <w:spacing w:after="120"/>
    </w:pPr>
    <w:rPr>
      <w:rFonts w:eastAsia="宋体"/>
      <w:sz w:val="16"/>
      <w:szCs w:val="16"/>
    </w:rPr>
  </w:style>
  <w:style w:type="character" w:customStyle="1" w:styleId="BodyText3Char">
    <w:name w:val="Body Text 3 Char"/>
    <w:basedOn w:val="DefaultParagraphFont"/>
    <w:link w:val="BodyText3"/>
    <w:uiPriority w:val="99"/>
    <w:rsid w:val="00AA1D8D"/>
    <w:rPr>
      <w:rFonts w:eastAsia="宋体"/>
      <w:sz w:val="16"/>
      <w:szCs w:val="16"/>
    </w:rPr>
  </w:style>
  <w:style w:type="paragraph" w:styleId="List">
    <w:name w:val="List"/>
    <w:basedOn w:val="Normal"/>
    <w:uiPriority w:val="99"/>
    <w:unhideWhenUsed/>
    <w:rsid w:val="00AA1D8D"/>
    <w:pPr>
      <w:ind w:left="360" w:hanging="360"/>
      <w:contextualSpacing/>
    </w:pPr>
    <w:rPr>
      <w:rFonts w:eastAsia="宋体"/>
    </w:rPr>
  </w:style>
  <w:style w:type="paragraph" w:styleId="List2">
    <w:name w:val="List 2"/>
    <w:basedOn w:val="Normal"/>
    <w:uiPriority w:val="99"/>
    <w:unhideWhenUsed/>
    <w:rsid w:val="00326F90"/>
    <w:pPr>
      <w:ind w:left="720" w:hanging="360"/>
      <w:contextualSpacing/>
    </w:pPr>
    <w:rPr>
      <w:rFonts w:eastAsia="宋体"/>
    </w:rPr>
  </w:style>
  <w:style w:type="paragraph" w:styleId="List3">
    <w:name w:val="List 3"/>
    <w:basedOn w:val="Normal"/>
    <w:uiPriority w:val="99"/>
    <w:unhideWhenUsed/>
    <w:rsid w:val="00326F90"/>
    <w:pPr>
      <w:ind w:left="1080" w:hanging="360"/>
      <w:contextualSpacing/>
    </w:pPr>
    <w:rPr>
      <w:rFonts w:eastAsia="宋体"/>
    </w:rPr>
  </w:style>
  <w:style w:type="paragraph" w:styleId="ListBullet">
    <w:name w:val="List Bullet"/>
    <w:basedOn w:val="Normal"/>
    <w:uiPriority w:val="99"/>
    <w:unhideWhenUsed/>
    <w:rsid w:val="00326F90"/>
    <w:pPr>
      <w:numPr>
        <w:numId w:val="1"/>
      </w:numPr>
      <w:contextualSpacing/>
    </w:pPr>
    <w:rPr>
      <w:rFonts w:eastAsia="宋体"/>
    </w:rPr>
  </w:style>
  <w:style w:type="paragraph" w:styleId="ListBullet2">
    <w:name w:val="List Bullet 2"/>
    <w:basedOn w:val="Normal"/>
    <w:uiPriority w:val="99"/>
    <w:unhideWhenUsed/>
    <w:rsid w:val="00326F90"/>
    <w:pPr>
      <w:numPr>
        <w:numId w:val="2"/>
      </w:numPr>
      <w:contextualSpacing/>
    </w:pPr>
    <w:rPr>
      <w:rFonts w:eastAsia="宋体"/>
    </w:rPr>
  </w:style>
  <w:style w:type="paragraph" w:styleId="ListBullet3">
    <w:name w:val="List Bullet 3"/>
    <w:basedOn w:val="Normal"/>
    <w:uiPriority w:val="99"/>
    <w:unhideWhenUsed/>
    <w:rsid w:val="00326F90"/>
    <w:pPr>
      <w:numPr>
        <w:numId w:val="3"/>
      </w:numPr>
      <w:contextualSpacing/>
    </w:pPr>
    <w:rPr>
      <w:rFonts w:eastAsia="宋体"/>
    </w:rPr>
  </w:style>
  <w:style w:type="paragraph" w:styleId="ListNumber">
    <w:name w:val="List Number"/>
    <w:basedOn w:val="Normal"/>
    <w:uiPriority w:val="99"/>
    <w:unhideWhenUsed/>
    <w:rsid w:val="00326F90"/>
    <w:pPr>
      <w:numPr>
        <w:numId w:val="5"/>
      </w:numPr>
      <w:contextualSpacing/>
    </w:pPr>
    <w:rPr>
      <w:rFonts w:eastAsia="宋体"/>
    </w:rPr>
  </w:style>
  <w:style w:type="paragraph" w:styleId="ListNumber2">
    <w:name w:val="List Number 2"/>
    <w:basedOn w:val="Normal"/>
    <w:uiPriority w:val="99"/>
    <w:unhideWhenUsed/>
    <w:rsid w:val="0029639D"/>
    <w:pPr>
      <w:numPr>
        <w:numId w:val="6"/>
      </w:numPr>
      <w:contextualSpacing/>
    </w:pPr>
    <w:rPr>
      <w:rFonts w:eastAsia="宋体"/>
    </w:rPr>
  </w:style>
  <w:style w:type="paragraph" w:styleId="ListNumber3">
    <w:name w:val="List Number 3"/>
    <w:basedOn w:val="Normal"/>
    <w:uiPriority w:val="99"/>
    <w:unhideWhenUsed/>
    <w:rsid w:val="0029639D"/>
    <w:pPr>
      <w:numPr>
        <w:numId w:val="7"/>
      </w:numPr>
      <w:contextualSpacing/>
    </w:pPr>
    <w:rPr>
      <w:rFonts w:eastAsia="宋体"/>
    </w:rPr>
  </w:style>
  <w:style w:type="paragraph" w:styleId="ListContinue">
    <w:name w:val="List Continue"/>
    <w:basedOn w:val="Normal"/>
    <w:uiPriority w:val="99"/>
    <w:unhideWhenUsed/>
    <w:rsid w:val="0029639D"/>
    <w:pPr>
      <w:spacing w:after="120"/>
      <w:ind w:left="360"/>
      <w:contextualSpacing/>
    </w:pPr>
    <w:rPr>
      <w:rFonts w:eastAsia="宋体"/>
    </w:rPr>
  </w:style>
  <w:style w:type="paragraph" w:styleId="ListContinue2">
    <w:name w:val="List Continue 2"/>
    <w:basedOn w:val="Normal"/>
    <w:uiPriority w:val="99"/>
    <w:unhideWhenUsed/>
    <w:rsid w:val="0029639D"/>
    <w:pPr>
      <w:spacing w:after="120"/>
      <w:ind w:left="720"/>
      <w:contextualSpacing/>
    </w:pPr>
    <w:rPr>
      <w:rFonts w:eastAsia="宋体"/>
    </w:rPr>
  </w:style>
  <w:style w:type="paragraph" w:styleId="ListContinue3">
    <w:name w:val="List Continue 3"/>
    <w:basedOn w:val="Normal"/>
    <w:uiPriority w:val="99"/>
    <w:unhideWhenUsed/>
    <w:rsid w:val="0029639D"/>
    <w:pPr>
      <w:spacing w:after="120"/>
      <w:ind w:left="1080"/>
      <w:contextualSpacing/>
    </w:pPr>
    <w:rPr>
      <w:rFonts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宋体"/>
      <w:sz w:val="20"/>
      <w:szCs w:val="20"/>
    </w:rPr>
  </w:style>
  <w:style w:type="character" w:customStyle="1" w:styleId="MacroTextChar">
    <w:name w:val="Macro Text Char"/>
    <w:basedOn w:val="DefaultParagraphFont"/>
    <w:link w:val="MacroText"/>
    <w:uiPriority w:val="99"/>
    <w:rsid w:val="0029639D"/>
    <w:rPr>
      <w:rFonts w:ascii="Courier" w:hAnsi="Courier" w:eastAsia="宋体"/>
      <w:sz w:val="20"/>
      <w:szCs w:val="20"/>
    </w:rPr>
  </w:style>
  <w:style w:type="paragraph" w:styleId="Quote">
    <w:name w:val="Quote"/>
    <w:basedOn w:val="Normal"/>
    <w:next w:val="Normal"/>
    <w:link w:val="QuoteChar"/>
    <w:uiPriority w:val="29"/>
    <w:qFormat/>
    <w:rsid w:val="00FC693F"/>
    <w:rPr>
      <w:rFonts w:eastAsia="宋体"/>
      <w:i/>
      <w:iCs/>
      <w:color w:val="000000" w:themeColor="text1"/>
    </w:rPr>
  </w:style>
  <w:style w:type="character" w:customStyle="1" w:styleId="QuoteChar">
    <w:name w:val="Quote Char"/>
    <w:basedOn w:val="DefaultParagraphFont"/>
    <w:link w:val="Quote"/>
    <w:uiPriority w:val="29"/>
    <w:rsid w:val="00FC693F"/>
    <w:rPr>
      <w:rFonts w:eastAsia="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宋体"/>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88" w:lineRule="auto" w:after="120"/>
    </w:pPr>
    <w:rPr>
      <w:rFonts w:ascii="SimSun" w:hAnsi="SimSun" w:eastAsia="宋体"/>
      <w:b w:val="0"/>
      <w:bCs/>
      <w:i w:val="0"/>
      <w:color w:val="000000"/>
      <w:sz w:val="20"/>
      <w:szCs w:val="18"/>
    </w:rPr>
  </w:style>
  <w:style w:type="character" w:styleId="Strong">
    <w:name w:val="Strong"/>
    <w:basedOn w:val="DefaultParagraphFont"/>
    <w:uiPriority w:val="22"/>
    <w:qFormat/>
    <w:rsid w:val="00FC693F"/>
    <w:rPr>
      <w:rFonts w:eastAsia="宋体"/>
      <w:b/>
      <w:bCs/>
    </w:rPr>
  </w:style>
  <w:style w:type="character" w:styleId="Emphasis">
    <w:name w:val="Emphasis"/>
    <w:basedOn w:val="DefaultParagraphFont"/>
    <w:uiPriority w:val="20"/>
    <w:qFormat/>
    <w:rsid w:val="00FC693F"/>
    <w:rPr>
      <w:rFonts w:eastAsia="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宋体"/>
      <w:b/>
      <w:bCs/>
      <w:i/>
      <w:iCs/>
      <w:color w:val="4F81BD" w:themeColor="accent1"/>
    </w:rPr>
  </w:style>
  <w:style w:type="character" w:customStyle="1" w:styleId="IntenseQuoteChar">
    <w:name w:val="Intense Quote Char"/>
    <w:basedOn w:val="DefaultParagraphFont"/>
    <w:link w:val="IntenseQuote"/>
    <w:uiPriority w:val="30"/>
    <w:rsid w:val="00FC693F"/>
    <w:rPr>
      <w:rFonts w:eastAsia="宋体"/>
      <w:b/>
      <w:bCs/>
      <w:i/>
      <w:iCs/>
      <w:color w:val="4F81BD" w:themeColor="accent1"/>
    </w:rPr>
  </w:style>
  <w:style w:type="character" w:styleId="SubtleEmphasis">
    <w:name w:val="Subtle Emphasis"/>
    <w:basedOn w:val="DefaultParagraphFont"/>
    <w:uiPriority w:val="19"/>
    <w:qFormat/>
    <w:rsid w:val="00FC693F"/>
    <w:rPr>
      <w:rFonts w:eastAsia="宋体"/>
      <w:i/>
      <w:iCs/>
      <w:color w:val="808080" w:themeColor="text1" w:themeTint="7F"/>
    </w:rPr>
  </w:style>
  <w:style w:type="character" w:styleId="IntenseEmphasis">
    <w:name w:val="Intense Emphasis"/>
    <w:basedOn w:val="DefaultParagraphFont"/>
    <w:uiPriority w:val="21"/>
    <w:qFormat/>
    <w:rsid w:val="00FC693F"/>
    <w:rPr>
      <w:rFonts w:eastAsia="宋体"/>
      <w:b/>
      <w:bCs/>
      <w:i/>
      <w:iCs/>
      <w:color w:val="4F81BD" w:themeColor="accent1"/>
    </w:rPr>
  </w:style>
  <w:style w:type="character" w:styleId="SubtleReference">
    <w:name w:val="Subtle Reference"/>
    <w:basedOn w:val="DefaultParagraphFont"/>
    <w:uiPriority w:val="31"/>
    <w:qFormat/>
    <w:rsid w:val="00FC693F"/>
    <w:rPr>
      <w:rFonts w:eastAsia="宋体"/>
      <w:smallCaps/>
      <w:color w:val="C0504D" w:themeColor="accent2"/>
      <w:u w:val="single"/>
    </w:rPr>
  </w:style>
  <w:style w:type="character" w:styleId="IntenseReference">
    <w:name w:val="Intense Reference"/>
    <w:basedOn w:val="DefaultParagraphFont"/>
    <w:uiPriority w:val="32"/>
    <w:qFormat/>
    <w:rsid w:val="00FC693F"/>
    <w:rPr>
      <w:rFonts w:eastAsia="宋体"/>
      <w:b/>
      <w:bCs/>
      <w:smallCaps/>
      <w:color w:val="C0504D" w:themeColor="accent2"/>
      <w:spacing w:val="5"/>
      <w:u w:val="single"/>
    </w:rPr>
  </w:style>
  <w:style w:type="character" w:styleId="BookTitle">
    <w:name w:val="Book Title"/>
    <w:basedOn w:val="DefaultParagraphFont"/>
    <w:uiPriority w:val="33"/>
    <w:qFormat/>
    <w:rsid w:val="00FC693F"/>
    <w:rPr>
      <w:rFonts w:eastAsia="宋体"/>
      <w:b/>
      <w:bCs/>
      <w:smallCaps/>
      <w:spacing w:val="5"/>
    </w:rPr>
  </w:style>
  <w:style w:type="paragraph" w:styleId="TOCHeading">
    <w:name w:val="TOC Heading"/>
    <w:basedOn w:val="Heading1"/>
    <w:next w:val="Normal"/>
    <w:uiPriority w:val="39"/>
    <w:semiHidden/>
    <w:unhideWhenUsed/>
    <w:qFormat/>
    <w:rsid w:val="00FC693F"/>
    <w:pPr>
      <w:outlineLvl w:val="9"/>
    </w:pPr>
    <w:rPr>
      <w:rFonts w:eastAsia="宋体"/>
    </w:rPr>
  </w:style>
  <w:style w:type="table" w:styleId="TableGrid">
    <w:name w:val="Table Grid"/>
    <w:basedOn w:val="TableNormal"/>
    <w:uiPriority w:val="59"/>
    <w:rsid w:val="00FC693F"/>
    <w:pPr>
      <w:spacing w:after="0" w:line="240" w:lineRule="auto"/>
    </w:pPr>
    <w:rPr>
      <w:rFonts w:eastAsia="宋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eastAsia="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eastAsia="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eastAsia="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eastAsia="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eastAsia="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eastAsia="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eastAsia="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eastAsia="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eastAsia="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eastAsia="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eastAsia="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eastAsia="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eastAsia="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eastAsia="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eastAsia="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eastAsia="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eastAsia="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eastAsia="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eastAsia="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eastAsia="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eastAsia="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eastAsia="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eastAsia="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eastAsia="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eastAsia="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eastAsia="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eastAsia="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eastAsia="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三维波导布线v4实验报告</dc:title>
  <dc:subject>三维波导布线 v4：瓶颈审计、全布局优化与六组追加预算</dc:subject>
  <dc:creator>李昊伦</dc:creator>
  <cp:keywords/>
  <dc:description>generated by python-docx</dc:description>
  <cp:lastModifiedBy/>
  <cp:revision>1</cp:revision>
  <dcterms:created xsi:type="dcterms:W3CDTF">2013-12-23T23:15:00Z</dcterms:created>
  <dcterms:modified xsi:type="dcterms:W3CDTF">2013-12-23T23:15:00Z</dcterms:modified>
  <cp:category/>
</cp:coreProperties>
</file>