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02BC84" w14:textId="3ED7F6B4" w:rsidR="006D5E28" w:rsidRDefault="009B0D56" w:rsidP="009B0D56">
      <w:pPr>
        <w:pStyle w:val="1"/>
        <w:jc w:val="center"/>
      </w:pPr>
      <w:r>
        <w:rPr>
          <w:rFonts w:hint="eastAsia"/>
        </w:rPr>
        <w:t>广西农民工市民</w:t>
      </w:r>
      <w:proofErr w:type="gramStart"/>
      <w:r>
        <w:rPr>
          <w:rFonts w:hint="eastAsia"/>
        </w:rPr>
        <w:t>化成本</w:t>
      </w:r>
      <w:proofErr w:type="gramEnd"/>
      <w:r>
        <w:rPr>
          <w:rFonts w:hint="eastAsia"/>
        </w:rPr>
        <w:t>测算</w:t>
      </w:r>
    </w:p>
    <w:p w14:paraId="7E203A11" w14:textId="3E6FC0EC" w:rsidR="005C1144" w:rsidRDefault="005C1144" w:rsidP="005C1144">
      <w:r>
        <w:rPr>
          <w:rFonts w:hint="eastAsia"/>
        </w:rPr>
        <w:t>摘要:以广西壮族自治区的南宁、柳州、来宾三市为研究对象，探讨广西新型城镇化现状</w:t>
      </w:r>
      <w:r w:rsidR="00D20489">
        <w:rPr>
          <w:rFonts w:hint="eastAsia"/>
        </w:rPr>
        <w:t>，建立农民工市民</w:t>
      </w:r>
      <w:proofErr w:type="gramStart"/>
      <w:r w:rsidR="00D20489">
        <w:rPr>
          <w:rFonts w:hint="eastAsia"/>
        </w:rPr>
        <w:t>化成本</w:t>
      </w:r>
      <w:proofErr w:type="gramEnd"/>
      <w:r w:rsidR="00D20489">
        <w:rPr>
          <w:rFonts w:hint="eastAsia"/>
        </w:rPr>
        <w:t>测算的指标与模型，得出三市的农民工市民</w:t>
      </w:r>
      <w:proofErr w:type="gramStart"/>
      <w:r w:rsidR="00D20489">
        <w:rPr>
          <w:rFonts w:hint="eastAsia"/>
        </w:rPr>
        <w:t>化成本</w:t>
      </w:r>
      <w:proofErr w:type="gramEnd"/>
      <w:r w:rsidR="00D20489">
        <w:rPr>
          <w:rFonts w:hint="eastAsia"/>
        </w:rPr>
        <w:t>分别为</w:t>
      </w:r>
      <w:r w:rsidR="00D20489">
        <w:rPr>
          <w:rFonts w:hint="eastAsia"/>
        </w:rPr>
        <w:t>174556</w:t>
      </w:r>
      <w:r w:rsidR="00D20489">
        <w:rPr>
          <w:rFonts w:hint="eastAsia"/>
        </w:rPr>
        <w:t>元、</w:t>
      </w:r>
      <w:r w:rsidR="00D20489">
        <w:rPr>
          <w:rFonts w:hint="eastAsia"/>
        </w:rPr>
        <w:t>150417.3</w:t>
      </w:r>
      <w:r w:rsidR="00D20489">
        <w:rPr>
          <w:rFonts w:hint="eastAsia"/>
        </w:rPr>
        <w:t>元、</w:t>
      </w:r>
      <w:r w:rsidR="00D20489">
        <w:rPr>
          <w:rFonts w:hint="eastAsia"/>
        </w:rPr>
        <w:t>124088.7</w:t>
      </w:r>
      <w:r w:rsidR="00D20489">
        <w:rPr>
          <w:rFonts w:hint="eastAsia"/>
        </w:rPr>
        <w:t>元。并以此结果为基础提出了市民</w:t>
      </w:r>
      <w:proofErr w:type="gramStart"/>
      <w:r w:rsidR="00D20489">
        <w:rPr>
          <w:rFonts w:hint="eastAsia"/>
        </w:rPr>
        <w:t>化成本</w:t>
      </w:r>
      <w:proofErr w:type="gramEnd"/>
      <w:r w:rsidR="00D20489">
        <w:rPr>
          <w:rFonts w:hint="eastAsia"/>
        </w:rPr>
        <w:t>合理分担与加快推进广西新型城镇化与经济社会转型的政策建议。</w:t>
      </w:r>
    </w:p>
    <w:p w14:paraId="6048F83F" w14:textId="0E853CED" w:rsidR="00D20489" w:rsidRDefault="00D20489" w:rsidP="005C1144">
      <w:r>
        <w:rPr>
          <w:rFonts w:hint="eastAsia"/>
        </w:rPr>
        <w:t>关键词：农民工</w:t>
      </w:r>
      <w:bookmarkStart w:id="0" w:name="_GoBack"/>
      <w:bookmarkEnd w:id="0"/>
      <w:r>
        <w:rPr>
          <w:rFonts w:hint="eastAsia"/>
        </w:rPr>
        <w:t>市民化；成本测算；广西；农民工</w:t>
      </w:r>
      <w:r w:rsidR="00B45F07">
        <w:rPr>
          <w:rFonts w:hint="eastAsia"/>
        </w:rPr>
        <w:t>；</w:t>
      </w:r>
      <w:r>
        <w:rPr>
          <w:rFonts w:hint="eastAsia"/>
        </w:rPr>
        <w:t>新型城镇化</w:t>
      </w:r>
    </w:p>
    <w:p w14:paraId="289595C1" w14:textId="77777777" w:rsidR="00D20489" w:rsidRDefault="00D20489" w:rsidP="005C1144">
      <w:pPr>
        <w:rPr>
          <w:rFonts w:hint="eastAsia"/>
        </w:rPr>
      </w:pPr>
    </w:p>
    <w:p w14:paraId="14899297" w14:textId="2D5BB269" w:rsidR="00D20489" w:rsidRDefault="00D20489" w:rsidP="00D20489">
      <w:pPr>
        <w:pStyle w:val="1"/>
        <w:jc w:val="center"/>
      </w:pPr>
      <w:r w:rsidRPr="00D20489">
        <w:t xml:space="preserve">The calculation of the cost of the </w:t>
      </w:r>
      <w:proofErr w:type="spellStart"/>
      <w:r w:rsidRPr="00D20489">
        <w:t>citizenization</w:t>
      </w:r>
      <w:proofErr w:type="spellEnd"/>
      <w:r w:rsidRPr="00D20489">
        <w:t xml:space="preserve"> of the migrant workers in Guangxi</w:t>
      </w:r>
    </w:p>
    <w:p w14:paraId="31D81E58" w14:textId="5D4A19A2" w:rsidR="00D20489" w:rsidRDefault="00D20489" w:rsidP="00D20489">
      <w:r w:rsidRPr="00B45F07">
        <w:rPr>
          <w:b/>
        </w:rPr>
        <w:t>Abstract</w:t>
      </w:r>
      <w:r w:rsidRPr="00D20489">
        <w:t xml:space="preserve">: Taking the three cities of Nanning, Liuzhou and </w:t>
      </w:r>
      <w:proofErr w:type="spellStart"/>
      <w:r w:rsidRPr="00D20489">
        <w:t>Laibin</w:t>
      </w:r>
      <w:proofErr w:type="spellEnd"/>
      <w:r w:rsidRPr="00D20489">
        <w:t xml:space="preserve"> in the Guangxi Zhuang Autonomous Region as the research object, the present situation of the new urbanization in Guangxi is discussed, and the index and model of the calculation of the cost of the </w:t>
      </w:r>
      <w:proofErr w:type="spellStart"/>
      <w:r w:rsidRPr="00D20489">
        <w:t>citizenization</w:t>
      </w:r>
      <w:proofErr w:type="spellEnd"/>
      <w:r w:rsidRPr="00D20489">
        <w:t xml:space="preserve"> of the migrant workers are set up, and the cost of the </w:t>
      </w:r>
      <w:proofErr w:type="spellStart"/>
      <w:r w:rsidRPr="00D20489">
        <w:t>citizenization</w:t>
      </w:r>
      <w:proofErr w:type="spellEnd"/>
      <w:r w:rsidRPr="00D20489">
        <w:t xml:space="preserve"> of the migrant workers in the three cities is 174556 yuan, 150417.3 yuan and 124088.7 yuan respectively. On the basis of the above findings, the paper puts forward some policy suggestions on the rational sharing of the cost of urbanization and the acceleration of new urbanization and economic and social transformation in Guangxi.</w:t>
      </w:r>
    </w:p>
    <w:p w14:paraId="1760D668" w14:textId="526C0ED6" w:rsidR="00D20489" w:rsidRPr="00B45F07" w:rsidRDefault="00B45F07" w:rsidP="00D20489">
      <w:pPr>
        <w:rPr>
          <w:rFonts w:hint="eastAsia"/>
        </w:rPr>
      </w:pPr>
      <w:r w:rsidRPr="00B45F07">
        <w:rPr>
          <w:b/>
        </w:rPr>
        <w:t>Keywords:</w:t>
      </w:r>
      <w:r w:rsidRPr="00B45F07">
        <w:t xml:space="preserve"> </w:t>
      </w:r>
      <w:proofErr w:type="spellStart"/>
      <w:r w:rsidRPr="00B45F07">
        <w:t>citizenization</w:t>
      </w:r>
      <w:proofErr w:type="spellEnd"/>
      <w:r w:rsidRPr="00B45F07">
        <w:t xml:space="preserve"> of migrant workers; cost estimation; Guangxi; migrant workers; new urbanization.</w:t>
      </w:r>
    </w:p>
    <w:p w14:paraId="53E1584D" w14:textId="77777777" w:rsidR="00D20489" w:rsidRPr="005C1144" w:rsidRDefault="00D20489" w:rsidP="005C1144">
      <w:pPr>
        <w:rPr>
          <w:rFonts w:hint="eastAsia"/>
        </w:rPr>
      </w:pPr>
    </w:p>
    <w:p w14:paraId="39A7318F" w14:textId="1EEE4A6D" w:rsidR="009B0D56" w:rsidRDefault="00855326" w:rsidP="00855326">
      <w:pPr>
        <w:pStyle w:val="2"/>
      </w:pPr>
      <w:r>
        <w:rPr>
          <w:rFonts w:hint="eastAsia"/>
        </w:rPr>
        <w:t>1、</w:t>
      </w:r>
      <w:r w:rsidR="009B0D56">
        <w:rPr>
          <w:rFonts w:hint="eastAsia"/>
        </w:rPr>
        <w:t>引言</w:t>
      </w:r>
    </w:p>
    <w:p w14:paraId="74B3F5C2" w14:textId="31827A21" w:rsidR="008679FB" w:rsidRDefault="009B0D56" w:rsidP="009B0D56">
      <w:pPr>
        <w:ind w:firstLine="420"/>
      </w:pPr>
      <w:r>
        <w:rPr>
          <w:rFonts w:hint="eastAsia"/>
        </w:rPr>
        <w:t>根据我国2017年国民经济和社会发展统计公报，我国在2017年</w:t>
      </w:r>
      <w:r w:rsidR="009949CF">
        <w:rPr>
          <w:rFonts w:hint="eastAsia"/>
        </w:rPr>
        <w:t>年</w:t>
      </w:r>
      <w:proofErr w:type="gramStart"/>
      <w:r w:rsidR="009949CF">
        <w:rPr>
          <w:rFonts w:hint="eastAsia"/>
        </w:rPr>
        <w:t>底</w:t>
      </w:r>
      <w:r>
        <w:rPr>
          <w:rFonts w:hint="eastAsia"/>
        </w:rPr>
        <w:t>全国</w:t>
      </w:r>
      <w:proofErr w:type="gramEnd"/>
      <w:r>
        <w:rPr>
          <w:rFonts w:hint="eastAsia"/>
        </w:rPr>
        <w:t>大陆总人口13</w:t>
      </w:r>
      <w:r w:rsidR="009949CF">
        <w:t>.</w:t>
      </w:r>
      <w:r>
        <w:rPr>
          <w:rFonts w:hint="eastAsia"/>
        </w:rPr>
        <w:t>9</w:t>
      </w:r>
      <w:r w:rsidR="009949CF">
        <w:rPr>
          <w:rFonts w:hint="eastAsia"/>
        </w:rPr>
        <w:t>亿</w:t>
      </w:r>
      <w:r>
        <w:rPr>
          <w:rFonts w:hint="eastAsia"/>
        </w:rPr>
        <w:t>人，比上年末增加737万人，其中城镇常住人口</w:t>
      </w:r>
      <w:r w:rsidR="009949CF">
        <w:rPr>
          <w:rFonts w:hint="eastAsia"/>
        </w:rPr>
        <w:t>约</w:t>
      </w:r>
      <w:r>
        <w:rPr>
          <w:rFonts w:hint="eastAsia"/>
        </w:rPr>
        <w:t>8</w:t>
      </w:r>
      <w:r w:rsidR="009949CF">
        <w:t>.</w:t>
      </w:r>
      <w:r>
        <w:rPr>
          <w:rFonts w:hint="eastAsia"/>
        </w:rPr>
        <w:t>1</w:t>
      </w:r>
      <w:r w:rsidR="009949CF">
        <w:rPr>
          <w:rFonts w:hint="eastAsia"/>
        </w:rPr>
        <w:t>4亿</w:t>
      </w:r>
      <w:r>
        <w:rPr>
          <w:rFonts w:hint="eastAsia"/>
        </w:rPr>
        <w:t>人，占总人口比重（常住人口城镇化率）为58.25%，比上年末提高1.17</w:t>
      </w:r>
      <w:r w:rsidR="009949CF">
        <w:rPr>
          <w:rFonts w:hint="eastAsia"/>
        </w:rPr>
        <w:t>个百分点</w:t>
      </w:r>
      <w:r>
        <w:rPr>
          <w:rFonts w:hint="eastAsia"/>
        </w:rPr>
        <w:t>。户籍人口</w:t>
      </w:r>
      <w:r w:rsidR="009949CF">
        <w:rPr>
          <w:rFonts w:hint="eastAsia"/>
        </w:rPr>
        <w:t>的</w:t>
      </w:r>
      <w:r>
        <w:rPr>
          <w:rFonts w:hint="eastAsia"/>
        </w:rPr>
        <w:t>城镇化率为42.35%，比上年末提高1.15个百分点。</w:t>
      </w:r>
      <w:r w:rsidR="00C5490A">
        <w:rPr>
          <w:rFonts w:hint="eastAsia"/>
        </w:rPr>
        <w:t>虽然城镇化率逐年升高，但我国城镇还有着大量人户分离的农民工，这些农民工一部分是随着改革开放第一批来到城市工作的第一代农民工，还有一部分是这些第一代农民工的子女和亲属，而且这些新生代农民工所占的比重也开始超越了第一代农民工，与第一代农民工相比，新生代农民工生活环境，生活方式</w:t>
      </w:r>
      <w:r w:rsidR="009F7B81">
        <w:rPr>
          <w:rFonts w:hint="eastAsia"/>
        </w:rPr>
        <w:t>早已大大改变，习惯了城市的生活，在</w:t>
      </w:r>
      <w:proofErr w:type="gramStart"/>
      <w:r w:rsidR="009F7B81">
        <w:rPr>
          <w:rFonts w:hint="eastAsia"/>
        </w:rPr>
        <w:t>乡下也</w:t>
      </w:r>
      <w:proofErr w:type="gramEnd"/>
      <w:r w:rsidR="009F7B81">
        <w:rPr>
          <w:rFonts w:hint="eastAsia"/>
        </w:rPr>
        <w:t>没有自己的土地，如果不能解决这些农民工的生存就业问题，将会为我国带来十分严重的社会问题。而我国也逐渐把解决农民工市民化的问题提上了工作日程，在2014年3月16日，新华社发布了</w:t>
      </w:r>
      <w:r w:rsidR="009949CF">
        <w:rPr>
          <w:rFonts w:hint="eastAsia"/>
        </w:rPr>
        <w:t>《</w:t>
      </w:r>
      <w:r w:rsidR="009F7B81">
        <w:t>国家新型城镇化规划（2014—2020年）》</w:t>
      </w:r>
      <w:r w:rsidR="009F7B81">
        <w:rPr>
          <w:rFonts w:hint="eastAsia"/>
        </w:rPr>
        <w:t>，该《规划》</w:t>
      </w:r>
      <w:r w:rsidR="009F7B81">
        <w:rPr>
          <w:rFonts w:hint="eastAsia"/>
        </w:rPr>
        <w:lastRenderedPageBreak/>
        <w:t>明确提出了要</w:t>
      </w:r>
      <w:r w:rsidR="00834899">
        <w:rPr>
          <w:rFonts w:hint="eastAsia"/>
        </w:rPr>
        <w:t>合理</w:t>
      </w:r>
      <w:r w:rsidR="009F7B81" w:rsidRPr="009F7B81">
        <w:rPr>
          <w:rFonts w:hint="eastAsia"/>
        </w:rPr>
        <w:t>有序</w:t>
      </w:r>
      <w:r w:rsidR="00834899">
        <w:rPr>
          <w:rFonts w:hint="eastAsia"/>
        </w:rPr>
        <w:t>的</w:t>
      </w:r>
      <w:r w:rsidR="009F7B81" w:rsidRPr="009F7B81">
        <w:rPr>
          <w:rFonts w:hint="eastAsia"/>
        </w:rPr>
        <w:t>推进农业转移人口市民化、</w:t>
      </w:r>
      <w:r w:rsidR="009F7B81" w:rsidRPr="009F7B81">
        <w:t>优化城镇化</w:t>
      </w:r>
      <w:r w:rsidR="003346B4">
        <w:rPr>
          <w:rFonts w:hint="eastAsia"/>
        </w:rPr>
        <w:t>构造</w:t>
      </w:r>
      <w:r w:rsidR="009F7B81" w:rsidRPr="009F7B81">
        <w:t>和形态、提高城市可持续发展能力、推动城乡发展一体化、改革完善城镇化发展体制机制</w:t>
      </w:r>
      <w:r w:rsidR="009F7B81">
        <w:rPr>
          <w:rFonts w:hint="eastAsia"/>
        </w:rPr>
        <w:t>。因此，解决农民工市民化的问题，是我国政府的当务之急。而测算农民工市民</w:t>
      </w:r>
      <w:proofErr w:type="gramStart"/>
      <w:r w:rsidR="009F7B81">
        <w:rPr>
          <w:rFonts w:hint="eastAsia"/>
        </w:rPr>
        <w:t>化成本</w:t>
      </w:r>
      <w:proofErr w:type="gramEnd"/>
      <w:r w:rsidR="008679FB">
        <w:rPr>
          <w:rFonts w:hint="eastAsia"/>
        </w:rPr>
        <w:t>不仅有助于科学的制定城镇化发展战略，也有助于农民工选择适合自己未来发展的城镇。</w:t>
      </w:r>
    </w:p>
    <w:p w14:paraId="7C87B726" w14:textId="2D5E89E3" w:rsidR="008679FB" w:rsidRDefault="009F29AC" w:rsidP="009B0D56">
      <w:pPr>
        <w:ind w:firstLine="420"/>
        <w:rPr>
          <w:color w:val="000000"/>
        </w:rPr>
      </w:pPr>
      <w:r>
        <w:rPr>
          <w:rFonts w:hint="eastAsia"/>
        </w:rPr>
        <w:t>在解决农民工市民化的大背景下，本文主要研究广西壮族自治区农民工市民</w:t>
      </w:r>
      <w:proofErr w:type="gramStart"/>
      <w:r>
        <w:rPr>
          <w:rFonts w:hint="eastAsia"/>
        </w:rPr>
        <w:t>化成本</w:t>
      </w:r>
      <w:proofErr w:type="gramEnd"/>
      <w:r>
        <w:rPr>
          <w:rFonts w:hint="eastAsia"/>
        </w:rPr>
        <w:t>的测算问题。根据</w:t>
      </w:r>
      <w:r w:rsidRPr="009F29AC">
        <w:t>2017年广西壮族自治区国民经济和社会发展统计公报</w:t>
      </w:r>
      <w:r>
        <w:rPr>
          <w:rFonts w:hint="eastAsia"/>
        </w:rPr>
        <w:t>，在2017年末，全区户籍总人口</w:t>
      </w:r>
      <w:r w:rsidR="00834899">
        <w:rPr>
          <w:rFonts w:hint="eastAsia"/>
        </w:rPr>
        <w:t>达到了</w:t>
      </w:r>
      <w:r>
        <w:rPr>
          <w:rFonts w:hint="eastAsia"/>
        </w:rPr>
        <w:t>5600万人，比上年</w:t>
      </w:r>
      <w:proofErr w:type="gramStart"/>
      <w:r w:rsidR="00834899">
        <w:rPr>
          <w:rFonts w:hint="eastAsia"/>
        </w:rPr>
        <w:t>底人口</w:t>
      </w:r>
      <w:proofErr w:type="gramEnd"/>
      <w:r>
        <w:rPr>
          <w:rFonts w:hint="eastAsia"/>
        </w:rPr>
        <w:t>增加了21万人。</w:t>
      </w:r>
      <w:r>
        <w:rPr>
          <w:rFonts w:hint="eastAsia"/>
          <w:color w:val="000000"/>
        </w:rPr>
        <w:t>年末全区常住</w:t>
      </w:r>
      <w:r w:rsidR="00834899">
        <w:rPr>
          <w:rFonts w:hint="eastAsia"/>
          <w:color w:val="000000"/>
        </w:rPr>
        <w:t>总</w:t>
      </w:r>
      <w:r>
        <w:rPr>
          <w:rFonts w:hint="eastAsia"/>
          <w:color w:val="000000"/>
        </w:rPr>
        <w:t>人口4885万人，比上年末增加47万人，其中城镇人口2404万人，占总人口比重（常住人口城镇化率）为49.21%，比上年末提高1.13个百分点。户籍人口城镇化率为31.23 %，比上年</w:t>
      </w:r>
      <w:r w:rsidR="00834899">
        <w:rPr>
          <w:rFonts w:hint="eastAsia"/>
          <w:color w:val="000000"/>
        </w:rPr>
        <w:t>年底</w:t>
      </w:r>
      <w:r>
        <w:rPr>
          <w:rFonts w:hint="eastAsia"/>
          <w:color w:val="000000"/>
        </w:rPr>
        <w:t>提高0.56个百分点。全区农民工总量</w:t>
      </w:r>
      <w:r w:rsidR="00834899">
        <w:rPr>
          <w:rFonts w:hint="eastAsia"/>
          <w:color w:val="000000"/>
        </w:rPr>
        <w:t>达到了</w:t>
      </w:r>
      <w:r>
        <w:rPr>
          <w:rFonts w:hint="eastAsia"/>
          <w:color w:val="000000"/>
        </w:rPr>
        <w:t>1276万人，比上年增长3.6%。其中，外出农民工922万人，增长2.7%；本地农民工354万人,增长6.0%</w:t>
      </w:r>
      <w:r w:rsidR="009A6037">
        <w:rPr>
          <w:rFonts w:hint="eastAsia"/>
          <w:color w:val="000000"/>
        </w:rPr>
        <w:t>(具体见图一</w:t>
      </w:r>
      <w:r w:rsidR="004D59CE">
        <w:rPr>
          <w:rFonts w:hint="eastAsia"/>
          <w:color w:val="000000"/>
        </w:rPr>
        <w:t>与图二</w:t>
      </w:r>
      <w:r w:rsidR="009A6037">
        <w:rPr>
          <w:color w:val="000000"/>
        </w:rPr>
        <w:t>）</w:t>
      </w:r>
      <w:r>
        <w:rPr>
          <w:rFonts w:hint="eastAsia"/>
          <w:color w:val="000000"/>
        </w:rPr>
        <w:t>。解决这些数量庞大的农民工群体的市民</w:t>
      </w:r>
      <w:proofErr w:type="gramStart"/>
      <w:r>
        <w:rPr>
          <w:rFonts w:hint="eastAsia"/>
          <w:color w:val="000000"/>
        </w:rPr>
        <w:t>化成本</w:t>
      </w:r>
      <w:proofErr w:type="gramEnd"/>
      <w:r>
        <w:rPr>
          <w:rFonts w:hint="eastAsia"/>
          <w:color w:val="000000"/>
        </w:rPr>
        <w:t>测算问题，对于广西自治区政府制定未来农民工就地城镇化的战略具有很大的参考价值。</w:t>
      </w:r>
    </w:p>
    <w:p w14:paraId="4949D8E4" w14:textId="69D07124" w:rsidR="004D59CE" w:rsidRDefault="004D59CE" w:rsidP="009B0D56">
      <w:pPr>
        <w:ind w:firstLine="420"/>
        <w:rPr>
          <w:color w:val="000000"/>
        </w:rPr>
      </w:pPr>
      <w:r>
        <w:rPr>
          <w:noProof/>
        </w:rPr>
        <w:drawing>
          <wp:inline distT="0" distB="0" distL="0" distR="0" wp14:anchorId="7C916F34" wp14:editId="0B6CF365">
            <wp:extent cx="4572000" cy="2501900"/>
            <wp:effectExtent l="0" t="0" r="0" b="12700"/>
            <wp:docPr id="2" name="图表 2">
              <a:extLst xmlns:a="http://schemas.openxmlformats.org/drawingml/2006/main">
                <a:ext uri="{FF2B5EF4-FFF2-40B4-BE49-F238E27FC236}">
                  <a16:creationId xmlns:a16="http://schemas.microsoft.com/office/drawing/2014/main" id="{515E7EDC-4A68-4BAB-9D86-A70D89C2C8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A20274" w14:textId="5AD159AB" w:rsidR="009A6037" w:rsidRDefault="004D59CE" w:rsidP="004D59CE">
      <w:pPr>
        <w:ind w:firstLine="420"/>
        <w:jc w:val="center"/>
        <w:rPr>
          <w:color w:val="000000"/>
        </w:rPr>
      </w:pPr>
      <w:r>
        <w:rPr>
          <w:rFonts w:hint="eastAsia"/>
          <w:color w:val="000000"/>
        </w:rPr>
        <w:t>图一 广西常住人口中城镇与乡村占比</w:t>
      </w:r>
    </w:p>
    <w:p w14:paraId="2C69ED9B" w14:textId="63959F8D" w:rsidR="004D59CE" w:rsidRDefault="004D59CE" w:rsidP="004D59CE">
      <w:pPr>
        <w:ind w:firstLine="420"/>
        <w:jc w:val="left"/>
        <w:rPr>
          <w:color w:val="000000"/>
        </w:rPr>
      </w:pPr>
      <w:r>
        <w:rPr>
          <w:noProof/>
        </w:rPr>
        <w:drawing>
          <wp:inline distT="0" distB="0" distL="0" distR="0" wp14:anchorId="7E16D237" wp14:editId="4C8B7AB2">
            <wp:extent cx="4572000" cy="2743200"/>
            <wp:effectExtent l="0" t="0" r="0" b="0"/>
            <wp:docPr id="3" name="图表 3">
              <a:extLst xmlns:a="http://schemas.openxmlformats.org/drawingml/2006/main">
                <a:ext uri="{FF2B5EF4-FFF2-40B4-BE49-F238E27FC236}">
                  <a16:creationId xmlns:a16="http://schemas.microsoft.com/office/drawing/2014/main" id="{2C059281-409F-480D-8747-BEF087CF9B1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38BCD74E" w14:textId="10FACEC3" w:rsidR="004D59CE" w:rsidRDefault="00396499" w:rsidP="00396499">
      <w:pPr>
        <w:ind w:firstLine="420"/>
        <w:jc w:val="center"/>
        <w:rPr>
          <w:color w:val="000000"/>
        </w:rPr>
      </w:pPr>
      <w:r>
        <w:rPr>
          <w:rFonts w:hint="eastAsia"/>
          <w:color w:val="000000"/>
        </w:rPr>
        <w:t>图二 广西农民工数量变化图</w:t>
      </w:r>
    </w:p>
    <w:p w14:paraId="5597E5A8" w14:textId="59B0F2DA" w:rsidR="005F3CDA" w:rsidRDefault="00855326" w:rsidP="005F3CDA">
      <w:pPr>
        <w:pStyle w:val="2"/>
      </w:pPr>
      <w:r>
        <w:rPr>
          <w:rFonts w:hint="eastAsia"/>
        </w:rPr>
        <w:lastRenderedPageBreak/>
        <w:t>2、</w:t>
      </w:r>
      <w:r w:rsidR="005F3CDA">
        <w:rPr>
          <w:rFonts w:hint="eastAsia"/>
        </w:rPr>
        <w:t>基础理论以及文献综述</w:t>
      </w:r>
    </w:p>
    <w:p w14:paraId="17AA2C8F" w14:textId="7D1C7BA9" w:rsidR="009F29AC" w:rsidRPr="009F29AC" w:rsidRDefault="00AF548B" w:rsidP="00993A52">
      <w:r>
        <w:rPr>
          <w:rFonts w:hint="eastAsia"/>
        </w:rPr>
        <w:t>农村劳动力转移成本主要分为两个方面：第一个方面是农村转移劳动力成本，对应“农民到农民工过程”；第二个方面是农民工市民</w:t>
      </w:r>
      <w:proofErr w:type="gramStart"/>
      <w:r>
        <w:rPr>
          <w:rFonts w:hint="eastAsia"/>
        </w:rPr>
        <w:t>化成本</w:t>
      </w:r>
      <w:proofErr w:type="gramEnd"/>
      <w:r>
        <w:rPr>
          <w:rFonts w:hint="eastAsia"/>
        </w:rPr>
        <w:t>对应“从农民工到市民”的过程。本文主要探讨的是第二个方面，也即农民工的市民化成本，而农村转移劳动力成本并不在本文的测算范围之内。为避免</w:t>
      </w:r>
      <w:r w:rsidR="00366C43">
        <w:rPr>
          <w:rFonts w:hint="eastAsia"/>
        </w:rPr>
        <w:t>后来的探讨发生混淆，基于前人学者的共识</w:t>
      </w:r>
      <w:r w:rsidR="00993A52" w:rsidRPr="0039646F">
        <w:rPr>
          <w:b/>
          <w:sz w:val="28"/>
          <w:vertAlign w:val="superscript"/>
        </w:rPr>
        <w:fldChar w:fldCharType="begin"/>
      </w:r>
      <w:r w:rsidR="00993A52" w:rsidRPr="0039646F">
        <w:rPr>
          <w:b/>
          <w:sz w:val="28"/>
          <w:vertAlign w:val="superscript"/>
        </w:rPr>
        <w:instrText xml:space="preserve"> REF _Ref514052768 \n  \* MERGEFORMAT </w:instrText>
      </w:r>
      <w:r w:rsidR="00993A52" w:rsidRPr="0039646F">
        <w:rPr>
          <w:b/>
          <w:sz w:val="28"/>
          <w:vertAlign w:val="superscript"/>
        </w:rPr>
        <w:fldChar w:fldCharType="separate"/>
      </w:r>
      <w:r w:rsidR="00993A52" w:rsidRPr="0039646F">
        <w:rPr>
          <w:b/>
          <w:sz w:val="28"/>
          <w:vertAlign w:val="superscript"/>
        </w:rPr>
        <w:t>[3]</w:t>
      </w:r>
      <w:r w:rsidR="00993A52" w:rsidRPr="0039646F">
        <w:rPr>
          <w:b/>
          <w:sz w:val="28"/>
          <w:vertAlign w:val="superscript"/>
        </w:rPr>
        <w:fldChar w:fldCharType="end"/>
      </w:r>
      <w:r w:rsidR="00366C43">
        <w:rPr>
          <w:rFonts w:hint="eastAsia"/>
        </w:rPr>
        <w:t>，把农民工</w:t>
      </w:r>
      <w:r w:rsidR="00834899">
        <w:rPr>
          <w:rFonts w:hint="eastAsia"/>
        </w:rPr>
        <w:t>的</w:t>
      </w:r>
      <w:r w:rsidR="00366C43">
        <w:rPr>
          <w:rFonts w:hint="eastAsia"/>
        </w:rPr>
        <w:t>市民</w:t>
      </w:r>
      <w:proofErr w:type="gramStart"/>
      <w:r w:rsidR="00366C43">
        <w:rPr>
          <w:rFonts w:hint="eastAsia"/>
        </w:rPr>
        <w:t>化成本</w:t>
      </w:r>
      <w:proofErr w:type="gramEnd"/>
      <w:r w:rsidR="00366C43">
        <w:rPr>
          <w:rFonts w:hint="eastAsia"/>
        </w:rPr>
        <w:t>定义为：使现有农民工在身份、地位、价值观、社会权利以及生产、生活方式等方面全面向城市市民转化并顺利融入城市社会所必须投入的最低资本量。并把农民工市民</w:t>
      </w:r>
      <w:proofErr w:type="gramStart"/>
      <w:r w:rsidR="00366C43">
        <w:rPr>
          <w:rFonts w:hint="eastAsia"/>
        </w:rPr>
        <w:t>化成本</w:t>
      </w:r>
      <w:proofErr w:type="gramEnd"/>
      <w:r w:rsidR="00366C43">
        <w:rPr>
          <w:rFonts w:hint="eastAsia"/>
        </w:rPr>
        <w:t>分为公共成本和</w:t>
      </w:r>
      <w:r w:rsidR="00396499">
        <w:rPr>
          <w:rFonts w:hint="eastAsia"/>
        </w:rPr>
        <w:t>个</w:t>
      </w:r>
      <w:r w:rsidR="00366C43">
        <w:rPr>
          <w:rFonts w:hint="eastAsia"/>
        </w:rPr>
        <w:t>人成本。</w:t>
      </w:r>
    </w:p>
    <w:p w14:paraId="3935542A" w14:textId="7CD7ABE7" w:rsidR="008679FB" w:rsidRDefault="00366C43" w:rsidP="009B0D56">
      <w:pPr>
        <w:ind w:firstLine="420"/>
      </w:pPr>
      <w:r>
        <w:rPr>
          <w:rFonts w:hint="eastAsia"/>
        </w:rPr>
        <w:t>目前学界对于公共成本和私人成本的更细粒度的划分尚无定论</w:t>
      </w:r>
      <w:r w:rsidR="00F12A8F">
        <w:rPr>
          <w:rFonts w:hint="eastAsia"/>
        </w:rPr>
        <w:t>。</w:t>
      </w:r>
      <w:r>
        <w:rPr>
          <w:rFonts w:hint="eastAsia"/>
        </w:rPr>
        <w:t>其中李长生、李学坤等人认为，</w:t>
      </w:r>
      <w:r w:rsidR="000B4F02">
        <w:rPr>
          <w:rFonts w:hint="eastAsia"/>
        </w:rPr>
        <w:t>云南</w:t>
      </w:r>
      <w:r w:rsidR="00F12A8F">
        <w:rPr>
          <w:rFonts w:hint="eastAsia"/>
        </w:rPr>
        <w:t>农民工市民化的</w:t>
      </w:r>
      <w:r>
        <w:rPr>
          <w:rFonts w:hint="eastAsia"/>
        </w:rPr>
        <w:t>私人成本主要包括个人生活成本和城市住房成本两个方面，公共成本主要包括社会保障成本和城市基础设施建设成本</w:t>
      </w:r>
      <w:r w:rsidR="00993A52" w:rsidRPr="0039646F">
        <w:rPr>
          <w:b/>
          <w:sz w:val="28"/>
          <w:vertAlign w:val="superscript"/>
        </w:rPr>
        <w:fldChar w:fldCharType="begin"/>
      </w:r>
      <w:r w:rsidR="00993A52" w:rsidRPr="0039646F">
        <w:rPr>
          <w:b/>
          <w:sz w:val="28"/>
          <w:vertAlign w:val="superscript"/>
        </w:rPr>
        <w:instrText xml:space="preserve"> </w:instrText>
      </w:r>
      <w:r w:rsidR="00993A52" w:rsidRPr="0039646F">
        <w:rPr>
          <w:rFonts w:hint="eastAsia"/>
          <w:b/>
          <w:sz w:val="28"/>
          <w:vertAlign w:val="superscript"/>
        </w:rPr>
        <w:instrText>REF _Ref514053067 \n</w:instrText>
      </w:r>
      <w:r w:rsidR="00993A52" w:rsidRPr="0039646F">
        <w:rPr>
          <w:b/>
          <w:sz w:val="28"/>
          <w:vertAlign w:val="superscript"/>
        </w:rPr>
        <w:instrText xml:space="preserve">  \* MERGEFORMAT </w:instrText>
      </w:r>
      <w:r w:rsidR="00993A52" w:rsidRPr="0039646F">
        <w:rPr>
          <w:b/>
          <w:sz w:val="28"/>
          <w:vertAlign w:val="superscript"/>
        </w:rPr>
        <w:fldChar w:fldCharType="separate"/>
      </w:r>
      <w:r w:rsidR="00993A52" w:rsidRPr="0039646F">
        <w:rPr>
          <w:b/>
          <w:sz w:val="28"/>
          <w:vertAlign w:val="superscript"/>
        </w:rPr>
        <w:t>[1]</w:t>
      </w:r>
      <w:r w:rsidR="00993A52" w:rsidRPr="0039646F">
        <w:rPr>
          <w:b/>
          <w:sz w:val="28"/>
          <w:vertAlign w:val="superscript"/>
        </w:rPr>
        <w:fldChar w:fldCharType="end"/>
      </w:r>
      <w:r>
        <w:rPr>
          <w:rFonts w:hint="eastAsia"/>
        </w:rPr>
        <w:t>。</w:t>
      </w:r>
      <w:r w:rsidR="00F12A8F">
        <w:rPr>
          <w:rFonts w:hint="eastAsia"/>
        </w:rPr>
        <w:t>除此之外，他们认为还存在有机会成本和非经济因素成本。刘美月、李开宇等人</w:t>
      </w:r>
      <w:r w:rsidR="00126D6B">
        <w:rPr>
          <w:rFonts w:hint="eastAsia"/>
        </w:rPr>
        <w:t>把机会成本并入私人成本中，他们认为西安的农民工市民</w:t>
      </w:r>
      <w:proofErr w:type="gramStart"/>
      <w:r w:rsidR="00126D6B">
        <w:rPr>
          <w:rFonts w:hint="eastAsia"/>
        </w:rPr>
        <w:t>化成本</w:t>
      </w:r>
      <w:proofErr w:type="gramEnd"/>
      <w:r w:rsidR="00126D6B">
        <w:rPr>
          <w:rFonts w:hint="eastAsia"/>
        </w:rPr>
        <w:t>的公共成本主要包括基础设施建设成本、社会保障成本、随迁子女义务教育成本，私人成本包括个人生活成本、个人住房成本、个人机会成本。因此农民工市民化的总成本是以上六个成本之和</w:t>
      </w:r>
      <w:r w:rsidR="0039646F" w:rsidRPr="0039646F">
        <w:rPr>
          <w:b/>
          <w:sz w:val="28"/>
          <w:vertAlign w:val="superscript"/>
        </w:rPr>
        <w:fldChar w:fldCharType="begin"/>
      </w:r>
      <w:r w:rsidR="0039646F" w:rsidRPr="0039646F">
        <w:rPr>
          <w:b/>
          <w:sz w:val="28"/>
          <w:vertAlign w:val="superscript"/>
        </w:rPr>
        <w:instrText xml:space="preserve"> </w:instrText>
      </w:r>
      <w:r w:rsidR="0039646F" w:rsidRPr="0039646F">
        <w:rPr>
          <w:rFonts w:hint="eastAsia"/>
          <w:b/>
          <w:sz w:val="28"/>
          <w:vertAlign w:val="superscript"/>
        </w:rPr>
        <w:instrText>REF _Ref514053104 \n</w:instrText>
      </w:r>
      <w:r w:rsidR="0039646F" w:rsidRPr="0039646F">
        <w:rPr>
          <w:b/>
          <w:sz w:val="28"/>
          <w:vertAlign w:val="superscript"/>
        </w:rPr>
        <w:instrText xml:space="preserve"> </w:instrText>
      </w:r>
      <w:r w:rsidR="0039646F">
        <w:rPr>
          <w:b/>
          <w:sz w:val="28"/>
          <w:vertAlign w:val="superscript"/>
        </w:rPr>
        <w:instrText xml:space="preserve"> \* MERGEFORMAT </w:instrText>
      </w:r>
      <w:r w:rsidR="0039646F" w:rsidRPr="0039646F">
        <w:rPr>
          <w:b/>
          <w:sz w:val="28"/>
          <w:vertAlign w:val="superscript"/>
        </w:rPr>
        <w:fldChar w:fldCharType="separate"/>
      </w:r>
      <w:r w:rsidR="0039646F" w:rsidRPr="0039646F">
        <w:rPr>
          <w:b/>
          <w:sz w:val="28"/>
          <w:vertAlign w:val="superscript"/>
        </w:rPr>
        <w:t>[2]</w:t>
      </w:r>
      <w:r w:rsidR="0039646F" w:rsidRPr="0039646F">
        <w:rPr>
          <w:b/>
          <w:sz w:val="28"/>
          <w:vertAlign w:val="superscript"/>
        </w:rPr>
        <w:fldChar w:fldCharType="end"/>
      </w:r>
      <w:r w:rsidR="00126D6B">
        <w:rPr>
          <w:rFonts w:hint="eastAsia"/>
        </w:rPr>
        <w:t>。李小敏、涂建军等人则根据农民工地域差异，把农民工市民</w:t>
      </w:r>
      <w:proofErr w:type="gramStart"/>
      <w:r w:rsidR="00126D6B">
        <w:rPr>
          <w:rFonts w:hint="eastAsia"/>
        </w:rPr>
        <w:t>化成本</w:t>
      </w:r>
      <w:proofErr w:type="gramEnd"/>
      <w:r w:rsidR="00126D6B">
        <w:rPr>
          <w:rFonts w:hint="eastAsia"/>
        </w:rPr>
        <w:t>分为广义与狭义</w:t>
      </w:r>
      <w:r w:rsidR="002B5075">
        <w:rPr>
          <w:rFonts w:hint="eastAsia"/>
        </w:rPr>
        <w:t>，广义的农民工市民</w:t>
      </w:r>
      <w:proofErr w:type="gramStart"/>
      <w:r w:rsidR="002B5075">
        <w:rPr>
          <w:rFonts w:hint="eastAsia"/>
        </w:rPr>
        <w:t>化成</w:t>
      </w:r>
      <w:proofErr w:type="gramEnd"/>
      <w:r w:rsidR="002B5075">
        <w:rPr>
          <w:rFonts w:hint="eastAsia"/>
        </w:rPr>
        <w:t>本包括两个方面：一是农村剩余劳动力放弃依靠农村土地所得利益，进入城镇成为农民工的费用；二是农民工融入城镇并被纳入城市公共服务体系的费用。狭义的农民工市民</w:t>
      </w:r>
      <w:proofErr w:type="gramStart"/>
      <w:r w:rsidR="002B5075">
        <w:rPr>
          <w:rFonts w:hint="eastAsia"/>
        </w:rPr>
        <w:t>化成本</w:t>
      </w:r>
      <w:proofErr w:type="gramEnd"/>
      <w:r w:rsidR="002B5075">
        <w:rPr>
          <w:rFonts w:hint="eastAsia"/>
        </w:rPr>
        <w:t>是农民工融入城镇并成为新市民的费用。在更细粒度上，他们还添加了企业成本，并认为企业因为承担着为农民工的社会保障，所以企业对于农民工市民</w:t>
      </w:r>
      <w:proofErr w:type="gramStart"/>
      <w:r w:rsidR="002B5075">
        <w:rPr>
          <w:rFonts w:hint="eastAsia"/>
        </w:rPr>
        <w:t>化成本</w:t>
      </w:r>
      <w:proofErr w:type="gramEnd"/>
      <w:r w:rsidR="002B5075">
        <w:rPr>
          <w:rFonts w:hint="eastAsia"/>
        </w:rPr>
        <w:t>也有一定程度的负担</w:t>
      </w:r>
      <w:r w:rsidR="0039646F" w:rsidRPr="0039646F">
        <w:rPr>
          <w:b/>
          <w:sz w:val="28"/>
          <w:vertAlign w:val="superscript"/>
        </w:rPr>
        <w:fldChar w:fldCharType="begin"/>
      </w:r>
      <w:r w:rsidR="0039646F" w:rsidRPr="0039646F">
        <w:rPr>
          <w:b/>
          <w:sz w:val="28"/>
          <w:vertAlign w:val="superscript"/>
        </w:rPr>
        <w:instrText xml:space="preserve"> </w:instrText>
      </w:r>
      <w:r w:rsidR="0039646F" w:rsidRPr="0039646F">
        <w:rPr>
          <w:rFonts w:hint="eastAsia"/>
          <w:b/>
          <w:sz w:val="28"/>
          <w:vertAlign w:val="superscript"/>
        </w:rPr>
        <w:instrText>REF _Ref514053164 \n</w:instrText>
      </w:r>
      <w:r w:rsidR="0039646F" w:rsidRPr="0039646F">
        <w:rPr>
          <w:b/>
          <w:sz w:val="28"/>
          <w:vertAlign w:val="superscript"/>
        </w:rPr>
        <w:instrText xml:space="preserve"> </w:instrText>
      </w:r>
      <w:r w:rsidR="0039646F">
        <w:rPr>
          <w:b/>
          <w:sz w:val="28"/>
          <w:vertAlign w:val="superscript"/>
        </w:rPr>
        <w:instrText xml:space="preserve"> \* MERGEFORMAT </w:instrText>
      </w:r>
      <w:r w:rsidR="0039646F" w:rsidRPr="0039646F">
        <w:rPr>
          <w:b/>
          <w:sz w:val="28"/>
          <w:vertAlign w:val="superscript"/>
        </w:rPr>
        <w:fldChar w:fldCharType="separate"/>
      </w:r>
      <w:r w:rsidR="0039646F" w:rsidRPr="0039646F">
        <w:rPr>
          <w:b/>
          <w:sz w:val="28"/>
          <w:vertAlign w:val="superscript"/>
        </w:rPr>
        <w:t>[11]</w:t>
      </w:r>
      <w:r w:rsidR="0039646F" w:rsidRPr="0039646F">
        <w:rPr>
          <w:b/>
          <w:sz w:val="28"/>
          <w:vertAlign w:val="superscript"/>
        </w:rPr>
        <w:fldChar w:fldCharType="end"/>
      </w:r>
      <w:r w:rsidR="002B5075">
        <w:rPr>
          <w:rFonts w:hint="eastAsia"/>
        </w:rPr>
        <w:t>。</w:t>
      </w:r>
      <w:r w:rsidR="00D65B02">
        <w:rPr>
          <w:rFonts w:hint="eastAsia"/>
        </w:rPr>
        <w:t>单菁菁认为农民工市民</w:t>
      </w:r>
      <w:proofErr w:type="gramStart"/>
      <w:r w:rsidR="00D65B02">
        <w:rPr>
          <w:rFonts w:hint="eastAsia"/>
        </w:rPr>
        <w:t>化成本</w:t>
      </w:r>
      <w:proofErr w:type="gramEnd"/>
      <w:r w:rsidR="00D65B02">
        <w:rPr>
          <w:rFonts w:hint="eastAsia"/>
        </w:rPr>
        <w:t>分为政府成本、个人成本和企业成本三部分，她也把学界对于市民</w:t>
      </w:r>
      <w:proofErr w:type="gramStart"/>
      <w:r w:rsidR="00D65B02">
        <w:rPr>
          <w:rFonts w:hint="eastAsia"/>
        </w:rPr>
        <w:t>化成本</w:t>
      </w:r>
      <w:proofErr w:type="gramEnd"/>
      <w:r w:rsidR="00D65B02">
        <w:rPr>
          <w:rFonts w:hint="eastAsia"/>
        </w:rPr>
        <w:t>的分析成果按这三方面进行了划分</w:t>
      </w:r>
      <w:r w:rsidR="0039646F" w:rsidRPr="0039646F">
        <w:rPr>
          <w:b/>
          <w:sz w:val="28"/>
          <w:vertAlign w:val="superscript"/>
        </w:rPr>
        <w:fldChar w:fldCharType="begin"/>
      </w:r>
      <w:r w:rsidR="0039646F" w:rsidRPr="0039646F">
        <w:rPr>
          <w:b/>
          <w:sz w:val="28"/>
          <w:vertAlign w:val="superscript"/>
        </w:rPr>
        <w:instrText xml:space="preserve"> </w:instrText>
      </w:r>
      <w:r w:rsidR="0039646F" w:rsidRPr="0039646F">
        <w:rPr>
          <w:rFonts w:hint="eastAsia"/>
          <w:b/>
          <w:sz w:val="28"/>
          <w:vertAlign w:val="superscript"/>
        </w:rPr>
        <w:instrText>REF _Ref514053188 \n</w:instrText>
      </w:r>
      <w:r w:rsidR="0039646F" w:rsidRPr="0039646F">
        <w:rPr>
          <w:b/>
          <w:sz w:val="28"/>
          <w:vertAlign w:val="superscript"/>
        </w:rPr>
        <w:instrText xml:space="preserve"> </w:instrText>
      </w:r>
      <w:r w:rsidR="0039646F">
        <w:rPr>
          <w:b/>
          <w:sz w:val="28"/>
          <w:vertAlign w:val="superscript"/>
        </w:rPr>
        <w:instrText xml:space="preserve"> \* MERGEFORMAT </w:instrText>
      </w:r>
      <w:r w:rsidR="0039646F" w:rsidRPr="0039646F">
        <w:rPr>
          <w:b/>
          <w:sz w:val="28"/>
          <w:vertAlign w:val="superscript"/>
        </w:rPr>
        <w:fldChar w:fldCharType="separate"/>
      </w:r>
      <w:r w:rsidR="0039646F" w:rsidRPr="0039646F">
        <w:rPr>
          <w:b/>
          <w:sz w:val="28"/>
          <w:vertAlign w:val="superscript"/>
        </w:rPr>
        <w:t>[13]</w:t>
      </w:r>
      <w:r w:rsidR="0039646F" w:rsidRPr="0039646F">
        <w:rPr>
          <w:b/>
          <w:sz w:val="28"/>
          <w:vertAlign w:val="superscript"/>
        </w:rPr>
        <w:fldChar w:fldCharType="end"/>
      </w:r>
      <w:r w:rsidR="00D65B02">
        <w:rPr>
          <w:rFonts w:hint="eastAsia"/>
        </w:rPr>
        <w:t>。</w:t>
      </w:r>
    </w:p>
    <w:p w14:paraId="3FEBBB9F" w14:textId="78E2FDCA" w:rsidR="00C6306D" w:rsidRDefault="00D65B02" w:rsidP="00C6306D">
      <w:pPr>
        <w:ind w:firstLine="420"/>
      </w:pPr>
      <w:r>
        <w:rPr>
          <w:rFonts w:hint="eastAsia"/>
        </w:rPr>
        <w:t>关于农民工市民</w:t>
      </w:r>
      <w:proofErr w:type="gramStart"/>
      <w:r>
        <w:rPr>
          <w:rFonts w:hint="eastAsia"/>
        </w:rPr>
        <w:t>化成本</w:t>
      </w:r>
      <w:proofErr w:type="gramEnd"/>
      <w:r>
        <w:rPr>
          <w:rFonts w:hint="eastAsia"/>
        </w:rPr>
        <w:t>的细粒度划分学界意见并不统一，因此本文根据各类划分方法</w:t>
      </w:r>
      <w:r w:rsidR="00396499">
        <w:rPr>
          <w:rFonts w:hint="eastAsia"/>
        </w:rPr>
        <w:t>按时间顺序排列</w:t>
      </w:r>
      <w:r>
        <w:rPr>
          <w:rFonts w:hint="eastAsia"/>
        </w:rPr>
        <w:t>对文献进行了梳理分类</w:t>
      </w:r>
      <w:r w:rsidR="00396499">
        <w:rPr>
          <w:rFonts w:hint="eastAsia"/>
        </w:rPr>
        <w:t>，</w:t>
      </w:r>
      <w:r w:rsidR="00C6306D">
        <w:rPr>
          <w:rFonts w:hint="eastAsia"/>
        </w:rPr>
        <w:t>具体可见如下表</w:t>
      </w:r>
      <w:r w:rsidR="006A45A2">
        <w:rPr>
          <w:rFonts w:hint="eastAsia"/>
        </w:rPr>
        <w:t>一</w:t>
      </w:r>
      <w:r w:rsidR="00C6306D">
        <w:rPr>
          <w:rFonts w:hint="eastAsia"/>
        </w:rPr>
        <w:t>：</w:t>
      </w:r>
    </w:p>
    <w:p w14:paraId="7E56F476" w14:textId="372F37F4" w:rsidR="00B5732B" w:rsidRDefault="00B5732B" w:rsidP="00B5732B">
      <w:pPr>
        <w:ind w:firstLine="420"/>
      </w:pPr>
      <w:r>
        <w:rPr>
          <w:noProof/>
        </w:rPr>
        <w:drawing>
          <wp:inline distT="0" distB="0" distL="0" distR="0" wp14:anchorId="660AB216" wp14:editId="6F3A0B8D">
            <wp:extent cx="5375275" cy="25908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01705" cy="2651737"/>
                    </a:xfrm>
                    <a:prstGeom prst="rect">
                      <a:avLst/>
                    </a:prstGeom>
                  </pic:spPr>
                </pic:pic>
              </a:graphicData>
            </a:graphic>
          </wp:inline>
        </w:drawing>
      </w:r>
    </w:p>
    <w:p w14:paraId="29825200" w14:textId="1D932028" w:rsidR="006A45A2" w:rsidRPr="00D65B02" w:rsidRDefault="006A45A2" w:rsidP="006A45A2">
      <w:pPr>
        <w:ind w:firstLine="420"/>
        <w:jc w:val="center"/>
      </w:pPr>
      <w:r>
        <w:rPr>
          <w:rFonts w:hint="eastAsia"/>
        </w:rPr>
        <w:lastRenderedPageBreak/>
        <w:t>表</w:t>
      </w:r>
      <w:proofErr w:type="gramStart"/>
      <w:r>
        <w:rPr>
          <w:rFonts w:hint="eastAsia"/>
        </w:rPr>
        <w:t>一</w:t>
      </w:r>
      <w:proofErr w:type="gramEnd"/>
      <w:r>
        <w:rPr>
          <w:rFonts w:hint="eastAsia"/>
        </w:rPr>
        <w:t xml:space="preserve"> </w:t>
      </w:r>
      <w:r w:rsidR="00635430">
        <w:rPr>
          <w:rFonts w:hint="eastAsia"/>
        </w:rPr>
        <w:t>学者对</w:t>
      </w:r>
      <w:r>
        <w:rPr>
          <w:rFonts w:hint="eastAsia"/>
        </w:rPr>
        <w:t>农民工市民</w:t>
      </w:r>
      <w:proofErr w:type="gramStart"/>
      <w:r>
        <w:rPr>
          <w:rFonts w:hint="eastAsia"/>
        </w:rPr>
        <w:t>化成</w:t>
      </w:r>
      <w:proofErr w:type="gramEnd"/>
      <w:r>
        <w:rPr>
          <w:rFonts w:hint="eastAsia"/>
        </w:rPr>
        <w:t>本分类</w:t>
      </w:r>
    </w:p>
    <w:p w14:paraId="317C6190" w14:textId="4B3239D9" w:rsidR="008679FB" w:rsidRDefault="00B5732B" w:rsidP="00B5732B">
      <w:r>
        <w:tab/>
      </w:r>
      <w:r>
        <w:rPr>
          <w:rFonts w:hint="eastAsia"/>
        </w:rPr>
        <w:t>因为测算农民工市民</w:t>
      </w:r>
      <w:proofErr w:type="gramStart"/>
      <w:r>
        <w:rPr>
          <w:rFonts w:hint="eastAsia"/>
        </w:rPr>
        <w:t>化成本</w:t>
      </w:r>
      <w:proofErr w:type="gramEnd"/>
      <w:r>
        <w:rPr>
          <w:rFonts w:hint="eastAsia"/>
        </w:rPr>
        <w:t>的文献较多，本文没有一一列举，只是选取其中具有代表性的文章进行举例。可以看到，大部分文献都探讨了公共成本与私人成本</w:t>
      </w:r>
      <w:r w:rsidR="00A37E3D">
        <w:rPr>
          <w:rFonts w:hint="eastAsia"/>
        </w:rPr>
        <w:t>，部分文献还探讨了个人成本下的机会成本和融入成本。</w:t>
      </w:r>
    </w:p>
    <w:p w14:paraId="60E20AD4" w14:textId="6672755B" w:rsidR="00732AD5" w:rsidRDefault="00732AD5" w:rsidP="00B5732B">
      <w:r>
        <w:tab/>
      </w:r>
      <w:r>
        <w:rPr>
          <w:rFonts w:hint="eastAsia"/>
        </w:rPr>
        <w:t>在具体成本测算方法方面，大部分学者采取了分类加总的测算方法。测算模型方面，虽然农民工</w:t>
      </w:r>
      <w:proofErr w:type="gramStart"/>
      <w:r>
        <w:rPr>
          <w:rFonts w:hint="eastAsia"/>
        </w:rPr>
        <w:t>市民化要涉及</w:t>
      </w:r>
      <w:proofErr w:type="gramEnd"/>
      <w:r>
        <w:rPr>
          <w:rFonts w:hint="eastAsia"/>
        </w:rPr>
        <w:t>到长时间维度的转化，但基于数据的可得性与农民工获得市民身份后对其继续计算成本的方法可行性上仍有较多争议，因此大部分学者并没有涉及到长时间维度的农民工市民</w:t>
      </w:r>
      <w:proofErr w:type="gramStart"/>
      <w:r>
        <w:rPr>
          <w:rFonts w:hint="eastAsia"/>
        </w:rPr>
        <w:t>化成</w:t>
      </w:r>
      <w:proofErr w:type="gramEnd"/>
      <w:r>
        <w:rPr>
          <w:rFonts w:hint="eastAsia"/>
        </w:rPr>
        <w:t>本测算，</w:t>
      </w:r>
      <w:r w:rsidR="000E2CD9">
        <w:rPr>
          <w:rFonts w:hint="eastAsia"/>
        </w:rPr>
        <w:t>如刘美月、李开宇等人也只是涉及西安市从2011年-2013年的时间跨度。</w:t>
      </w:r>
      <w:proofErr w:type="gramStart"/>
      <w:r w:rsidR="000E2CD9" w:rsidRPr="000E2CD9">
        <w:rPr>
          <w:rFonts w:hint="eastAsia"/>
        </w:rPr>
        <w:t>眭</w:t>
      </w:r>
      <w:proofErr w:type="gramEnd"/>
      <w:r w:rsidR="000E2CD9" w:rsidRPr="000E2CD9">
        <w:rPr>
          <w:rFonts w:hint="eastAsia"/>
        </w:rPr>
        <w:t>海霞</w:t>
      </w:r>
      <w:r w:rsidR="000E2CD9">
        <w:rPr>
          <w:rFonts w:hint="eastAsia"/>
        </w:rPr>
        <w:t>、</w:t>
      </w:r>
      <w:r w:rsidR="000E2CD9" w:rsidRPr="000E2CD9">
        <w:t>陈俊江</w:t>
      </w:r>
      <w:r w:rsidR="000E2CD9">
        <w:rPr>
          <w:rFonts w:hint="eastAsia"/>
        </w:rPr>
        <w:t>测算了2011年-2013年的成都市的市民</w:t>
      </w:r>
      <w:proofErr w:type="gramStart"/>
      <w:r w:rsidR="000E2CD9">
        <w:rPr>
          <w:rFonts w:hint="eastAsia"/>
        </w:rPr>
        <w:t>化成本</w:t>
      </w:r>
      <w:proofErr w:type="gramEnd"/>
      <w:r w:rsidR="0039646F" w:rsidRPr="0039646F">
        <w:rPr>
          <w:b/>
          <w:sz w:val="28"/>
          <w:vertAlign w:val="superscript"/>
        </w:rPr>
        <w:fldChar w:fldCharType="begin"/>
      </w:r>
      <w:r w:rsidR="0039646F" w:rsidRPr="0039646F">
        <w:rPr>
          <w:b/>
          <w:sz w:val="28"/>
          <w:vertAlign w:val="superscript"/>
        </w:rPr>
        <w:instrText xml:space="preserve"> </w:instrText>
      </w:r>
      <w:r w:rsidR="0039646F" w:rsidRPr="0039646F">
        <w:rPr>
          <w:rFonts w:hint="eastAsia"/>
          <w:b/>
          <w:sz w:val="28"/>
          <w:vertAlign w:val="superscript"/>
        </w:rPr>
        <w:instrText>REF _Ref514053272 \n</w:instrText>
      </w:r>
      <w:r w:rsidR="0039646F" w:rsidRPr="0039646F">
        <w:rPr>
          <w:b/>
          <w:sz w:val="28"/>
          <w:vertAlign w:val="superscript"/>
        </w:rPr>
        <w:instrText xml:space="preserve"> </w:instrText>
      </w:r>
      <w:r w:rsidR="0039646F">
        <w:rPr>
          <w:b/>
          <w:sz w:val="28"/>
          <w:vertAlign w:val="superscript"/>
        </w:rPr>
        <w:instrText xml:space="preserve"> \* MERGEFORMAT </w:instrText>
      </w:r>
      <w:r w:rsidR="0039646F" w:rsidRPr="0039646F">
        <w:rPr>
          <w:b/>
          <w:sz w:val="28"/>
          <w:vertAlign w:val="superscript"/>
        </w:rPr>
        <w:fldChar w:fldCharType="separate"/>
      </w:r>
      <w:r w:rsidR="0039646F" w:rsidRPr="0039646F">
        <w:rPr>
          <w:b/>
          <w:sz w:val="28"/>
          <w:vertAlign w:val="superscript"/>
        </w:rPr>
        <w:t>[8]</w:t>
      </w:r>
      <w:r w:rsidR="0039646F" w:rsidRPr="0039646F">
        <w:rPr>
          <w:b/>
          <w:sz w:val="28"/>
          <w:vertAlign w:val="superscript"/>
        </w:rPr>
        <w:fldChar w:fldCharType="end"/>
      </w:r>
      <w:r w:rsidR="000E2CD9">
        <w:rPr>
          <w:rFonts w:hint="eastAsia"/>
        </w:rPr>
        <w:t>，更多学者只是在个人住房方面对未来的分期贷款的还款额进行了贴现而已(如</w:t>
      </w:r>
      <w:proofErr w:type="gramStart"/>
      <w:r w:rsidR="000E2CD9">
        <w:rPr>
          <w:rFonts w:hint="eastAsia"/>
        </w:rPr>
        <w:t>徐红芬</w:t>
      </w:r>
      <w:proofErr w:type="gramEnd"/>
      <w:r w:rsidR="000E2CD9">
        <w:rPr>
          <w:rFonts w:hint="eastAsia"/>
        </w:rPr>
        <w:t>2</w:t>
      </w:r>
      <w:r w:rsidR="000E2CD9">
        <w:t>013</w:t>
      </w:r>
      <w:r w:rsidR="000E2CD9">
        <w:rPr>
          <w:rFonts w:hint="eastAsia"/>
        </w:rPr>
        <w:t>)</w:t>
      </w:r>
      <w:r w:rsidR="0039646F" w:rsidRPr="0039646F">
        <w:rPr>
          <w:b/>
          <w:sz w:val="28"/>
          <w:vertAlign w:val="superscript"/>
        </w:rPr>
        <w:fldChar w:fldCharType="begin"/>
      </w:r>
      <w:r w:rsidR="0039646F" w:rsidRPr="0039646F">
        <w:rPr>
          <w:b/>
          <w:sz w:val="28"/>
          <w:vertAlign w:val="superscript"/>
        </w:rPr>
        <w:instrText xml:space="preserve"> </w:instrText>
      </w:r>
      <w:r w:rsidR="0039646F" w:rsidRPr="0039646F">
        <w:rPr>
          <w:rFonts w:hint="eastAsia"/>
          <w:b/>
          <w:sz w:val="28"/>
          <w:vertAlign w:val="superscript"/>
        </w:rPr>
        <w:instrText>REF _Ref514053310 \n</w:instrText>
      </w:r>
      <w:r w:rsidR="0039646F" w:rsidRPr="0039646F">
        <w:rPr>
          <w:b/>
          <w:sz w:val="28"/>
          <w:vertAlign w:val="superscript"/>
        </w:rPr>
        <w:instrText xml:space="preserve"> </w:instrText>
      </w:r>
      <w:r w:rsidR="0039646F">
        <w:rPr>
          <w:b/>
          <w:sz w:val="28"/>
          <w:vertAlign w:val="superscript"/>
        </w:rPr>
        <w:instrText xml:space="preserve"> \* MERGEFORMAT </w:instrText>
      </w:r>
      <w:r w:rsidR="0039646F" w:rsidRPr="0039646F">
        <w:rPr>
          <w:b/>
          <w:sz w:val="28"/>
          <w:vertAlign w:val="superscript"/>
        </w:rPr>
        <w:fldChar w:fldCharType="separate"/>
      </w:r>
      <w:r w:rsidR="0039646F" w:rsidRPr="0039646F">
        <w:rPr>
          <w:b/>
          <w:sz w:val="28"/>
          <w:vertAlign w:val="superscript"/>
        </w:rPr>
        <w:t>[6]</w:t>
      </w:r>
      <w:r w:rsidR="0039646F" w:rsidRPr="0039646F">
        <w:rPr>
          <w:b/>
          <w:sz w:val="28"/>
          <w:vertAlign w:val="superscript"/>
        </w:rPr>
        <w:fldChar w:fldCharType="end"/>
      </w:r>
      <w:r w:rsidR="000E2CD9">
        <w:t>.</w:t>
      </w:r>
    </w:p>
    <w:p w14:paraId="75239C84" w14:textId="1C85A729" w:rsidR="00A37E3D" w:rsidRDefault="00A37E3D" w:rsidP="00B5732B">
      <w:r>
        <w:tab/>
      </w:r>
      <w:r>
        <w:rPr>
          <w:rFonts w:hint="eastAsia"/>
        </w:rPr>
        <w:t>总而言之，农民工市民</w:t>
      </w:r>
      <w:proofErr w:type="gramStart"/>
      <w:r>
        <w:rPr>
          <w:rFonts w:hint="eastAsia"/>
        </w:rPr>
        <w:t>化成本</w:t>
      </w:r>
      <w:proofErr w:type="gramEnd"/>
      <w:r>
        <w:rPr>
          <w:rFonts w:hint="eastAsia"/>
        </w:rPr>
        <w:t>具体可以分为公共成本和私人成本，本文主要探讨广西自治区内三个主要城市</w:t>
      </w:r>
      <w:r w:rsidR="000E2CD9">
        <w:rPr>
          <w:rFonts w:hint="eastAsia"/>
        </w:rPr>
        <w:t>(南宁、柳州、来宾</w:t>
      </w:r>
      <w:r w:rsidR="000E2CD9">
        <w:t>)</w:t>
      </w:r>
      <w:r>
        <w:rPr>
          <w:rFonts w:hint="eastAsia"/>
        </w:rPr>
        <w:t>的农民工市民化的公共成本下的基础设施成本、社会保障与就业成本、随迁子女教育成本，私人成本下的</w:t>
      </w:r>
      <w:r w:rsidR="000E2CD9">
        <w:rPr>
          <w:rFonts w:hint="eastAsia"/>
        </w:rPr>
        <w:t>个人</w:t>
      </w:r>
      <w:r>
        <w:rPr>
          <w:rFonts w:hint="eastAsia"/>
        </w:rPr>
        <w:t>生活成本、</w:t>
      </w:r>
      <w:r w:rsidR="000E2CD9">
        <w:rPr>
          <w:rFonts w:hint="eastAsia"/>
        </w:rPr>
        <w:t>个人</w:t>
      </w:r>
      <w:r>
        <w:rPr>
          <w:rFonts w:hint="eastAsia"/>
        </w:rPr>
        <w:t>住房成本、</w:t>
      </w:r>
      <w:r w:rsidR="000E2CD9">
        <w:rPr>
          <w:rFonts w:hint="eastAsia"/>
        </w:rPr>
        <w:t>个人机会</w:t>
      </w:r>
      <w:r>
        <w:rPr>
          <w:rFonts w:hint="eastAsia"/>
        </w:rPr>
        <w:t>成本。</w:t>
      </w:r>
      <w:r w:rsidR="006A45A2">
        <w:rPr>
          <w:rFonts w:hint="eastAsia"/>
        </w:rPr>
        <w:t>本文并没有在更长的时间维度进行测算，主要是考虑到当农民工转化为城市市民后，继续对其计算市民</w:t>
      </w:r>
      <w:proofErr w:type="gramStart"/>
      <w:r w:rsidR="006A45A2">
        <w:rPr>
          <w:rFonts w:hint="eastAsia"/>
        </w:rPr>
        <w:t>化成本</w:t>
      </w:r>
      <w:proofErr w:type="gramEnd"/>
      <w:r w:rsidR="006A45A2">
        <w:rPr>
          <w:rFonts w:hint="eastAsia"/>
        </w:rPr>
        <w:t>的方法适当性，因此主要集中探讨单一时间点单一农民工转化为城市市民的边际成本。</w:t>
      </w:r>
    </w:p>
    <w:p w14:paraId="7DF06C20" w14:textId="7E7A2F09" w:rsidR="00855326" w:rsidRDefault="00855326" w:rsidP="00855326">
      <w:pPr>
        <w:pStyle w:val="2"/>
      </w:pPr>
      <w:r>
        <w:rPr>
          <w:rFonts w:hint="eastAsia"/>
          <w:b w:val="0"/>
          <w:bCs w:val="0"/>
        </w:rPr>
        <w:t>3</w:t>
      </w:r>
      <w:r w:rsidRPr="00855326">
        <w:rPr>
          <w:rFonts w:hint="eastAsia"/>
          <w:b w:val="0"/>
          <w:bCs w:val="0"/>
        </w:rPr>
        <w:t>、</w:t>
      </w:r>
      <w:r>
        <w:rPr>
          <w:rFonts w:hint="eastAsia"/>
        </w:rPr>
        <w:t>市民</w:t>
      </w:r>
      <w:proofErr w:type="gramStart"/>
      <w:r>
        <w:rPr>
          <w:rFonts w:hint="eastAsia"/>
        </w:rPr>
        <w:t>化成本</w:t>
      </w:r>
      <w:proofErr w:type="gramEnd"/>
      <w:r>
        <w:rPr>
          <w:rFonts w:hint="eastAsia"/>
        </w:rPr>
        <w:t>模型构建及测算</w:t>
      </w:r>
    </w:p>
    <w:p w14:paraId="306B66B4" w14:textId="26081FE2" w:rsidR="00855326" w:rsidRDefault="00855326" w:rsidP="00855326">
      <w:pPr>
        <w:pStyle w:val="3"/>
      </w:pPr>
      <w:r>
        <w:rPr>
          <w:rFonts w:hint="eastAsia"/>
        </w:rPr>
        <w:t>3.1</w:t>
      </w:r>
      <w:r>
        <w:t xml:space="preserve"> </w:t>
      </w:r>
      <w:r>
        <w:rPr>
          <w:rFonts w:hint="eastAsia"/>
        </w:rPr>
        <w:t>成本模型的构建</w:t>
      </w:r>
    </w:p>
    <w:p w14:paraId="080C9D30" w14:textId="397FDC60" w:rsidR="0098348D" w:rsidRDefault="00855326" w:rsidP="00855326">
      <w:pPr>
        <w:ind w:firstLine="420"/>
      </w:pPr>
      <w:r>
        <w:rPr>
          <w:rFonts w:hint="eastAsia"/>
        </w:rPr>
        <w:t>结合已有数据和成本负担主体的差异，把农民工</w:t>
      </w:r>
      <w:r w:rsidR="006A45A2">
        <w:rPr>
          <w:rFonts w:hint="eastAsia"/>
        </w:rPr>
        <w:t>市民</w:t>
      </w:r>
      <w:proofErr w:type="gramStart"/>
      <w:r w:rsidR="006A45A2">
        <w:rPr>
          <w:rFonts w:hint="eastAsia"/>
        </w:rPr>
        <w:t>化</w:t>
      </w:r>
      <w:r>
        <w:rPr>
          <w:rFonts w:hint="eastAsia"/>
        </w:rPr>
        <w:t>成本</w:t>
      </w:r>
      <w:proofErr w:type="gramEnd"/>
      <w:r>
        <w:rPr>
          <w:rFonts w:hint="eastAsia"/>
        </w:rPr>
        <w:t>分为两部分，公共成本</w:t>
      </w:r>
      <m:oMath>
        <m:sSub>
          <m:sSubPr>
            <m:ctrlPr>
              <w:rPr>
                <w:rFonts w:ascii="Cambria Math" w:hAnsi="Cambria Math"/>
              </w:rPr>
            </m:ctrlPr>
          </m:sSubPr>
          <m:e>
            <m:r>
              <w:rPr>
                <w:rFonts w:ascii="Cambria Math" w:hAnsi="Cambria Math"/>
              </w:rPr>
              <m:t>C</m:t>
            </m:r>
          </m:e>
          <m:sub>
            <m:r>
              <w:rPr>
                <w:rFonts w:ascii="Cambria Math" w:hAnsi="Cambria Math" w:hint="eastAsia"/>
              </w:rPr>
              <m:t>公</m:t>
            </m:r>
          </m:sub>
        </m:sSub>
      </m:oMath>
      <w:r>
        <w:rPr>
          <w:rFonts w:hint="eastAsia"/>
        </w:rPr>
        <w:t>和私人成本</w:t>
      </w:r>
      <m:oMath>
        <m:sSub>
          <m:sSubPr>
            <m:ctrlPr>
              <w:rPr>
                <w:rFonts w:ascii="Cambria Math" w:hAnsi="Cambria Math"/>
              </w:rPr>
            </m:ctrlPr>
          </m:sSubPr>
          <m:e>
            <m:r>
              <w:rPr>
                <w:rFonts w:ascii="Cambria Math" w:hAnsi="Cambria Math" w:hint="eastAsia"/>
              </w:rPr>
              <m:t>C</m:t>
            </m:r>
          </m:e>
          <m:sub>
            <m:r>
              <w:rPr>
                <w:rFonts w:ascii="Cambria Math" w:hAnsi="Cambria Math" w:hint="eastAsia"/>
              </w:rPr>
              <m:t>私</m:t>
            </m:r>
          </m:sub>
        </m:sSub>
      </m:oMath>
      <w:r>
        <w:rPr>
          <w:rFonts w:hint="eastAsia"/>
        </w:rPr>
        <w:t>。根据负担主体划分的两个层次再进行更细粒度的依次测算，加总就可以得到农民工市民化成本。</w:t>
      </w:r>
      <w:r w:rsidR="0098348D">
        <w:rPr>
          <w:rFonts w:hint="eastAsia"/>
        </w:rPr>
        <w:t>因此，农民工市民</w:t>
      </w:r>
      <w:proofErr w:type="gramStart"/>
      <w:r w:rsidR="0098348D">
        <w:rPr>
          <w:rFonts w:hint="eastAsia"/>
        </w:rPr>
        <w:t>化成本</w:t>
      </w:r>
      <w:proofErr w:type="gramEnd"/>
      <w:r w:rsidR="0098348D">
        <w:rPr>
          <w:rFonts w:hint="eastAsia"/>
        </w:rPr>
        <w:t>测算公式为：</w:t>
      </w:r>
    </w:p>
    <w:p w14:paraId="20BBD554" w14:textId="15DF39F6" w:rsidR="00855326" w:rsidRDefault="000473EE" w:rsidP="0098348D">
      <w:pPr>
        <w:ind w:left="2100" w:firstLine="420"/>
        <w:jc w:val="center"/>
      </w:pP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sidR="00855326">
        <w:rPr>
          <w:rFonts w:hint="eastAsia"/>
        </w:rPr>
        <w:t>=</w:t>
      </w:r>
      <m:oMath>
        <m:sSub>
          <m:sSubPr>
            <m:ctrlPr>
              <w:rPr>
                <w:rFonts w:ascii="Cambria Math" w:hAnsi="Cambria Math"/>
              </w:rPr>
            </m:ctrlPr>
          </m:sSubPr>
          <m:e>
            <m:r>
              <w:rPr>
                <w:rFonts w:ascii="Cambria Math" w:hAnsi="Cambria Math"/>
              </w:rPr>
              <m:t>C</m:t>
            </m:r>
          </m:e>
          <m:sub>
            <m:r>
              <w:rPr>
                <w:rFonts w:ascii="Cambria Math" w:hAnsi="Cambria Math" w:hint="eastAsia"/>
              </w:rPr>
              <m:t>公</m:t>
            </m:r>
          </m:sub>
        </m:sSub>
      </m:oMath>
      <w:r w:rsidR="00855326">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hint="eastAsia"/>
              </w:rPr>
              <m:t>私</m:t>
            </m:r>
          </m:sub>
        </m:sSub>
      </m:oMath>
      <w:r w:rsidR="0098348D">
        <w:rPr>
          <w:rFonts w:hint="eastAsia"/>
        </w:rPr>
        <w:t xml:space="preserve"> </w:t>
      </w:r>
      <w:r w:rsidR="0098348D">
        <w:t xml:space="preserve">                              </w:t>
      </w:r>
      <w:r w:rsidR="0098348D">
        <w:tab/>
      </w:r>
      <w:r w:rsidR="0098348D">
        <w:tab/>
      </w:r>
      <w:r w:rsidR="0098348D">
        <w:rPr>
          <w:rFonts w:hint="eastAsia"/>
        </w:rPr>
        <w:t>（1）</w:t>
      </w:r>
    </w:p>
    <w:p w14:paraId="10840F1B" w14:textId="1A824A89" w:rsidR="0098348D" w:rsidRDefault="0098348D" w:rsidP="0098348D">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hint="eastAsia"/>
              </w:rPr>
              <m:t>总</m:t>
            </m:r>
          </m:sub>
        </m:sSub>
      </m:oMath>
      <w:r>
        <w:rPr>
          <w:rFonts w:hint="eastAsia"/>
        </w:rPr>
        <w:t>就是单个农民工市民化所需要的总成本。</w:t>
      </w:r>
    </w:p>
    <w:p w14:paraId="137226B0" w14:textId="63063251" w:rsidR="0098348D" w:rsidRDefault="0098348D" w:rsidP="0098348D">
      <w:r>
        <w:tab/>
      </w:r>
      <w:r>
        <w:rPr>
          <w:rFonts w:hint="eastAsia"/>
        </w:rPr>
        <w:t>依据此公式，再进行更细粒度的划分，具体可以参照下表：</w:t>
      </w:r>
    </w:p>
    <w:p w14:paraId="7FC53293" w14:textId="77777777" w:rsidR="00732AD5" w:rsidRDefault="00732AD5" w:rsidP="0098348D"/>
    <w:tbl>
      <w:tblPr>
        <w:tblStyle w:val="11"/>
        <w:tblW w:w="0" w:type="auto"/>
        <w:tblLook w:val="04A0" w:firstRow="1" w:lastRow="0" w:firstColumn="1" w:lastColumn="0" w:noHBand="0" w:noVBand="1"/>
      </w:tblPr>
      <w:tblGrid>
        <w:gridCol w:w="8296"/>
      </w:tblGrid>
      <w:tr w:rsidR="0098348D" w14:paraId="23EC53AD" w14:textId="77777777" w:rsidTr="0098348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7BCE00D" w14:textId="06A7E842" w:rsidR="0098348D" w:rsidRDefault="0098348D" w:rsidP="0098348D">
            <w:r w:rsidRPr="0098348D">
              <w:rPr>
                <w:rFonts w:hint="eastAsia"/>
                <w:b w:val="0"/>
              </w:rPr>
              <w:t>公共成本(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公</m:t>
                  </m:r>
                </m:sub>
              </m:sSub>
            </m:oMath>
            <w:r w:rsidRPr="0098348D">
              <w:rPr>
                <w:rFonts w:hint="eastAsia"/>
                <w:b w:val="0"/>
                <w:bCs w:val="0"/>
              </w:rPr>
              <w:t>)</w:t>
            </w:r>
            <w:r>
              <w:rPr>
                <w:b w:val="0"/>
                <w:bCs w:val="0"/>
              </w:rPr>
              <w:t xml:space="preserve">                    </w:t>
            </w:r>
            <w:r>
              <w:rPr>
                <w:rFonts w:hint="eastAsia"/>
                <w:b w:val="0"/>
                <w:bCs w:val="0"/>
              </w:rPr>
              <w:t>私人成本(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私</m:t>
                  </m:r>
                </m:sub>
              </m:sSub>
            </m:oMath>
            <w:r>
              <w:rPr>
                <w:b w:val="0"/>
                <w:bCs w:val="0"/>
              </w:rPr>
              <w:t xml:space="preserve">)                   </w:t>
            </w:r>
            <w:r>
              <w:rPr>
                <w:rFonts w:hint="eastAsia"/>
                <w:b w:val="0"/>
                <w:bCs w:val="0"/>
              </w:rPr>
              <w:t>总成本(</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Pr>
                <w:rFonts w:hint="eastAsia"/>
                <w:b w:val="0"/>
                <w:bCs w:val="0"/>
              </w:rPr>
              <w:t>)</w:t>
            </w:r>
          </w:p>
        </w:tc>
      </w:tr>
      <w:tr w:rsidR="0098348D" w14:paraId="5230A4BB" w14:textId="77777777" w:rsidTr="0098348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501FABE7" w14:textId="0706A5B2" w:rsidR="007D1FCE" w:rsidRPr="006A45A2" w:rsidRDefault="0098348D" w:rsidP="0098348D">
            <w:r w:rsidRPr="007D1FCE">
              <w:rPr>
                <w:rFonts w:hint="eastAsia"/>
                <w:b w:val="0"/>
              </w:rPr>
              <w:t>基础设施成本</w:t>
            </w:r>
            <w:r w:rsidRPr="0098348D">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1</m:t>
                  </m:r>
                </m:sub>
              </m:sSub>
            </m:oMath>
            <w:r w:rsidR="007D1FCE">
              <w:rPr>
                <w:rFonts w:hint="eastAsia"/>
                <w:b w:val="0"/>
                <w:bCs w:val="0"/>
              </w:rPr>
              <w:t>)</w:t>
            </w:r>
            <w:r w:rsidR="007D1FCE">
              <w:rPr>
                <w:b w:val="0"/>
                <w:bCs w:val="0"/>
              </w:rPr>
              <w:t xml:space="preserve">                 </w:t>
            </w:r>
            <w:r w:rsidR="006A45A2">
              <w:rPr>
                <w:rFonts w:hint="eastAsia"/>
                <w:b w:val="0"/>
                <w:bCs w:val="0"/>
              </w:rPr>
              <w:t>住房成本(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4</m:t>
                  </m:r>
                </m:sub>
              </m:sSub>
            </m:oMath>
            <w:r w:rsidR="006A45A2">
              <w:rPr>
                <w:rFonts w:hint="eastAsia"/>
                <w:b w:val="0"/>
                <w:bCs w:val="0"/>
              </w:rPr>
              <w:t>)</w:t>
            </w:r>
            <w:r w:rsidR="007D1FCE">
              <w:rPr>
                <w:b w:val="0"/>
                <w:bCs w:val="0"/>
              </w:rPr>
              <w:t xml:space="preserve">          </w:t>
            </w:r>
            <w:r w:rsidR="006A45A2">
              <w:rPr>
                <w:b w:val="0"/>
                <w:bCs w:val="0"/>
              </w:rPr>
              <w:t xml:space="preserve"> </w:t>
            </w:r>
            <m:oMath>
              <m:sSub>
                <m:sSubPr>
                  <m:ctrlPr>
                    <w:rPr>
                      <w:rFonts w:ascii="Cambria Math" w:hAnsi="Cambria Math"/>
                      <w:b w:val="0"/>
                      <w:bCs w:val="0"/>
                    </w:rPr>
                  </m:ctrlPr>
                </m:sSubPr>
                <m:e>
                  <m:r>
                    <m:rPr>
                      <m:sty m:val="bi"/>
                    </m:rPr>
                    <w:rPr>
                      <w:rFonts w:ascii="Cambria Math" w:hAnsi="Cambria Math" w:hint="eastAsia"/>
                    </w:rPr>
                    <m:t>C</m:t>
                  </m:r>
                </m:e>
                <m:sub>
                  <m:r>
                    <m:rPr>
                      <m:sty m:val="bi"/>
                    </m:rPr>
                    <w:rPr>
                      <w:rFonts w:ascii="Cambria Math" w:hAnsi="Cambria Math" w:hint="eastAsia"/>
                    </w:rPr>
                    <m:t>总</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1</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2</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3</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4</m:t>
                  </m:r>
                </m:sub>
              </m:sSub>
            </m:oMath>
            <w:r w:rsidR="007D1FCE">
              <w:rPr>
                <w:rFonts w:hint="eastAsia"/>
                <w:b w:val="0"/>
                <w:bCs w:val="0"/>
              </w:rPr>
              <w:t>+</w:t>
            </w:r>
          </w:p>
          <w:p w14:paraId="50E112D8" w14:textId="5789052C" w:rsidR="007D1FCE" w:rsidRPr="007D1FCE" w:rsidRDefault="000473EE" w:rsidP="006A45A2">
            <w:pPr>
              <w:ind w:firstLineChars="3400" w:firstLine="7140"/>
            </w:pP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5</m:t>
                  </m:r>
                </m:sub>
              </m:sSub>
            </m:oMath>
            <w:r w:rsidR="007D1FCE">
              <w:rPr>
                <w:rFonts w:hint="eastAsia"/>
                <w:b w:val="0"/>
                <w:bCs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6</m:t>
                  </m:r>
                </m:sub>
              </m:sSub>
            </m:oMath>
          </w:p>
          <w:p w14:paraId="4997E537" w14:textId="2130190B" w:rsidR="007D1FCE" w:rsidRDefault="007D1FCE" w:rsidP="0098348D">
            <w:r w:rsidRPr="007D1FCE">
              <w:rPr>
                <w:rFonts w:hint="eastAsia"/>
                <w:b w:val="0"/>
              </w:rPr>
              <w:t>社会保障与就业成本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2</m:t>
                  </m:r>
                </m:sub>
              </m:sSub>
            </m:oMath>
            <w:r>
              <w:rPr>
                <w:rFonts w:hint="eastAsia"/>
                <w:b w:val="0"/>
                <w:bCs w:val="0"/>
              </w:rPr>
              <w:t>)</w:t>
            </w:r>
            <w:r>
              <w:rPr>
                <w:b w:val="0"/>
                <w:bCs w:val="0"/>
              </w:rPr>
              <w:t xml:space="preserve">          </w:t>
            </w:r>
            <w:r w:rsidR="006A45A2">
              <w:rPr>
                <w:b w:val="0"/>
                <w:bCs w:val="0"/>
              </w:rPr>
              <w:t xml:space="preserve"> </w:t>
            </w:r>
            <w:r w:rsidR="006A45A2">
              <w:rPr>
                <w:rFonts w:hint="eastAsia"/>
                <w:b w:val="0"/>
                <w:bCs w:val="0"/>
              </w:rPr>
              <w:t>生活成本(</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5</m:t>
                  </m:r>
                </m:sub>
              </m:sSub>
            </m:oMath>
            <w:r w:rsidR="006A45A2">
              <w:rPr>
                <w:rFonts w:hint="eastAsia"/>
                <w:b w:val="0"/>
                <w:bCs w:val="0"/>
              </w:rPr>
              <w:t>)</w:t>
            </w:r>
          </w:p>
          <w:p w14:paraId="1F423361" w14:textId="77777777" w:rsidR="007D1FCE" w:rsidRPr="00A5450B" w:rsidRDefault="007D1FCE" w:rsidP="0098348D">
            <w:pPr>
              <w:rPr>
                <w:b w:val="0"/>
              </w:rPr>
            </w:pPr>
          </w:p>
          <w:p w14:paraId="49B3851E" w14:textId="77777777" w:rsidR="006A45A2" w:rsidRDefault="007D1FCE" w:rsidP="0098348D">
            <w:pPr>
              <w:rPr>
                <w:b w:val="0"/>
                <w:bCs w:val="0"/>
              </w:rPr>
            </w:pPr>
            <w:r w:rsidRPr="007D1FCE">
              <w:rPr>
                <w:rFonts w:hint="eastAsia"/>
                <w:b w:val="0"/>
              </w:rPr>
              <w:t>随迁子女教育成本</w:t>
            </w:r>
            <w:r>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rPr>
                    <m:t>3</m:t>
                  </m:r>
                </m:sub>
              </m:sSub>
            </m:oMath>
            <w:r>
              <w:rPr>
                <w:rFonts w:hint="eastAsia"/>
                <w:b w:val="0"/>
                <w:bCs w:val="0"/>
              </w:rPr>
              <w:t>)</w:t>
            </w:r>
            <w:r>
              <w:rPr>
                <w:b w:val="0"/>
                <w:bCs w:val="0"/>
              </w:rPr>
              <w:t xml:space="preserve">            </w:t>
            </w:r>
            <w:r w:rsidR="006A45A2">
              <w:rPr>
                <w:rFonts w:hint="eastAsia"/>
                <w:b w:val="0"/>
                <w:bCs w:val="0"/>
              </w:rPr>
              <w:t>个人机会</w:t>
            </w:r>
            <w:r w:rsidR="006A45A2" w:rsidRPr="007D1FCE">
              <w:rPr>
                <w:rFonts w:hint="eastAsia"/>
                <w:b w:val="0"/>
              </w:rPr>
              <w:t>成本</w:t>
            </w:r>
            <w:r w:rsidR="006A45A2">
              <w:rPr>
                <w:rFonts w:hint="eastAsia"/>
                <w:b w:val="0"/>
              </w:rPr>
              <w:t>(</w:t>
            </w:r>
            <m:oMath>
              <m:sSub>
                <m:sSubPr>
                  <m:ctrlPr>
                    <w:rPr>
                      <w:rFonts w:ascii="Cambria Math" w:hAnsi="Cambria Math"/>
                      <w:b w:val="0"/>
                      <w:bCs w:val="0"/>
                    </w:rPr>
                  </m:ctrlPr>
                </m:sSubPr>
                <m:e>
                  <m:r>
                    <m:rPr>
                      <m:sty m:val="bi"/>
                    </m:rPr>
                    <w:rPr>
                      <w:rFonts w:ascii="Cambria Math" w:hAnsi="Cambria Math"/>
                    </w:rPr>
                    <m:t>C</m:t>
                  </m:r>
                </m:e>
                <m:sub>
                  <m:r>
                    <m:rPr>
                      <m:sty m:val="bi"/>
                    </m:rPr>
                    <w:rPr>
                      <w:rFonts w:ascii="Cambria Math" w:hAnsi="Cambria Math" w:hint="eastAsia"/>
                    </w:rPr>
                    <m:t>6</m:t>
                  </m:r>
                </m:sub>
              </m:sSub>
            </m:oMath>
            <w:r w:rsidR="006A45A2">
              <w:rPr>
                <w:rFonts w:hint="eastAsia"/>
                <w:b w:val="0"/>
                <w:bCs w:val="0"/>
              </w:rPr>
              <w:t>)</w:t>
            </w:r>
            <w:r w:rsidR="006A45A2">
              <w:rPr>
                <w:b w:val="0"/>
                <w:bCs w:val="0"/>
              </w:rPr>
              <w:t xml:space="preserve"> </w:t>
            </w:r>
          </w:p>
          <w:p w14:paraId="3C52DE8D" w14:textId="23C7F94B" w:rsidR="0098348D" w:rsidRPr="006A45A2" w:rsidRDefault="007D1FCE" w:rsidP="0098348D">
            <w:r w:rsidRPr="007D1FCE">
              <w:rPr>
                <w:b w:val="0"/>
                <w:bCs w:val="0"/>
              </w:rPr>
              <w:t xml:space="preserve"> </w:t>
            </w:r>
          </w:p>
        </w:tc>
      </w:tr>
    </w:tbl>
    <w:p w14:paraId="22908C0A" w14:textId="0E0144D5" w:rsidR="00635430" w:rsidRDefault="00635430" w:rsidP="00635430">
      <w:pPr>
        <w:jc w:val="center"/>
      </w:pPr>
      <w:r>
        <w:rPr>
          <w:rFonts w:hint="eastAsia"/>
        </w:rPr>
        <w:lastRenderedPageBreak/>
        <w:t>表二 市民</w:t>
      </w:r>
      <w:proofErr w:type="gramStart"/>
      <w:r>
        <w:rPr>
          <w:rFonts w:hint="eastAsia"/>
        </w:rPr>
        <w:t>化成本</w:t>
      </w:r>
      <w:proofErr w:type="gramEnd"/>
      <w:r>
        <w:rPr>
          <w:rFonts w:hint="eastAsia"/>
        </w:rPr>
        <w:t>的划分</w:t>
      </w:r>
    </w:p>
    <w:p w14:paraId="488274B3" w14:textId="586E827B" w:rsidR="0098348D" w:rsidRDefault="007D1FCE" w:rsidP="007D1FCE">
      <w:pPr>
        <w:pStyle w:val="3"/>
      </w:pPr>
      <w:r>
        <w:rPr>
          <w:rFonts w:hint="eastAsia"/>
        </w:rPr>
        <w:t>3</w:t>
      </w:r>
      <w:r>
        <w:t>.2</w:t>
      </w:r>
      <w:r>
        <w:rPr>
          <w:rFonts w:hint="eastAsia"/>
        </w:rPr>
        <w:t>、具体成本测算</w:t>
      </w:r>
      <w:r>
        <w:t>-</w:t>
      </w:r>
      <w:r>
        <w:rPr>
          <w:rFonts w:hint="eastAsia"/>
        </w:rPr>
        <w:t>基于南宁、柳州、</w:t>
      </w:r>
      <w:r w:rsidR="003474E3">
        <w:rPr>
          <w:rFonts w:hint="eastAsia"/>
        </w:rPr>
        <w:t>来宾</w:t>
      </w:r>
      <w:r>
        <w:rPr>
          <w:rFonts w:hint="eastAsia"/>
        </w:rPr>
        <w:t>三市201</w:t>
      </w:r>
      <w:r w:rsidR="003474E3">
        <w:rPr>
          <w:rFonts w:hint="eastAsia"/>
        </w:rPr>
        <w:t>5</w:t>
      </w:r>
      <w:r>
        <w:rPr>
          <w:rFonts w:hint="eastAsia"/>
        </w:rPr>
        <w:t>年数据</w:t>
      </w:r>
    </w:p>
    <w:p w14:paraId="7F426A9C" w14:textId="61E5C0E0" w:rsidR="007D1FCE" w:rsidRDefault="00F12782" w:rsidP="00F12782">
      <w:pPr>
        <w:pStyle w:val="4"/>
      </w:pPr>
      <w:r>
        <w:rPr>
          <w:rFonts w:hint="eastAsia"/>
        </w:rPr>
        <w:t>3.2.1、公共成本(</w:t>
      </w:r>
      <m:oMath>
        <m:sSub>
          <m:sSubPr>
            <m:ctrlPr>
              <w:rPr>
                <w:rFonts w:ascii="Cambria Math" w:eastAsiaTheme="minorEastAsia" w:hAnsi="Cambria Math" w:cstheme="minorBidi"/>
                <w:sz w:val="21"/>
                <w:szCs w:val="22"/>
              </w:rPr>
            </m:ctrlPr>
          </m:sSubPr>
          <m:e>
            <m:r>
              <m:rPr>
                <m:sty m:val="bi"/>
              </m:rPr>
              <w:rPr>
                <w:rFonts w:ascii="Cambria Math" w:hAnsi="Cambria Math"/>
              </w:rPr>
              <m:t>C</m:t>
            </m:r>
          </m:e>
          <m:sub>
            <m:r>
              <m:rPr>
                <m:sty m:val="bi"/>
              </m:rPr>
              <w:rPr>
                <w:rFonts w:ascii="Cambria Math" w:hAnsi="Cambria Math" w:hint="eastAsia"/>
              </w:rPr>
              <m:t>公</m:t>
            </m:r>
          </m:sub>
        </m:sSub>
      </m:oMath>
      <w:r>
        <w:t>)</w:t>
      </w:r>
    </w:p>
    <w:p w14:paraId="4625346E" w14:textId="38F26A0E" w:rsidR="00F12782" w:rsidRDefault="00F12782" w:rsidP="00F12782">
      <w:pPr>
        <w:pStyle w:val="5"/>
      </w:pPr>
      <w:r>
        <w:rPr>
          <w:rFonts w:hint="eastAsia"/>
        </w:rPr>
        <w:t>3</w:t>
      </w:r>
      <w:r>
        <w:t>.2.1.1</w:t>
      </w:r>
      <w:r>
        <w:rPr>
          <w:rFonts w:hint="eastAsia"/>
        </w:rPr>
        <w:t>、基础设施成本</w:t>
      </w:r>
    </w:p>
    <w:p w14:paraId="46DB5C20" w14:textId="26E2B1C6" w:rsidR="00F12782" w:rsidRDefault="00F12782" w:rsidP="00046C18">
      <w:pPr>
        <w:ind w:firstLine="420"/>
      </w:pPr>
      <w:r>
        <w:rPr>
          <w:rFonts w:hint="eastAsia"/>
        </w:rPr>
        <w:t>农民工市民化的基础设施成本是指</w:t>
      </w:r>
      <w:r w:rsidR="00046C18">
        <w:rPr>
          <w:rFonts w:hint="eastAsia"/>
        </w:rPr>
        <w:t>随着农民工市民化，农民工享受和城市居民相同的基础设施，因此基础设施成本是指除去了房地产投资的全市固定资产投资除以全市非农总人口数。具体公式如下：</w:t>
      </w:r>
    </w:p>
    <w:p w14:paraId="157E210D" w14:textId="3C1762D7" w:rsidR="00046C18" w:rsidRPr="00F12782" w:rsidRDefault="00046C18" w:rsidP="00046C18">
      <w:pPr>
        <w:ind w:firstLine="420"/>
        <w:jc w:val="center"/>
      </w:pPr>
      <w:r>
        <w:rPr>
          <w:rFonts w:hint="eastAsia"/>
          <w:b/>
        </w:rPr>
        <w:t xml:space="preserve"> </w:t>
      </w:r>
      <w:r>
        <w:rPr>
          <w:b/>
        </w:rPr>
        <w:t xml:space="preserve">                         </w:t>
      </w:r>
      <m:oMath>
        <m:sSub>
          <m:sSubPr>
            <m:ctrlPr>
              <w:rPr>
                <w:rFonts w:ascii="Cambria Math" w:hAnsi="Cambria Math"/>
                <w:b/>
              </w:rPr>
            </m:ctrlPr>
          </m:sSubPr>
          <m:e>
            <m:r>
              <m:rPr>
                <m:sty m:val="bi"/>
              </m:rPr>
              <w:rPr>
                <w:rFonts w:ascii="Cambria Math" w:hAnsi="Cambria Math"/>
              </w:rPr>
              <m:t>C</m:t>
            </m:r>
          </m:e>
          <m:sub>
            <m:r>
              <m:rPr>
                <m:sty m:val="bi"/>
              </m:rPr>
              <w:rPr>
                <w:rFonts w:ascii="Cambria Math" w:hAnsi="Cambria Math"/>
              </w:rPr>
              <m:t>1</m:t>
            </m:r>
          </m:sub>
        </m:sSub>
      </m:oMath>
      <w:r>
        <w:rPr>
          <w:rFonts w:hint="eastAsia"/>
          <w:b/>
        </w:rPr>
        <w:t>=</w:t>
      </w:r>
      <m:oMath>
        <m:f>
          <m:fPr>
            <m:type m:val="skw"/>
            <m:ctrlPr>
              <w:rPr>
                <w:rFonts w:ascii="Cambria Math" w:hAnsi="Cambria Math"/>
                <w:b/>
              </w:rPr>
            </m:ctrlPr>
          </m:fPr>
          <m:num>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num>
          <m:den>
            <m:r>
              <m:rPr>
                <m:sty m:val="bi"/>
              </m:rPr>
              <w:rPr>
                <w:rFonts w:ascii="Cambria Math" w:hAnsi="Cambria Math" w:hint="eastAsia"/>
              </w:rPr>
              <m:t>P</m:t>
            </m:r>
          </m:den>
        </m:f>
      </m:oMath>
      <w:r>
        <w:rPr>
          <w:rFonts w:hint="eastAsia"/>
          <w:b/>
        </w:rPr>
        <w:t xml:space="preserve"> </w:t>
      </w:r>
      <w:r>
        <w:rPr>
          <w:b/>
        </w:rPr>
        <w:t xml:space="preserve">                                 (2)  </w:t>
      </w:r>
    </w:p>
    <w:p w14:paraId="2774082C" w14:textId="3280091D" w:rsidR="00F12782" w:rsidRDefault="00046C18" w:rsidP="007D1FCE">
      <w:r>
        <w:rPr>
          <w:rFonts w:hint="eastAsia"/>
        </w:rPr>
        <w:t>其中</w:t>
      </w:r>
      <m:oMath>
        <m:sSub>
          <m:sSubPr>
            <m:ctrlPr>
              <w:rPr>
                <w:rFonts w:ascii="Cambria Math" w:hAnsi="Cambria Math"/>
                <w:b/>
                <w:i/>
              </w:rPr>
            </m:ctrlPr>
          </m:sSubPr>
          <m:e>
            <m:r>
              <m:rPr>
                <m:sty m:val="bi"/>
              </m:rPr>
              <w:rPr>
                <w:rFonts w:ascii="Cambria Math" w:hAnsi="Cambria Math" w:hint="eastAsia"/>
              </w:rPr>
              <m:t>I</m:t>
            </m:r>
          </m:e>
          <m:sub>
            <m:r>
              <m:rPr>
                <m:sty m:val="bi"/>
              </m:rPr>
              <w:rPr>
                <w:rFonts w:ascii="Cambria Math" w:hAnsi="Cambria Math" w:hint="eastAsia"/>
              </w:rPr>
              <m:t>固</m:t>
            </m:r>
          </m:sub>
        </m:sSub>
      </m:oMath>
      <w:r>
        <w:rPr>
          <w:rFonts w:hint="eastAsia"/>
          <w:b/>
        </w:rPr>
        <w:t>为</w:t>
      </w:r>
      <w:r>
        <w:rPr>
          <w:rFonts w:hint="eastAsia"/>
        </w:rPr>
        <w:t>除去了房地产投资</w:t>
      </w:r>
      <w:r w:rsidR="006A4436">
        <w:rPr>
          <w:rFonts w:hint="eastAsia"/>
        </w:rPr>
        <w:t>和农村非农户投资</w:t>
      </w:r>
      <w:r>
        <w:rPr>
          <w:rFonts w:hint="eastAsia"/>
        </w:rPr>
        <w:t>的全市固定资产投资总额，p为全市</w:t>
      </w:r>
      <w:r w:rsidR="006A4436">
        <w:rPr>
          <w:rFonts w:hint="eastAsia"/>
        </w:rPr>
        <w:t>城镇</w:t>
      </w:r>
      <w:r>
        <w:rPr>
          <w:rFonts w:hint="eastAsia"/>
        </w:rPr>
        <w:t>人口数，因此可以算出南宁、柳州、</w:t>
      </w:r>
      <w:r w:rsidR="004E6C25">
        <w:rPr>
          <w:rFonts w:hint="eastAsia"/>
        </w:rPr>
        <w:t>来宾</w:t>
      </w:r>
      <w:r>
        <w:rPr>
          <w:rFonts w:hint="eastAsia"/>
        </w:rPr>
        <w:t>三市</w:t>
      </w:r>
      <w:r w:rsidR="00367B8F">
        <w:rPr>
          <w:rFonts w:hint="eastAsia"/>
        </w:rPr>
        <w:t>2015年</w:t>
      </w:r>
      <w:r>
        <w:rPr>
          <w:rFonts w:hint="eastAsia"/>
        </w:rPr>
        <w:t>的</w:t>
      </w:r>
      <w:r w:rsidR="00142D4D">
        <w:rPr>
          <w:rFonts w:hint="eastAsia"/>
        </w:rPr>
        <w:t>人均</w:t>
      </w:r>
      <w:r>
        <w:rPr>
          <w:rFonts w:hint="eastAsia"/>
        </w:rPr>
        <w:t>基础设施成本为下表所示：</w:t>
      </w:r>
    </w:p>
    <w:tbl>
      <w:tblPr>
        <w:tblStyle w:val="21"/>
        <w:tblW w:w="0" w:type="auto"/>
        <w:tblLook w:val="04A0" w:firstRow="1" w:lastRow="0" w:firstColumn="1" w:lastColumn="0" w:noHBand="0" w:noVBand="1"/>
      </w:tblPr>
      <w:tblGrid>
        <w:gridCol w:w="8296"/>
      </w:tblGrid>
      <w:tr w:rsidR="00046C18" w14:paraId="031407BC" w14:textId="77777777" w:rsidTr="00046C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1F8DBC6" w14:textId="24133001" w:rsidR="00046C18" w:rsidRDefault="00367B8F" w:rsidP="007D1FCE">
            <w:r>
              <w:rPr>
                <w:rFonts w:hint="eastAsia"/>
              </w:rPr>
              <w:t xml:space="preserve">南宁(单位：元) </w:t>
            </w:r>
            <w:r>
              <w:t xml:space="preserve">               </w:t>
            </w:r>
            <w:r>
              <w:rPr>
                <w:rFonts w:hint="eastAsia"/>
              </w:rPr>
              <w:t>柳州(单位：元</w:t>
            </w:r>
            <w:r>
              <w:t>)</w:t>
            </w:r>
            <w:r>
              <w:rPr>
                <w:rFonts w:hint="eastAsia"/>
              </w:rPr>
              <w:t xml:space="preserve"> </w:t>
            </w:r>
            <w:r>
              <w:t xml:space="preserve">                   </w:t>
            </w:r>
            <w:r w:rsidR="00D27701">
              <w:rPr>
                <w:rFonts w:hint="eastAsia"/>
              </w:rPr>
              <w:t>来宾</w:t>
            </w:r>
            <w:r>
              <w:rPr>
                <w:rFonts w:hint="eastAsia"/>
              </w:rPr>
              <w:t>(单位：元</w:t>
            </w:r>
            <w:r>
              <w:t>)</w:t>
            </w:r>
          </w:p>
        </w:tc>
      </w:tr>
      <w:tr w:rsidR="00046C18" w14:paraId="780D5393" w14:textId="77777777" w:rsidTr="00046C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327971BE" w14:textId="2A601649" w:rsidR="00046C18" w:rsidRDefault="00A753EC" w:rsidP="00A753EC">
            <w:pPr>
              <w:ind w:firstLineChars="100" w:firstLine="210"/>
            </w:pPr>
            <w:r>
              <w:rPr>
                <w:rFonts w:hint="eastAsia"/>
              </w:rPr>
              <w:t>81017</w:t>
            </w:r>
            <w:r w:rsidR="006A4436">
              <w:t xml:space="preserve">                         </w:t>
            </w:r>
            <w:r w:rsidR="006A4436">
              <w:rPr>
                <w:rFonts w:hint="eastAsia"/>
              </w:rPr>
              <w:t>96734</w:t>
            </w:r>
            <w:r w:rsidR="006A4436">
              <w:t xml:space="preserve">                             </w:t>
            </w:r>
            <w:r w:rsidR="006A4436">
              <w:rPr>
                <w:rFonts w:hint="eastAsia"/>
              </w:rPr>
              <w:t>57616</w:t>
            </w:r>
          </w:p>
        </w:tc>
      </w:tr>
    </w:tbl>
    <w:p w14:paraId="1A7525C7" w14:textId="735307C0" w:rsidR="004E6C25" w:rsidRDefault="004E6C25" w:rsidP="004E6C25">
      <w:pPr>
        <w:ind w:firstLine="420"/>
        <w:jc w:val="center"/>
      </w:pPr>
      <w:r>
        <w:rPr>
          <w:rFonts w:hint="eastAsia"/>
        </w:rPr>
        <w:t>表三 南宁、柳州、来宾三市人均基础设施建设成本</w:t>
      </w:r>
    </w:p>
    <w:p w14:paraId="07B35FE8" w14:textId="5C17DC8E" w:rsidR="00046C18" w:rsidRDefault="00142D4D" w:rsidP="00142D4D">
      <w:pPr>
        <w:ind w:firstLine="420"/>
      </w:pPr>
      <w:r>
        <w:rPr>
          <w:rFonts w:hint="eastAsia"/>
        </w:rPr>
        <w:t>柳州市的人均基础设施成本最高为96734元，而南宁由于人口众多，虽然固定资产投资总量相较柳州更多，但其人口也更为庞大，因此人均比柳州略低，百色市则最低。</w:t>
      </w:r>
    </w:p>
    <w:p w14:paraId="53C71C23" w14:textId="30FB1D11" w:rsidR="00142D4D" w:rsidRDefault="00142D4D" w:rsidP="00142D4D">
      <w:pPr>
        <w:pStyle w:val="5"/>
      </w:pPr>
      <w:r>
        <w:rPr>
          <w:rFonts w:hint="eastAsia"/>
        </w:rPr>
        <w:t>3.2.1.2、社会保障</w:t>
      </w:r>
      <w:r w:rsidR="00352A5D">
        <w:rPr>
          <w:rFonts w:hint="eastAsia"/>
        </w:rPr>
        <w:t>和就业</w:t>
      </w:r>
      <w:r>
        <w:rPr>
          <w:rFonts w:hint="eastAsia"/>
        </w:rPr>
        <w:t>成本</w:t>
      </w:r>
    </w:p>
    <w:p w14:paraId="3B32ED30" w14:textId="4A3DA099" w:rsidR="00142D4D" w:rsidRDefault="00352A5D" w:rsidP="00352A5D">
      <w:pPr>
        <w:ind w:firstLine="420"/>
      </w:pPr>
      <w:r>
        <w:rPr>
          <w:rFonts w:hint="eastAsia"/>
        </w:rPr>
        <w:t>社会保障和就业成本是指市民享受到的医疗保险、养老保险、最低生活保障等</w:t>
      </w:r>
      <w:proofErr w:type="gramStart"/>
      <w:r>
        <w:rPr>
          <w:rFonts w:hint="eastAsia"/>
        </w:rPr>
        <w:t>诸多政府</w:t>
      </w:r>
      <w:proofErr w:type="gramEnd"/>
      <w:r>
        <w:rPr>
          <w:rFonts w:hint="eastAsia"/>
        </w:rPr>
        <w:t>转移支出。因为农民工成为市民之后也享受到同样的</w:t>
      </w:r>
      <w:r w:rsidR="00B73A6C">
        <w:rPr>
          <w:rFonts w:hint="eastAsia"/>
        </w:rPr>
        <w:t>社保与就业待遇，因此可以以如下公式计算其成本：</w:t>
      </w:r>
    </w:p>
    <w:p w14:paraId="3946F2BC" w14:textId="798398DA" w:rsidR="00B73A6C" w:rsidRPr="00142D4D" w:rsidRDefault="000473EE" w:rsidP="00B73A6C">
      <w:pPr>
        <w:ind w:left="2940" w:firstLine="420"/>
      </w:pPr>
      <m:oMath>
        <m:sSub>
          <m:sSubPr>
            <m:ctrlPr>
              <w:rPr>
                <w:rFonts w:ascii="Cambria Math" w:hAnsi="Cambria Math"/>
              </w:rPr>
            </m:ctrlPr>
          </m:sSubPr>
          <m:e>
            <m:r>
              <w:rPr>
                <w:rFonts w:ascii="Cambria Math" w:hAnsi="Cambria Math" w:hint="eastAsia"/>
              </w:rPr>
              <m:t>C</m:t>
            </m:r>
          </m:e>
          <m:sub>
            <m:r>
              <w:rPr>
                <w:rFonts w:ascii="Cambria Math" w:hAnsi="Cambria Math"/>
              </w:rPr>
              <m:t>2</m:t>
            </m:r>
          </m:sub>
        </m:sSub>
      </m:oMath>
      <w:r w:rsidR="00B73A6C">
        <w:rPr>
          <w:rFonts w:hint="eastAsia"/>
        </w:rPr>
        <w:t>=</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sidR="00B73A6C">
        <w:rPr>
          <w:rFonts w:hint="eastAsia"/>
        </w:rPr>
        <w:t>/</w:t>
      </w:r>
      <m:oMath>
        <m:sSub>
          <m:sSubPr>
            <m:ctrlPr>
              <w:rPr>
                <w:rFonts w:ascii="Cambria Math" w:hAnsi="Cambria Math"/>
              </w:rPr>
            </m:ctrlPr>
          </m:sSubPr>
          <m:e>
            <m:r>
              <w:rPr>
                <w:rFonts w:ascii="Cambria Math" w:hAnsi="Cambria Math"/>
              </w:rPr>
              <m:t>P</m:t>
            </m:r>
          </m:e>
          <m:sub>
            <m:r>
              <w:rPr>
                <w:rFonts w:ascii="Cambria Math" w:hAnsi="Cambria Math"/>
              </w:rPr>
              <m:t>s</m:t>
            </m:r>
          </m:sub>
        </m:sSub>
      </m:oMath>
      <w:r w:rsidR="00B73A6C">
        <w:rPr>
          <w:rFonts w:hint="eastAsia"/>
        </w:rPr>
        <w:t xml:space="preserve"> </w:t>
      </w:r>
      <w:r w:rsidR="00B73A6C">
        <w:t xml:space="preserve">                            </w:t>
      </w:r>
      <w:proofErr w:type="gramStart"/>
      <w:r w:rsidR="00B73A6C">
        <w:t xml:space="preserve">   (</w:t>
      </w:r>
      <w:proofErr w:type="gramEnd"/>
      <w:r w:rsidR="00B73A6C">
        <w:t>3)</w:t>
      </w:r>
    </w:p>
    <w:p w14:paraId="5F4C4ABF" w14:textId="6CB8D116" w:rsidR="007D1FCE" w:rsidRDefault="00B73A6C" w:rsidP="00B73A6C">
      <w:pPr>
        <w:ind w:firstLine="420"/>
      </w:pPr>
      <w:r>
        <w:rPr>
          <w:rFonts w:hint="eastAsia"/>
        </w:rPr>
        <w:t>其中</w:t>
      </w:r>
      <m:oMath>
        <m:sSub>
          <m:sSubPr>
            <m:ctrlPr>
              <w:rPr>
                <w:rFonts w:ascii="Cambria Math" w:hAnsi="Cambria Math"/>
              </w:rPr>
            </m:ctrlPr>
          </m:sSubPr>
          <m:e>
            <m:r>
              <w:rPr>
                <w:rFonts w:ascii="Cambria Math" w:hAnsi="Cambria Math" w:hint="eastAsia"/>
              </w:rPr>
              <m:t>C</m:t>
            </m:r>
          </m:e>
          <m:sub>
            <m:r>
              <w:rPr>
                <w:rFonts w:ascii="Cambria Math" w:hAnsi="Cambria Math"/>
              </w:rPr>
              <m:t>s</m:t>
            </m:r>
          </m:sub>
        </m:sSub>
      </m:oMath>
      <w:r>
        <w:rPr>
          <w:rFonts w:hint="eastAsia"/>
        </w:rPr>
        <w:t>为2015年市区社会保障和就业支出，</w:t>
      </w:r>
      <m:oMath>
        <m:sSub>
          <m:sSubPr>
            <m:ctrlPr>
              <w:rPr>
                <w:rFonts w:ascii="Cambria Math" w:hAnsi="Cambria Math"/>
              </w:rPr>
            </m:ctrlPr>
          </m:sSubPr>
          <m:e>
            <m:r>
              <w:rPr>
                <w:rFonts w:ascii="Cambria Math" w:hAnsi="Cambria Math"/>
              </w:rPr>
              <m:t>P</m:t>
            </m:r>
          </m:e>
          <m:sub>
            <m:r>
              <w:rPr>
                <w:rFonts w:ascii="Cambria Math" w:hAnsi="Cambria Math"/>
              </w:rPr>
              <m:t>s</m:t>
            </m:r>
          </m:sub>
        </m:sSub>
      </m:oMath>
      <w:r>
        <w:rPr>
          <w:rFonts w:hint="eastAsia"/>
        </w:rPr>
        <w:t>为全市户籍总人口数。按此公式可以计算得到</w:t>
      </w:r>
      <w:r w:rsidR="00984272">
        <w:rPr>
          <w:rFonts w:hint="eastAsia"/>
        </w:rPr>
        <w:t>下表：</w:t>
      </w:r>
    </w:p>
    <w:tbl>
      <w:tblPr>
        <w:tblStyle w:val="21"/>
        <w:tblW w:w="0" w:type="auto"/>
        <w:tblLook w:val="04A0" w:firstRow="1" w:lastRow="0" w:firstColumn="1" w:lastColumn="0" w:noHBand="0" w:noVBand="1"/>
      </w:tblPr>
      <w:tblGrid>
        <w:gridCol w:w="8296"/>
      </w:tblGrid>
      <w:tr w:rsidR="00984272" w14:paraId="123CFFD4" w14:textId="77777777" w:rsidTr="0098427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76180321" w14:textId="1E22DEE2" w:rsidR="00984272" w:rsidRDefault="00984272" w:rsidP="00B73A6C">
            <w:r>
              <w:rPr>
                <w:rFonts w:hint="eastAsia"/>
              </w:rPr>
              <w:t xml:space="preserve">南宁(单位：元) </w:t>
            </w:r>
            <w:r>
              <w:t xml:space="preserve">               </w:t>
            </w:r>
            <w:r>
              <w:rPr>
                <w:rFonts w:hint="eastAsia"/>
              </w:rPr>
              <w:t>柳州(单位：元</w:t>
            </w:r>
            <w:r>
              <w:t>)</w:t>
            </w:r>
            <w:r>
              <w:rPr>
                <w:rFonts w:hint="eastAsia"/>
              </w:rPr>
              <w:t xml:space="preserve"> </w:t>
            </w:r>
            <w:r>
              <w:t xml:space="preserve">                   </w:t>
            </w:r>
            <w:r>
              <w:rPr>
                <w:rFonts w:hint="eastAsia"/>
              </w:rPr>
              <w:t>来宾(单位：元</w:t>
            </w:r>
            <w:r>
              <w:t>)</w:t>
            </w:r>
          </w:p>
        </w:tc>
      </w:tr>
      <w:tr w:rsidR="00984272" w14:paraId="2FBCFCC2" w14:textId="77777777" w:rsidTr="0098427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92F1ECA" w14:textId="614FF6B3" w:rsidR="00984272" w:rsidRDefault="00984272" w:rsidP="00984272">
            <w:pPr>
              <w:ind w:firstLineChars="100" w:firstLine="210"/>
            </w:pPr>
            <w:r>
              <w:rPr>
                <w:rFonts w:hint="eastAsia"/>
              </w:rPr>
              <w:t>1014.54</w:t>
            </w:r>
            <w:r>
              <w:t xml:space="preserve">                      </w:t>
            </w:r>
            <w:r>
              <w:rPr>
                <w:rFonts w:hint="eastAsia"/>
              </w:rPr>
              <w:t>1108.27</w:t>
            </w:r>
            <w:r>
              <w:t xml:space="preserve">                           </w:t>
            </w:r>
            <w:r>
              <w:rPr>
                <w:rFonts w:hint="eastAsia"/>
              </w:rPr>
              <w:t>648.73</w:t>
            </w:r>
          </w:p>
        </w:tc>
      </w:tr>
    </w:tbl>
    <w:p w14:paraId="3A7C5A7B" w14:textId="565FAA61" w:rsidR="004E6C25" w:rsidRDefault="004E6C25" w:rsidP="004E6C25">
      <w:pPr>
        <w:jc w:val="center"/>
      </w:pPr>
      <w:r>
        <w:rPr>
          <w:rFonts w:hint="eastAsia"/>
        </w:rPr>
        <w:t>表四 南宁、柳州、来宾三市人均社保与就业支出</w:t>
      </w:r>
    </w:p>
    <w:p w14:paraId="093A195B" w14:textId="535D39B9" w:rsidR="00984272" w:rsidRDefault="00D27701" w:rsidP="00D27701">
      <w:r>
        <w:rPr>
          <w:rFonts w:hint="eastAsia"/>
        </w:rPr>
        <w:t>柳州政府的人均社保与就业转移支付依旧略高于南宁，</w:t>
      </w:r>
      <w:proofErr w:type="gramStart"/>
      <w:r>
        <w:rPr>
          <w:rFonts w:hint="eastAsia"/>
        </w:rPr>
        <w:t>来宾市</w:t>
      </w:r>
      <w:proofErr w:type="gramEnd"/>
      <w:r>
        <w:rPr>
          <w:rFonts w:hint="eastAsia"/>
        </w:rPr>
        <w:t>相较于南宁与柳州经济体量较小，相对应的人均社会保障与就业成本也远小于南宁与柳州两市。</w:t>
      </w:r>
    </w:p>
    <w:p w14:paraId="721304FD" w14:textId="24051571" w:rsidR="008752A2" w:rsidRDefault="008752A2" w:rsidP="008752A2">
      <w:pPr>
        <w:pStyle w:val="5"/>
      </w:pPr>
      <w:r>
        <w:rPr>
          <w:rFonts w:hint="eastAsia"/>
        </w:rPr>
        <w:t>3.2.1.3、随迁子女教育成本</w:t>
      </w:r>
    </w:p>
    <w:p w14:paraId="72145223" w14:textId="4CBB0C69" w:rsidR="008752A2" w:rsidRDefault="008752A2" w:rsidP="008752A2">
      <w:pPr>
        <w:ind w:firstLine="420"/>
      </w:pPr>
      <w:r>
        <w:rPr>
          <w:rFonts w:hint="eastAsia"/>
        </w:rPr>
        <w:t>农民工市民化随迁子女的教育成本是指农民工市民化后其子女要接受城市教育所需要的支出。但由于统计数据难以获得，农民工子女数量不同，农民工家庭条件不同，因此难以</w:t>
      </w:r>
      <w:r>
        <w:rPr>
          <w:rFonts w:hint="eastAsia"/>
        </w:rPr>
        <w:lastRenderedPageBreak/>
        <w:t>对广西的南宁市、柳州市、</w:t>
      </w:r>
      <w:proofErr w:type="gramStart"/>
      <w:r>
        <w:rPr>
          <w:rFonts w:hint="eastAsia"/>
        </w:rPr>
        <w:t>来宾市</w:t>
      </w:r>
      <w:proofErr w:type="gramEnd"/>
      <w:r>
        <w:rPr>
          <w:rFonts w:hint="eastAsia"/>
        </w:rPr>
        <w:t>进行具体的统计测算。本文使用刘美月、李开宇等人对西安市的农民工随迁子女教育成本的测算所采用方法</w:t>
      </w:r>
      <w:r w:rsidR="005C1144" w:rsidRPr="005C1144">
        <w:rPr>
          <w:b/>
          <w:sz w:val="28"/>
          <w:vertAlign w:val="superscript"/>
        </w:rPr>
        <w:fldChar w:fldCharType="begin"/>
      </w:r>
      <w:r w:rsidR="005C1144" w:rsidRPr="005C1144">
        <w:rPr>
          <w:b/>
          <w:sz w:val="28"/>
          <w:vertAlign w:val="superscript"/>
        </w:rPr>
        <w:instrText xml:space="preserve"> </w:instrText>
      </w:r>
      <w:r w:rsidR="005C1144" w:rsidRPr="005C1144">
        <w:rPr>
          <w:rFonts w:hint="eastAsia"/>
          <w:b/>
          <w:sz w:val="28"/>
          <w:vertAlign w:val="superscript"/>
        </w:rPr>
        <w:instrText>REF _Ref514053104 \n</w:instrText>
      </w:r>
      <w:r w:rsidR="005C1144" w:rsidRPr="005C1144">
        <w:rPr>
          <w:b/>
          <w:sz w:val="28"/>
          <w:vertAlign w:val="superscript"/>
        </w:rPr>
        <w:instrText xml:space="preserve"> </w:instrText>
      </w:r>
      <w:r w:rsidR="005C1144">
        <w:rPr>
          <w:b/>
          <w:sz w:val="28"/>
          <w:vertAlign w:val="superscript"/>
        </w:rPr>
        <w:instrText xml:space="preserve"> \* MERGEFORMAT </w:instrText>
      </w:r>
      <w:r w:rsidR="005C1144" w:rsidRPr="005C1144">
        <w:rPr>
          <w:b/>
          <w:sz w:val="28"/>
          <w:vertAlign w:val="superscript"/>
        </w:rPr>
        <w:fldChar w:fldCharType="separate"/>
      </w:r>
      <w:r w:rsidR="005C1144" w:rsidRPr="005C1144">
        <w:rPr>
          <w:b/>
          <w:sz w:val="28"/>
          <w:vertAlign w:val="superscript"/>
        </w:rPr>
        <w:t>[2]</w:t>
      </w:r>
      <w:r w:rsidR="005C1144" w:rsidRPr="005C1144">
        <w:rPr>
          <w:b/>
          <w:sz w:val="28"/>
          <w:vertAlign w:val="superscript"/>
        </w:rPr>
        <w:fldChar w:fldCharType="end"/>
      </w:r>
      <w:r>
        <w:rPr>
          <w:rFonts w:hint="eastAsia"/>
        </w:rPr>
        <w:t>，依据中国社科院发布的</w:t>
      </w:r>
      <w:r w:rsidR="009219BC">
        <w:rPr>
          <w:rFonts w:hint="eastAsia"/>
        </w:rPr>
        <w:t>《2013城市蓝皮书》中对西部地区农民工随迁子女在城镇就学的人均成本，包括人均新建学校和义务教育成本</w:t>
      </w:r>
      <m:oMath>
        <m:sSub>
          <m:sSubPr>
            <m:ctrlPr>
              <w:rPr>
                <w:rFonts w:ascii="Cambria Math" w:hAnsi="Cambria Math"/>
              </w:rPr>
            </m:ctrlPr>
          </m:sSubPr>
          <m:e>
            <m:r>
              <w:rPr>
                <w:rFonts w:ascii="Cambria Math" w:hAnsi="Cambria Math"/>
              </w:rPr>
              <m:t>C</m:t>
            </m:r>
          </m:e>
          <m:sub>
            <m:r>
              <w:rPr>
                <w:rFonts w:ascii="Cambria Math" w:hAnsi="Cambria Math"/>
              </w:rPr>
              <m:t>3</m:t>
            </m:r>
          </m:sub>
        </m:sSub>
      </m:oMath>
      <w:r w:rsidR="009219BC">
        <w:rPr>
          <w:rFonts w:hint="eastAsia"/>
        </w:rPr>
        <w:t>=12616元。</w:t>
      </w:r>
    </w:p>
    <w:p w14:paraId="052EF3AB" w14:textId="7B4B187F" w:rsidR="00A5450B" w:rsidRDefault="00A5450B" w:rsidP="00A5450B">
      <w:pPr>
        <w:pStyle w:val="4"/>
      </w:pPr>
      <w:r>
        <w:rPr>
          <w:rFonts w:hint="eastAsia"/>
        </w:rPr>
        <w:t>3</w:t>
      </w:r>
      <w:r>
        <w:t>.2.2</w:t>
      </w:r>
      <w:r>
        <w:rPr>
          <w:rFonts w:hint="eastAsia"/>
        </w:rPr>
        <w:t>、个人成本</w:t>
      </w:r>
    </w:p>
    <w:p w14:paraId="3BFA6FCA" w14:textId="3417530C" w:rsidR="003474E3" w:rsidRDefault="003474E3" w:rsidP="003474E3">
      <w:pPr>
        <w:pStyle w:val="5"/>
      </w:pPr>
      <w:r>
        <w:rPr>
          <w:rFonts w:hint="eastAsia"/>
        </w:rPr>
        <w:t>3</w:t>
      </w:r>
      <w:r>
        <w:t>.2.</w:t>
      </w:r>
      <w:r w:rsidR="00026FF3">
        <w:t>2</w:t>
      </w:r>
      <w:r>
        <w:t>.</w:t>
      </w:r>
      <w:r w:rsidR="00026FF3">
        <w:rPr>
          <w:rFonts w:hint="eastAsia"/>
        </w:rPr>
        <w:t>1</w:t>
      </w:r>
      <w:r>
        <w:rPr>
          <w:rFonts w:hint="eastAsia"/>
        </w:rPr>
        <w:t>、</w:t>
      </w:r>
      <w:r w:rsidR="008A14F8">
        <w:rPr>
          <w:rFonts w:hint="eastAsia"/>
        </w:rPr>
        <w:t>个人</w:t>
      </w:r>
      <w:r>
        <w:rPr>
          <w:rFonts w:hint="eastAsia"/>
        </w:rPr>
        <w:t>住房成本</w:t>
      </w:r>
    </w:p>
    <w:p w14:paraId="572570C3" w14:textId="6654819F" w:rsidR="009219BC" w:rsidRDefault="003474E3" w:rsidP="003474E3">
      <w:pPr>
        <w:ind w:firstLine="420"/>
      </w:pPr>
      <w:r>
        <w:rPr>
          <w:rFonts w:hint="eastAsia"/>
        </w:rPr>
        <w:t>农民工市民化的住房成本是指农民工市民化之后对于住房要求的资金投入。以农民工的现实要求来看，增加一套房产也会增加农民工对于城市的心里归属感。本文认为，农民工的住房成本应接近于城市居民的平均住房成本，</w:t>
      </w:r>
      <w:proofErr w:type="gramStart"/>
      <w:r>
        <w:rPr>
          <w:rFonts w:hint="eastAsia"/>
        </w:rPr>
        <w:t>即</w:t>
      </w:r>
      <w:r w:rsidR="0034275C">
        <w:rPr>
          <w:rFonts w:hint="eastAsia"/>
        </w:rPr>
        <w:t>廉租房</w:t>
      </w:r>
      <w:proofErr w:type="gramEnd"/>
      <w:r w:rsidR="0034275C">
        <w:rPr>
          <w:rFonts w:hint="eastAsia"/>
        </w:rPr>
        <w:t>、</w:t>
      </w:r>
      <w:proofErr w:type="gramStart"/>
      <w:r w:rsidR="0034275C">
        <w:rPr>
          <w:rFonts w:hint="eastAsia"/>
        </w:rPr>
        <w:t>经适</w:t>
      </w:r>
      <w:proofErr w:type="gramEnd"/>
      <w:r w:rsidR="0034275C">
        <w:rPr>
          <w:rFonts w:hint="eastAsia"/>
        </w:rPr>
        <w:t>房的平均建设成本，而不应该等于商品房的平均价格。因此，南宁、柳州、来宾三市的人均住房成本</w:t>
      </w:r>
      <m:oMath>
        <m:sSub>
          <m:sSubPr>
            <m:ctrlPr>
              <w:rPr>
                <w:rFonts w:ascii="Cambria Math" w:hAnsi="Cambria Math"/>
              </w:rPr>
            </m:ctrlPr>
          </m:sSubPr>
          <m:e>
            <m:r>
              <m:rPr>
                <m:sty m:val="bi"/>
              </m:rPr>
              <w:rPr>
                <w:rFonts w:ascii="Cambria Math" w:hAnsi="Cambria Math"/>
              </w:rPr>
              <m:t>C</m:t>
            </m:r>
          </m:e>
          <m:sub>
            <m:r>
              <w:rPr>
                <w:rFonts w:ascii="Cambria Math" w:hAnsi="Cambria Math"/>
              </w:rPr>
              <m:t>4</m:t>
            </m:r>
          </m:sub>
        </m:sSub>
      </m:oMath>
      <w:r w:rsidR="0034275C">
        <w:rPr>
          <w:rFonts w:hint="eastAsia"/>
        </w:rPr>
        <w:t>应等于城市居民人均住房面积(</w:t>
      </w:r>
      <w:r w:rsidR="0034275C">
        <w:t>S)</w:t>
      </w:r>
      <w:r w:rsidR="0034275C">
        <w:rPr>
          <w:rFonts w:hint="eastAsia"/>
        </w:rPr>
        <w:t>乘以人均住房成本(</w:t>
      </w:r>
      <w:r w:rsidR="0034275C">
        <w:t>P)</w:t>
      </w:r>
      <w:r w:rsidR="0034275C">
        <w:rPr>
          <w:rFonts w:hint="eastAsia"/>
        </w:rPr>
        <w:t>，</w:t>
      </w:r>
      <w:r w:rsidR="00E3606F">
        <w:rPr>
          <w:rFonts w:hint="eastAsia"/>
        </w:rPr>
        <w:t>又因为农民工买房并非一次付清所有余额，通常会采用贷款的方式，因此按首付30%计算，利率为4.9%(招商银行人民币贷款基准利率5-30年</w:t>
      </w:r>
      <w:r w:rsidR="00E3606F">
        <w:t>)</w:t>
      </w:r>
      <w:r w:rsidR="00E3606F">
        <w:rPr>
          <w:rFonts w:hint="eastAsia"/>
        </w:rPr>
        <w:t>，因此得出如下公式，r即为贷款利率</w:t>
      </w:r>
      <w:r w:rsidR="0034275C">
        <w:rPr>
          <w:rFonts w:hint="eastAsia"/>
        </w:rPr>
        <w:t>：</w:t>
      </w:r>
    </w:p>
    <w:p w14:paraId="654FED5E" w14:textId="5DD55E04" w:rsidR="0034275C" w:rsidRPr="008752A2" w:rsidRDefault="000473EE" w:rsidP="00030B7E">
      <w:pPr>
        <w:jc w:val="center"/>
      </w:pPr>
      <m:oMath>
        <m:sSub>
          <m:sSubPr>
            <m:ctrlPr>
              <w:rPr>
                <w:rFonts w:ascii="Cambria Math" w:hAnsi="Cambria Math"/>
              </w:rPr>
            </m:ctrlPr>
          </m:sSubPr>
          <m:e>
            <m:r>
              <m:rPr>
                <m:sty m:val="bi"/>
              </m:rPr>
              <w:rPr>
                <w:rFonts w:ascii="Cambria Math" w:hAnsi="Cambria Math"/>
              </w:rPr>
              <m:t>C</m:t>
            </m:r>
          </m:e>
          <m:sub>
            <m:r>
              <w:rPr>
                <w:rFonts w:ascii="Cambria Math" w:hAnsi="Cambria Math"/>
              </w:rPr>
              <m:t>4</m:t>
            </m:r>
          </m:sub>
        </m:sSub>
      </m:oMath>
      <w:r w:rsidR="0034275C">
        <w:rPr>
          <w:rFonts w:hint="eastAsia"/>
        </w:rPr>
        <w:t>=</w:t>
      </w:r>
      <m:oMath>
        <m:d>
          <m:dPr>
            <m:ctrlPr>
              <w:rPr>
                <w:rFonts w:ascii="Cambria Math" w:hAnsi="Cambria Math"/>
              </w:rPr>
            </m:ctrlPr>
          </m:dPr>
          <m:e>
            <m:r>
              <m:rPr>
                <m:sty m:val="p"/>
              </m:rPr>
              <w:rPr>
                <w:rFonts w:ascii="Cambria Math" w:hAnsi="Cambria Math"/>
              </w:rPr>
              <m:t>S×P</m:t>
            </m:r>
          </m:e>
        </m:d>
        <m:r>
          <m:rPr>
            <m:sty m:val="p"/>
          </m:rPr>
          <w:rPr>
            <w:rFonts w:ascii="Cambria Math" w:hAnsi="Cambria Math"/>
          </w:rPr>
          <m:t>×30%+.</m:t>
        </m:r>
        <m:f>
          <m:fPr>
            <m:ctrlPr>
              <w:rPr>
                <w:rFonts w:ascii="Cambria Math" w:hAnsi="Cambria Math"/>
              </w:rPr>
            </m:ctrlPr>
          </m:fPr>
          <m:num>
            <m:d>
              <m:dPr>
                <m:ctrlPr>
                  <w:rPr>
                    <w:rFonts w:ascii="Cambria Math" w:hAnsi="Cambria Math"/>
                  </w:rPr>
                </m:ctrlPr>
              </m:dPr>
              <m:e>
                <m:r>
                  <m:rPr>
                    <m:sty m:val="p"/>
                  </m:rPr>
                  <w:rPr>
                    <w:rFonts w:ascii="Cambria Math" w:hAnsi="Cambria Math"/>
                  </w:rPr>
                  <m:t>S×P</m:t>
                </m:r>
              </m:e>
            </m:d>
            <m:r>
              <w:rPr>
                <w:rFonts w:ascii="Cambria Math" w:hAnsi="Cambria Math"/>
              </w:rPr>
              <m:t>×70%×</m:t>
            </m:r>
            <m:sSup>
              <m:sSupPr>
                <m:ctrlPr>
                  <w:rPr>
                    <w:rFonts w:ascii="Cambria Math" w:hAnsi="Cambria Math"/>
                    <w:i/>
                  </w:rPr>
                </m:ctrlPr>
              </m:sSupPr>
              <m:e>
                <m:r>
                  <w:rPr>
                    <w:rFonts w:ascii="Cambria Math" w:hAnsi="Cambria Math"/>
                  </w:rPr>
                  <m:t>(</m:t>
                </m:r>
                <m:r>
                  <w:rPr>
                    <w:rFonts w:ascii="Cambria Math" w:hAnsi="Cambria Math" w:hint="eastAsia"/>
                  </w:rPr>
                  <m:t>1+r</m:t>
                </m:r>
                <m:r>
                  <w:rPr>
                    <w:rFonts w:ascii="Cambria Math" w:hAnsi="Cambria Math"/>
                  </w:rPr>
                  <m:t>)</m:t>
                </m:r>
              </m:e>
              <m:sup>
                <m:r>
                  <w:rPr>
                    <w:rFonts w:ascii="Cambria Math" w:hAnsi="Cambria Math"/>
                  </w:rPr>
                  <m:t>10</m:t>
                </m:r>
              </m:sup>
            </m:sSup>
          </m:num>
          <m:den>
            <m:r>
              <w:rPr>
                <w:rFonts w:ascii="Cambria Math" w:hAnsi="Cambria Math"/>
              </w:rPr>
              <m:t>10</m:t>
            </m:r>
          </m:den>
        </m:f>
      </m:oMath>
      <w:r w:rsidR="0034275C">
        <w:t xml:space="preserve">              </w:t>
      </w:r>
      <w:proofErr w:type="gramStart"/>
      <w:r w:rsidR="0034275C">
        <w:t xml:space="preserve">   (</w:t>
      </w:r>
      <w:proofErr w:type="gramEnd"/>
      <w:r w:rsidR="0034275C">
        <w:t>4)</w:t>
      </w:r>
    </w:p>
    <w:p w14:paraId="5180A777" w14:textId="53581BE1" w:rsidR="00D27701" w:rsidRDefault="0034275C" w:rsidP="0034275C">
      <w:pPr>
        <w:ind w:firstLine="420"/>
      </w:pPr>
      <w:r>
        <w:rPr>
          <w:rFonts w:hint="eastAsia"/>
        </w:rPr>
        <w:t>根据2015年广西壮族自治区1%人口抽样调查资料与南宁、柳州、来宾三市的统计年鉴可以得出下表：</w:t>
      </w:r>
    </w:p>
    <w:tbl>
      <w:tblPr>
        <w:tblStyle w:val="21"/>
        <w:tblW w:w="0" w:type="auto"/>
        <w:tblLook w:val="04A0" w:firstRow="1" w:lastRow="0" w:firstColumn="1" w:lastColumn="0" w:noHBand="0" w:noVBand="1"/>
      </w:tblPr>
      <w:tblGrid>
        <w:gridCol w:w="8296"/>
      </w:tblGrid>
      <w:tr w:rsidR="0034275C" w14:paraId="437A4E37" w14:textId="77777777" w:rsidTr="00342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454C79C" w14:textId="6FBE2A24" w:rsidR="0034275C" w:rsidRDefault="0034275C" w:rsidP="0034275C">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34275C" w14:paraId="0A58D46C" w14:textId="77777777" w:rsidTr="00342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794EA2D" w14:textId="77777777" w:rsidR="0034275C" w:rsidRDefault="0034275C" w:rsidP="0034275C">
            <w:pPr>
              <w:rPr>
                <w:b w:val="0"/>
                <w:bCs w:val="0"/>
              </w:rPr>
            </w:pPr>
            <w:r>
              <w:rPr>
                <w:rFonts w:hint="eastAsia"/>
              </w:rPr>
              <w:t>人居住房建筑面积(</w:t>
            </w:r>
            <m:oMath>
              <m:sSup>
                <m:sSupPr>
                  <m:ctrlPr>
                    <w:rPr>
                      <w:rFonts w:ascii="Cambria Math" w:hAnsi="Cambria Math"/>
                    </w:rPr>
                  </m:ctrlPr>
                </m:sSupPr>
                <m:e>
                  <m:r>
                    <m:rPr>
                      <m:sty m:val="bi"/>
                    </m:rPr>
                    <w:rPr>
                      <w:rFonts w:ascii="Cambria Math" w:hAnsi="Cambria Math"/>
                    </w:rPr>
                    <m:t>m</m:t>
                  </m:r>
                </m:e>
                <m:sup>
                  <m:r>
                    <m:rPr>
                      <m:sty m:val="bi"/>
                    </m:rPr>
                    <w:rPr>
                      <w:rFonts w:ascii="Cambria Math" w:hAnsi="Cambria Math"/>
                    </w:rPr>
                    <m:t>2</m:t>
                  </m:r>
                </m:sup>
              </m:sSup>
            </m:oMath>
            <w:r>
              <w:rPr>
                <w:rFonts w:hint="eastAsia"/>
              </w:rPr>
              <w:t>/人)</w:t>
            </w:r>
            <w:r>
              <w:t xml:space="preserve">          38                  32.4            40.4</w:t>
            </w:r>
          </w:p>
          <w:p w14:paraId="78C362EE" w14:textId="77777777" w:rsidR="00FB4F17" w:rsidRDefault="00FB4F17" w:rsidP="0034275C">
            <w:pPr>
              <w:rPr>
                <w:b w:val="0"/>
                <w:bCs w:val="0"/>
              </w:rPr>
            </w:pPr>
            <w:r>
              <w:rPr>
                <w:rFonts w:hint="eastAsia"/>
              </w:rPr>
              <w:t>竣工房屋面积(</w:t>
            </w:r>
            <m:oMath>
              <m:sSup>
                <m:sSupPr>
                  <m:ctrlPr>
                    <w:rPr>
                      <w:rFonts w:ascii="Cambria Math" w:hAnsi="Cambria Math"/>
                    </w:rPr>
                  </m:ctrlPr>
                </m:sSupPr>
                <m:e>
                  <m:r>
                    <m:rPr>
                      <m:sty m:val="bi"/>
                    </m:rPr>
                    <w:rPr>
                      <w:rFonts w:ascii="Cambria Math" w:hAnsi="Cambria Math"/>
                    </w:rPr>
                    <m:t>m</m:t>
                  </m:r>
                </m:e>
                <m:sup>
                  <m:r>
                    <m:rPr>
                      <m:sty m:val="bi"/>
                    </m:rPr>
                    <w:rPr>
                      <w:rFonts w:ascii="Cambria Math" w:hAnsi="Cambria Math"/>
                    </w:rPr>
                    <m:t>2</m:t>
                  </m:r>
                </m:sup>
              </m:sSup>
            </m:oMath>
            <w:r>
              <w:t xml:space="preserve">)               3132872             </w:t>
            </w:r>
            <w:r w:rsidRPr="00FB4F17">
              <w:t>8096708</w:t>
            </w:r>
            <w:r>
              <w:t xml:space="preserve">        322527</w:t>
            </w:r>
          </w:p>
          <w:p w14:paraId="2F718519" w14:textId="77777777" w:rsidR="00FB4F17" w:rsidRDefault="00FB4F17" w:rsidP="0034275C">
            <w:pPr>
              <w:rPr>
                <w:b w:val="0"/>
                <w:bCs w:val="0"/>
              </w:rPr>
            </w:pPr>
            <w:r>
              <w:rPr>
                <w:rFonts w:hint="eastAsia"/>
              </w:rPr>
              <w:t>竣工房屋价值(万元)</w:t>
            </w:r>
            <w:r>
              <w:t xml:space="preserve">              1141264             </w:t>
            </w:r>
            <w:r w:rsidRPr="00FB4F17">
              <w:t>1214481</w:t>
            </w:r>
            <w:r>
              <w:t xml:space="preserve">         68132</w:t>
            </w:r>
          </w:p>
          <w:p w14:paraId="461763B4" w14:textId="4614D4EE" w:rsidR="004E4CA4" w:rsidRPr="00FB4F17" w:rsidRDefault="004E4CA4" w:rsidP="0034275C">
            <w:r>
              <w:rPr>
                <w:rFonts w:hint="eastAsia"/>
              </w:rPr>
              <w:t>人均住房成本(元)</w:t>
            </w:r>
            <w:r>
              <w:t xml:space="preserve">                </w:t>
            </w:r>
            <w:r w:rsidR="00030B7E">
              <w:t>57163</w:t>
            </w:r>
            <w:r w:rsidR="00A5450B">
              <w:t xml:space="preserve">               </w:t>
            </w:r>
            <w:r w:rsidR="00030B7E">
              <w:t>20068</w:t>
            </w:r>
            <w:r w:rsidR="00A5450B">
              <w:t xml:space="preserve">          </w:t>
            </w:r>
            <w:r w:rsidR="00030B7E">
              <w:t xml:space="preserve"> 35241</w:t>
            </w:r>
          </w:p>
        </w:tc>
      </w:tr>
    </w:tbl>
    <w:p w14:paraId="5091D10D" w14:textId="09CF668C" w:rsidR="004E6C25" w:rsidRDefault="004E6C25" w:rsidP="004E6C25">
      <w:pPr>
        <w:ind w:firstLine="420"/>
        <w:jc w:val="center"/>
      </w:pPr>
      <w:r>
        <w:rPr>
          <w:rFonts w:hint="eastAsia"/>
        </w:rPr>
        <w:t>表五 南宁、柳州、来宾三市的人均住房成本</w:t>
      </w:r>
    </w:p>
    <w:p w14:paraId="763274CE" w14:textId="364CB2AE" w:rsidR="0034275C" w:rsidRDefault="00026FF3" w:rsidP="00026FF3">
      <w:pPr>
        <w:ind w:firstLine="420"/>
      </w:pPr>
      <w:r>
        <w:rPr>
          <w:rFonts w:hint="eastAsia"/>
        </w:rPr>
        <w:t>由上表</w:t>
      </w:r>
      <w:r w:rsidR="004E6C25">
        <w:rPr>
          <w:rFonts w:hint="eastAsia"/>
        </w:rPr>
        <w:t>五</w:t>
      </w:r>
      <w:r>
        <w:rPr>
          <w:rFonts w:hint="eastAsia"/>
        </w:rPr>
        <w:t>可计算得到三市的人均住房成本，其中南宁市作为省会城市，其人均住房成本也是最高达到了</w:t>
      </w:r>
      <w:r w:rsidR="00E3606F">
        <w:t>57163</w:t>
      </w:r>
      <w:r>
        <w:rPr>
          <w:rFonts w:hint="eastAsia"/>
        </w:rPr>
        <w:t>元，而</w:t>
      </w:r>
      <w:proofErr w:type="gramStart"/>
      <w:r>
        <w:rPr>
          <w:rFonts w:hint="eastAsia"/>
        </w:rPr>
        <w:t>来宾市</w:t>
      </w:r>
      <w:proofErr w:type="gramEnd"/>
      <w:r>
        <w:rPr>
          <w:rFonts w:hint="eastAsia"/>
        </w:rPr>
        <w:t>的人均住宅面积是三市中最大的。</w:t>
      </w:r>
    </w:p>
    <w:p w14:paraId="4159CBD1" w14:textId="6F9C5689" w:rsidR="00026FF3" w:rsidRDefault="00026FF3" w:rsidP="00026FF3">
      <w:pPr>
        <w:pStyle w:val="5"/>
      </w:pPr>
      <w:r>
        <w:rPr>
          <w:rFonts w:hint="eastAsia"/>
        </w:rPr>
        <w:t>3.2.2.2、个人生活成本</w:t>
      </w:r>
    </w:p>
    <w:p w14:paraId="3580FC16" w14:textId="25E185F9" w:rsidR="00026FF3" w:rsidRDefault="00026FF3" w:rsidP="00AC128E">
      <w:pPr>
        <w:ind w:firstLine="420"/>
      </w:pPr>
      <w:r>
        <w:rPr>
          <w:rFonts w:hint="eastAsia"/>
        </w:rPr>
        <w:t>个人生活成本是指农民工转型为</w:t>
      </w:r>
      <w:r w:rsidR="00AC128E">
        <w:rPr>
          <w:rFonts w:hint="eastAsia"/>
        </w:rPr>
        <w:t>市民之后所需要的衣食住行的支出。由于农民工在城市生活与在农村生活所面临的需求截然不同，因此其生活习惯、生活方式也必然会受到城市的冲击，面对冲击，农民工也会改变自己的个人生活成本。因此，本文根据城市人均消费支出</w:t>
      </w:r>
      <w:r w:rsidR="00755FF8">
        <w:rPr>
          <w:rFonts w:hint="eastAsia"/>
        </w:rPr>
        <w:t>减去农村人均消费支出</w:t>
      </w:r>
      <w:r w:rsidR="00AC128E">
        <w:rPr>
          <w:rFonts w:hint="eastAsia"/>
        </w:rPr>
        <w:t>来进行测算农民工成为市民所需要的各种消费支出作为其个人生活成本。</w:t>
      </w:r>
    </w:p>
    <w:p w14:paraId="00529FCC" w14:textId="7DA5C376" w:rsidR="000776AA" w:rsidRDefault="000776AA" w:rsidP="000776AA">
      <w:r>
        <w:rPr>
          <w:rFonts w:hint="eastAsia"/>
        </w:rPr>
        <w:t>南宁，柳州，来宾三市的具体指标如下表所示：</w:t>
      </w:r>
    </w:p>
    <w:tbl>
      <w:tblPr>
        <w:tblStyle w:val="21"/>
        <w:tblW w:w="0" w:type="auto"/>
        <w:tblLook w:val="04A0" w:firstRow="1" w:lastRow="0" w:firstColumn="1" w:lastColumn="0" w:noHBand="0" w:noVBand="1"/>
      </w:tblPr>
      <w:tblGrid>
        <w:gridCol w:w="8296"/>
      </w:tblGrid>
      <w:tr w:rsidR="000776AA" w14:paraId="4E38B53A" w14:textId="77777777" w:rsidTr="00077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48DFD69A" w14:textId="08FE1B0B" w:rsidR="000776AA" w:rsidRDefault="000776AA" w:rsidP="00812F12">
            <w:pPr>
              <w:ind w:firstLineChars="400" w:firstLine="840"/>
            </w:pPr>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0776AA" w:rsidRPr="00812F12" w14:paraId="75C5F0E9" w14:textId="77777777" w:rsidTr="00077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60BB0795" w14:textId="58B88EA9" w:rsidR="000776AA" w:rsidRDefault="00812F12" w:rsidP="000776AA">
            <w:pPr>
              <w:rPr>
                <w:b w:val="0"/>
                <w:bCs w:val="0"/>
              </w:rPr>
            </w:pPr>
            <w:r>
              <w:rPr>
                <w:rFonts w:hint="eastAsia"/>
              </w:rPr>
              <w:t>农村人均生活消费支出(元)</w:t>
            </w:r>
            <w:r>
              <w:t xml:space="preserve">      7560                 7872                 7169</w:t>
            </w:r>
          </w:p>
          <w:p w14:paraId="0F11A5E9" w14:textId="77777777" w:rsidR="00812F12" w:rsidRDefault="00812F12" w:rsidP="00812F12">
            <w:pPr>
              <w:rPr>
                <w:b w:val="0"/>
                <w:bCs w:val="0"/>
              </w:rPr>
            </w:pPr>
            <w:r>
              <w:rPr>
                <w:rFonts w:hint="eastAsia"/>
              </w:rPr>
              <w:t>城镇人均生活消费支出(元)</w:t>
            </w:r>
            <w:r>
              <w:t xml:space="preserve">      20897                18314              16757</w:t>
            </w:r>
          </w:p>
          <w:p w14:paraId="708D3F65" w14:textId="3D9A3F5D" w:rsidR="00812F12" w:rsidRPr="00812F12" w:rsidRDefault="00812F12" w:rsidP="00812F12">
            <w:pPr>
              <w:rPr>
                <w:bCs w:val="0"/>
              </w:rPr>
            </w:pPr>
            <w:r w:rsidRPr="00812F12">
              <w:rPr>
                <w:rFonts w:hint="eastAsia"/>
                <w:bCs w:val="0"/>
              </w:rPr>
              <w:lastRenderedPageBreak/>
              <w:t>个人生活成本(元</w:t>
            </w:r>
            <w:r w:rsidRPr="00812F12">
              <w:rPr>
                <w:bCs w:val="0"/>
              </w:rPr>
              <w:t>)</w:t>
            </w:r>
            <w:r>
              <w:rPr>
                <w:bCs w:val="0"/>
              </w:rPr>
              <w:t xml:space="preserve">              13337                10442                9588</w:t>
            </w:r>
          </w:p>
        </w:tc>
      </w:tr>
    </w:tbl>
    <w:p w14:paraId="5039116D" w14:textId="7FF7A809" w:rsidR="004E6C25" w:rsidRDefault="004E6C25" w:rsidP="004E6C25">
      <w:pPr>
        <w:jc w:val="center"/>
      </w:pPr>
      <w:r>
        <w:rPr>
          <w:rFonts w:hint="eastAsia"/>
        </w:rPr>
        <w:lastRenderedPageBreak/>
        <w:t>表六 南宁、柳州、来宾三市城镇个人生活成本</w:t>
      </w:r>
    </w:p>
    <w:p w14:paraId="5B487DFA" w14:textId="376F9F25" w:rsidR="000776AA" w:rsidRDefault="00812F12" w:rsidP="00812F12">
      <w:pPr>
        <w:pStyle w:val="5"/>
      </w:pPr>
      <w:r>
        <w:rPr>
          <w:rFonts w:hint="eastAsia"/>
        </w:rPr>
        <w:t>3</w:t>
      </w:r>
      <w:r>
        <w:t>.2.2.3</w:t>
      </w:r>
      <w:r>
        <w:rPr>
          <w:rFonts w:hint="eastAsia"/>
        </w:rPr>
        <w:t>、个人机会成本</w:t>
      </w:r>
    </w:p>
    <w:p w14:paraId="5A525A55" w14:textId="104DC029" w:rsidR="008A14F8" w:rsidRDefault="008A14F8" w:rsidP="0039646F">
      <w:pPr>
        <w:ind w:firstLine="420"/>
      </w:pPr>
      <w:r>
        <w:rPr>
          <w:rFonts w:hint="eastAsia"/>
        </w:rPr>
        <w:t>个人机会成本是指市民化后所放弃的在农村生活所带来的经济收益，不同的地区个人机会成本不尽相同，本文采用统计年鉴的数据对这三地进行测算,借鉴前人学者对这部分的统计方法可以知道个人机会成本大致等于农民家庭人均纯收入，这些大致等于农民工市民化的机会成本：</w:t>
      </w:r>
    </w:p>
    <w:tbl>
      <w:tblPr>
        <w:tblStyle w:val="21"/>
        <w:tblW w:w="0" w:type="auto"/>
        <w:tblLook w:val="04A0" w:firstRow="1" w:lastRow="0" w:firstColumn="1" w:lastColumn="0" w:noHBand="0" w:noVBand="1"/>
      </w:tblPr>
      <w:tblGrid>
        <w:gridCol w:w="8296"/>
      </w:tblGrid>
      <w:tr w:rsidR="008A14F8" w14:paraId="75ED31F5" w14:textId="77777777" w:rsidTr="008A14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00DE9455" w14:textId="6720410D" w:rsidR="008A14F8" w:rsidRDefault="008A14F8" w:rsidP="008A14F8">
            <w:r>
              <w:rPr>
                <w:rFonts w:hint="eastAsia"/>
              </w:rPr>
              <w:t xml:space="preserve">指标 </w:t>
            </w:r>
            <w:r>
              <w:t xml:space="preserve">                </w:t>
            </w:r>
            <w:r>
              <w:rPr>
                <w:rFonts w:hint="eastAsia"/>
              </w:rPr>
              <w:t xml:space="preserve">南宁 </w:t>
            </w:r>
            <w:r>
              <w:t xml:space="preserve">                 </w:t>
            </w:r>
            <w:r>
              <w:rPr>
                <w:rFonts w:hint="eastAsia"/>
              </w:rPr>
              <w:t xml:space="preserve">柳州 </w:t>
            </w:r>
            <w:r>
              <w:t xml:space="preserve">                </w:t>
            </w:r>
            <w:r>
              <w:rPr>
                <w:rFonts w:hint="eastAsia"/>
              </w:rPr>
              <w:t>来宾</w:t>
            </w:r>
          </w:p>
        </w:tc>
      </w:tr>
      <w:tr w:rsidR="008A14F8" w14:paraId="1E43D9A7" w14:textId="77777777" w:rsidTr="008A14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96" w:type="dxa"/>
          </w:tcPr>
          <w:p w14:paraId="27A273DE" w14:textId="6AF34DF6" w:rsidR="008A14F8" w:rsidRDefault="008A14F8" w:rsidP="008A14F8">
            <w:r>
              <w:rPr>
                <w:rFonts w:hint="eastAsia"/>
              </w:rPr>
              <w:t>收入(元)</w:t>
            </w:r>
            <w:r>
              <w:t xml:space="preserve">             9408                  9449                 8379</w:t>
            </w:r>
          </w:p>
        </w:tc>
      </w:tr>
    </w:tbl>
    <w:p w14:paraId="5D1C1A21" w14:textId="11932FFF" w:rsidR="008A14F8" w:rsidRPr="008A14F8" w:rsidRDefault="004E6C25" w:rsidP="004E6C25">
      <w:pPr>
        <w:jc w:val="center"/>
      </w:pPr>
      <w:r>
        <w:rPr>
          <w:rFonts w:hint="eastAsia"/>
        </w:rPr>
        <w:t>表七 南宁、柳州、来宾三市农民家庭个人收入</w:t>
      </w:r>
    </w:p>
    <w:p w14:paraId="782EECA8" w14:textId="3AC7179C" w:rsidR="00740213" w:rsidRPr="00740213" w:rsidRDefault="00740213" w:rsidP="00E24F66">
      <w:pPr>
        <w:pStyle w:val="4"/>
      </w:pPr>
      <w:r>
        <w:rPr>
          <w:rFonts w:hint="eastAsia"/>
        </w:rPr>
        <w:t>3.2.3、农民工市民</w:t>
      </w:r>
      <w:proofErr w:type="gramStart"/>
      <w:r>
        <w:rPr>
          <w:rFonts w:hint="eastAsia"/>
        </w:rPr>
        <w:t>化成本</w:t>
      </w:r>
      <w:proofErr w:type="gramEnd"/>
      <w:r>
        <w:rPr>
          <w:rFonts w:hint="eastAsia"/>
        </w:rPr>
        <w:t>测算结果汇总</w:t>
      </w:r>
    </w:p>
    <w:p w14:paraId="542806C9" w14:textId="36AE44BB" w:rsidR="00740213" w:rsidRDefault="00E3606F" w:rsidP="00051C6A">
      <w:r w:rsidRPr="00E3606F">
        <w:rPr>
          <w:rFonts w:hint="eastAsia"/>
          <w:noProof/>
        </w:rPr>
        <w:drawing>
          <wp:inline distT="0" distB="0" distL="0" distR="0" wp14:anchorId="7019982F" wp14:editId="3A0565D6">
            <wp:extent cx="5129508" cy="172085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006" cy="1747185"/>
                    </a:xfrm>
                    <a:prstGeom prst="rect">
                      <a:avLst/>
                    </a:prstGeom>
                    <a:noFill/>
                    <a:ln>
                      <a:noFill/>
                    </a:ln>
                  </pic:spPr>
                </pic:pic>
              </a:graphicData>
            </a:graphic>
          </wp:inline>
        </w:drawing>
      </w:r>
    </w:p>
    <w:p w14:paraId="09CD95AF" w14:textId="727EC7EF" w:rsidR="004E6C25" w:rsidRDefault="004E6C25" w:rsidP="004E6C25">
      <w:pPr>
        <w:ind w:firstLine="420"/>
        <w:jc w:val="center"/>
      </w:pPr>
      <w:r>
        <w:rPr>
          <w:rFonts w:hint="eastAsia"/>
        </w:rPr>
        <w:t>表八 农民工市民</w:t>
      </w:r>
      <w:proofErr w:type="gramStart"/>
      <w:r>
        <w:rPr>
          <w:rFonts w:hint="eastAsia"/>
        </w:rPr>
        <w:t>化成本</w:t>
      </w:r>
      <w:proofErr w:type="gramEnd"/>
      <w:r>
        <w:rPr>
          <w:rFonts w:hint="eastAsia"/>
        </w:rPr>
        <w:t>测算汇总</w:t>
      </w:r>
    </w:p>
    <w:p w14:paraId="477B7E4B" w14:textId="5C00A298" w:rsidR="008C1882" w:rsidRPr="00D27701" w:rsidRDefault="008C1882" w:rsidP="008C1882">
      <w:pPr>
        <w:ind w:firstLine="420"/>
      </w:pPr>
      <w:r>
        <w:rPr>
          <w:rFonts w:hint="eastAsia"/>
        </w:rPr>
        <w:t>从测算结果可以看到，占农民工市民</w:t>
      </w:r>
      <w:proofErr w:type="gramStart"/>
      <w:r>
        <w:rPr>
          <w:rFonts w:hint="eastAsia"/>
        </w:rPr>
        <w:t>化成本</w:t>
      </w:r>
      <w:proofErr w:type="gramEnd"/>
      <w:r>
        <w:rPr>
          <w:rFonts w:hint="eastAsia"/>
        </w:rPr>
        <w:t>比重最大的是基础设施成本和个人住房成本，具体可以参照下面的柱状图，其中柳州市的基础设施成本在总成本中占比最大，达到了</w:t>
      </w:r>
      <w:r w:rsidR="00E3606F">
        <w:t>6</w:t>
      </w:r>
      <w:r>
        <w:rPr>
          <w:rFonts w:hint="eastAsia"/>
        </w:rPr>
        <w:t>4%，南宁和</w:t>
      </w:r>
      <w:proofErr w:type="gramStart"/>
      <w:r>
        <w:rPr>
          <w:rFonts w:hint="eastAsia"/>
        </w:rPr>
        <w:t>来宾</w:t>
      </w:r>
      <w:proofErr w:type="gramEnd"/>
      <w:r>
        <w:rPr>
          <w:rFonts w:hint="eastAsia"/>
        </w:rPr>
        <w:t>市的基础设施占比</w:t>
      </w:r>
      <w:r w:rsidR="00E3606F">
        <w:rPr>
          <w:rFonts w:hint="eastAsia"/>
        </w:rPr>
        <w:t>只有46%</w:t>
      </w:r>
      <w:r>
        <w:rPr>
          <w:rFonts w:hint="eastAsia"/>
        </w:rPr>
        <w:t>，远远低于柳州市。而柳州市在个人住房成本却远低于南宁市甚至来宾市，相较于南宁市的</w:t>
      </w:r>
      <w:r w:rsidR="00E3606F">
        <w:rPr>
          <w:rFonts w:hint="eastAsia"/>
        </w:rPr>
        <w:t>33</w:t>
      </w:r>
      <w:r>
        <w:rPr>
          <w:rFonts w:hint="eastAsia"/>
        </w:rPr>
        <w:t>%和</w:t>
      </w:r>
      <w:proofErr w:type="gramStart"/>
      <w:r>
        <w:rPr>
          <w:rFonts w:hint="eastAsia"/>
        </w:rPr>
        <w:t>来宾市</w:t>
      </w:r>
      <w:proofErr w:type="gramEnd"/>
      <w:r w:rsidR="00E3606F">
        <w:rPr>
          <w:rFonts w:hint="eastAsia"/>
        </w:rPr>
        <w:t>28</w:t>
      </w:r>
      <w:r>
        <w:rPr>
          <w:rFonts w:hint="eastAsia"/>
        </w:rPr>
        <w:t>%的个人住房成本占比，其个人住房成本只占了</w:t>
      </w:r>
      <w:proofErr w:type="gramStart"/>
      <w:r>
        <w:rPr>
          <w:rFonts w:hint="eastAsia"/>
        </w:rPr>
        <w:t>市民化总成</w:t>
      </w:r>
      <w:proofErr w:type="gramEnd"/>
      <w:r>
        <w:rPr>
          <w:rFonts w:hint="eastAsia"/>
        </w:rPr>
        <w:t>本的</w:t>
      </w:r>
      <w:r w:rsidR="00E3606F">
        <w:rPr>
          <w:rFonts w:hint="eastAsia"/>
        </w:rPr>
        <w:t>13</w:t>
      </w:r>
      <w:r>
        <w:rPr>
          <w:rFonts w:hint="eastAsia"/>
        </w:rPr>
        <w:t>%。</w:t>
      </w:r>
      <w:r w:rsidR="00E3606F">
        <w:rPr>
          <w:rFonts w:hint="eastAsia"/>
        </w:rPr>
        <w:t>这也与柳州市的政府政策息息相关。除此之外，也可以从</w:t>
      </w:r>
      <w:r w:rsidR="004E6C25">
        <w:rPr>
          <w:rFonts w:hint="eastAsia"/>
        </w:rPr>
        <w:t>图三</w:t>
      </w:r>
      <w:r w:rsidR="00E3606F">
        <w:rPr>
          <w:rFonts w:hint="eastAsia"/>
        </w:rPr>
        <w:t>中看到，社会保障与就业成本在</w:t>
      </w:r>
      <w:proofErr w:type="gramStart"/>
      <w:r w:rsidR="00E3606F">
        <w:rPr>
          <w:rFonts w:hint="eastAsia"/>
        </w:rPr>
        <w:t>市民化总成本</w:t>
      </w:r>
      <w:proofErr w:type="gramEnd"/>
      <w:r w:rsidR="00E3606F">
        <w:rPr>
          <w:rFonts w:hint="eastAsia"/>
        </w:rPr>
        <w:t>中占比非常低，三市都没有达到1%的占比，这也说明了广西对于居民社</w:t>
      </w:r>
      <w:proofErr w:type="gramStart"/>
      <w:r w:rsidR="00E3606F">
        <w:rPr>
          <w:rFonts w:hint="eastAsia"/>
        </w:rPr>
        <w:t>保投</w:t>
      </w:r>
      <w:proofErr w:type="gramEnd"/>
      <w:r w:rsidR="00E3606F">
        <w:rPr>
          <w:rFonts w:hint="eastAsia"/>
        </w:rPr>
        <w:t>入较少，社会保障体制不健全</w:t>
      </w:r>
      <w:r w:rsidR="002529CA">
        <w:rPr>
          <w:rFonts w:hint="eastAsia"/>
        </w:rPr>
        <w:t>，而对于基础设施建设三市都非常积极，其中柳州市人均基础设施建设成本甚至占据了市民</w:t>
      </w:r>
      <w:proofErr w:type="gramStart"/>
      <w:r w:rsidR="002529CA">
        <w:rPr>
          <w:rFonts w:hint="eastAsia"/>
        </w:rPr>
        <w:t>化成</w:t>
      </w:r>
      <w:proofErr w:type="gramEnd"/>
      <w:r w:rsidR="002529CA">
        <w:rPr>
          <w:rFonts w:hint="eastAsia"/>
        </w:rPr>
        <w:t>本的64%。但过多的追求基础设施建设对于政府和当地居民来说都是一个较大的负担。总之，南宁市的市民</w:t>
      </w:r>
      <w:proofErr w:type="gramStart"/>
      <w:r w:rsidR="002529CA">
        <w:rPr>
          <w:rFonts w:hint="eastAsia"/>
        </w:rPr>
        <w:t>化成本</w:t>
      </w:r>
      <w:proofErr w:type="gramEnd"/>
      <w:r w:rsidR="002529CA">
        <w:rPr>
          <w:rFonts w:hint="eastAsia"/>
        </w:rPr>
        <w:t>在三市中最高，达到了174556元/人，柳州市次高150417.3元/人，</w:t>
      </w:r>
      <w:proofErr w:type="gramStart"/>
      <w:r w:rsidR="002529CA">
        <w:rPr>
          <w:rFonts w:hint="eastAsia"/>
        </w:rPr>
        <w:t>来宾</w:t>
      </w:r>
      <w:proofErr w:type="gramEnd"/>
      <w:r w:rsidR="002529CA">
        <w:rPr>
          <w:rFonts w:hint="eastAsia"/>
        </w:rPr>
        <w:t>市最低124088.7元/人，值得注意的是，并非每一年政府都需要投入如此多的成本去实现农民工市民化，大部分成本会逐渐分摊到多年，比如基础设施建设</w:t>
      </w:r>
      <w:r w:rsidR="00162399">
        <w:rPr>
          <w:rFonts w:hint="eastAsia"/>
        </w:rPr>
        <w:t>与</w:t>
      </w:r>
      <w:r w:rsidR="002529CA">
        <w:rPr>
          <w:rFonts w:hint="eastAsia"/>
        </w:rPr>
        <w:t>个人住房成本。本文只是对农民工市民</w:t>
      </w:r>
      <w:proofErr w:type="gramStart"/>
      <w:r w:rsidR="002529CA">
        <w:rPr>
          <w:rFonts w:hint="eastAsia"/>
        </w:rPr>
        <w:t>化成本</w:t>
      </w:r>
      <w:proofErr w:type="gramEnd"/>
      <w:r w:rsidR="002529CA">
        <w:rPr>
          <w:rFonts w:hint="eastAsia"/>
        </w:rPr>
        <w:t>进行了一个大致的测算</w:t>
      </w:r>
      <w:r w:rsidR="00162399">
        <w:rPr>
          <w:rFonts w:hint="eastAsia"/>
        </w:rPr>
        <w:t>。</w:t>
      </w:r>
    </w:p>
    <w:p w14:paraId="0F3DD537" w14:textId="77777777" w:rsidR="008C1882" w:rsidRPr="008C1882" w:rsidRDefault="008C1882" w:rsidP="00051C6A"/>
    <w:p w14:paraId="36E04CB8" w14:textId="47DED409" w:rsidR="008C1882" w:rsidRDefault="00E3606F" w:rsidP="00051C6A">
      <w:r>
        <w:rPr>
          <w:noProof/>
        </w:rPr>
        <w:lastRenderedPageBreak/>
        <w:drawing>
          <wp:inline distT="0" distB="0" distL="0" distR="0" wp14:anchorId="6E012367" wp14:editId="3CB80AF9">
            <wp:extent cx="4572000" cy="2743200"/>
            <wp:effectExtent l="0" t="0" r="0" b="0"/>
            <wp:docPr id="7" name="图表 7">
              <a:extLst xmlns:a="http://schemas.openxmlformats.org/drawingml/2006/main">
                <a:ext uri="{FF2B5EF4-FFF2-40B4-BE49-F238E27FC236}">
                  <a16:creationId xmlns:a16="http://schemas.microsoft.com/office/drawing/2014/main" id="{A2411131-6556-4A70-9FE7-4598AA6643F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4A792E57" w14:textId="6BD6564F" w:rsidR="00162399" w:rsidRDefault="004E6C25" w:rsidP="004E6C25">
      <w:pPr>
        <w:jc w:val="center"/>
      </w:pPr>
      <w:r>
        <w:rPr>
          <w:rFonts w:hint="eastAsia"/>
        </w:rPr>
        <w:t>图三 农民工市民化的各项成本占比</w:t>
      </w:r>
    </w:p>
    <w:p w14:paraId="106618A7" w14:textId="5174E5B5" w:rsidR="00162399" w:rsidRDefault="00162399" w:rsidP="00162399">
      <w:pPr>
        <w:pStyle w:val="2"/>
      </w:pPr>
      <w:r>
        <w:rPr>
          <w:rFonts w:hint="eastAsia"/>
        </w:rPr>
        <w:t>4.农民工市民</w:t>
      </w:r>
      <w:proofErr w:type="gramStart"/>
      <w:r>
        <w:rPr>
          <w:rFonts w:hint="eastAsia"/>
        </w:rPr>
        <w:t>化成本</w:t>
      </w:r>
      <w:proofErr w:type="gramEnd"/>
      <w:r>
        <w:rPr>
          <w:rFonts w:hint="eastAsia"/>
        </w:rPr>
        <w:t>分担以及政策建议</w:t>
      </w:r>
    </w:p>
    <w:p w14:paraId="0C9D2847" w14:textId="0B714793" w:rsidR="00162399" w:rsidRDefault="00162399" w:rsidP="00162399">
      <w:pPr>
        <w:ind w:firstLine="420"/>
      </w:pPr>
      <w:r>
        <w:rPr>
          <w:rFonts w:hint="eastAsia"/>
        </w:rPr>
        <w:t>农民工市民</w:t>
      </w:r>
      <w:proofErr w:type="gramStart"/>
      <w:r>
        <w:rPr>
          <w:rFonts w:hint="eastAsia"/>
        </w:rPr>
        <w:t>化成本</w:t>
      </w:r>
      <w:proofErr w:type="gramEnd"/>
      <w:r>
        <w:rPr>
          <w:rFonts w:hint="eastAsia"/>
        </w:rPr>
        <w:t>较高，仅仅依靠政府、企业、农民工个人的任何一方都是难以完成的，无形中也会减缓农民工市民化的进程。因此，有必要思考依靠政府、企业、农民工个人三方以及社会慈善力量来分摊市民化成本，共同承担农民工市民化的责任，既要“成本最小化”，也要“效率最大化”</w:t>
      </w:r>
      <w:r w:rsidR="004E5096">
        <w:rPr>
          <w:rFonts w:hint="eastAsia"/>
        </w:rPr>
        <w:t>。</w:t>
      </w:r>
      <w:r>
        <w:rPr>
          <w:rFonts w:hint="eastAsia"/>
        </w:rPr>
        <w:t>切实有效的</w:t>
      </w:r>
      <w:r w:rsidR="004E5096">
        <w:rPr>
          <w:rFonts w:hint="eastAsia"/>
        </w:rPr>
        <w:t>整合社会多方力量，合理划分各方所需要承担的责任，制定各方的成本预算，由此建立的科学合理的成本分担机制，才能推进国家的新型城镇化建设，推动经济社会转型。</w:t>
      </w:r>
    </w:p>
    <w:p w14:paraId="13D39983" w14:textId="48746C49" w:rsidR="004E5096" w:rsidRDefault="004E5096" w:rsidP="004E5096">
      <w:pPr>
        <w:pStyle w:val="3"/>
      </w:pPr>
      <w:r>
        <w:rPr>
          <w:rFonts w:hint="eastAsia"/>
        </w:rPr>
        <w:t>4.</w:t>
      </w:r>
      <w:r>
        <w:t>1</w:t>
      </w:r>
      <w:r>
        <w:rPr>
          <w:rFonts w:hint="eastAsia"/>
        </w:rPr>
        <w:t>、成本分担机制</w:t>
      </w:r>
    </w:p>
    <w:p w14:paraId="356B13EC" w14:textId="431782D9" w:rsidR="004E5096" w:rsidRDefault="004E5096" w:rsidP="004E5096">
      <w:pPr>
        <w:pStyle w:val="4"/>
      </w:pPr>
      <w:r>
        <w:rPr>
          <w:rFonts w:hint="eastAsia"/>
        </w:rPr>
        <w:t>4.1.1、政府</w:t>
      </w:r>
    </w:p>
    <w:p w14:paraId="78038CC1" w14:textId="43460321" w:rsidR="004E5096" w:rsidRDefault="004E5096" w:rsidP="004E5096">
      <w:pPr>
        <w:ind w:firstLine="420"/>
      </w:pPr>
      <w:r>
        <w:rPr>
          <w:rFonts w:hint="eastAsia"/>
        </w:rPr>
        <w:t>包括中央政府与地方政府，作为我国新型城镇化的推动者，理应承担起农民工市民</w:t>
      </w:r>
      <w:proofErr w:type="gramStart"/>
      <w:r>
        <w:rPr>
          <w:rFonts w:hint="eastAsia"/>
        </w:rPr>
        <w:t>化成本</w:t>
      </w:r>
      <w:proofErr w:type="gramEnd"/>
      <w:r>
        <w:rPr>
          <w:rFonts w:hint="eastAsia"/>
        </w:rPr>
        <w:t>的主要分担主体的责任。政府应该根据实际情况，增加基础设施和社会保障以及教育的财政支出，对农民工就业、住房</w:t>
      </w:r>
      <w:r w:rsidR="00FC3E64">
        <w:rPr>
          <w:rFonts w:hint="eastAsia"/>
        </w:rPr>
        <w:t>提供优惠政策以及加大投入力度，弥补城乡之间各项差距，减少农民工迟迟融入不了城市生活的心理负担。</w:t>
      </w:r>
      <w:r w:rsidR="00357E2B">
        <w:rPr>
          <w:rFonts w:hint="eastAsia"/>
        </w:rPr>
        <w:t>广西作为长期的发展较为落后地区，地方财力有限，成本支付能力不足，中央政府应该适当多分担一些市民化成本。还可以按照农民工流入地和流出地的不同划分成中央、自治区、市三级财政分担体系，尽可能减少尽到农民工市民</w:t>
      </w:r>
      <w:proofErr w:type="gramStart"/>
      <w:r w:rsidR="00357E2B">
        <w:rPr>
          <w:rFonts w:hint="eastAsia"/>
        </w:rPr>
        <w:t>化成本</w:t>
      </w:r>
      <w:proofErr w:type="gramEnd"/>
      <w:r w:rsidR="00357E2B">
        <w:rPr>
          <w:rFonts w:hint="eastAsia"/>
        </w:rPr>
        <w:t>分担主题的责任。</w:t>
      </w:r>
    </w:p>
    <w:p w14:paraId="53E9B225" w14:textId="2705AAE4" w:rsidR="00FC3E64" w:rsidRDefault="00FC3E64" w:rsidP="00FC3E64">
      <w:pPr>
        <w:pStyle w:val="4"/>
      </w:pPr>
      <w:r>
        <w:rPr>
          <w:rFonts w:hint="eastAsia"/>
        </w:rPr>
        <w:t>4.1.2、企业</w:t>
      </w:r>
    </w:p>
    <w:p w14:paraId="1F79B968" w14:textId="04D174D8" w:rsidR="00FC3E64" w:rsidRDefault="00FC3E64" w:rsidP="00FC3E64">
      <w:pPr>
        <w:ind w:firstLine="420"/>
      </w:pPr>
      <w:r>
        <w:rPr>
          <w:rFonts w:hint="eastAsia"/>
        </w:rPr>
        <w:t>企业作为获得农民工创造的经济利益的主体，有必要分担农民工的市民化成本，但不应该为农民工分担过多，其主要应该负责农民工的就业保障，积极缴纳农民工的五险</w:t>
      </w:r>
      <w:proofErr w:type="gramStart"/>
      <w:r>
        <w:rPr>
          <w:rFonts w:hint="eastAsia"/>
        </w:rPr>
        <w:t>一</w:t>
      </w:r>
      <w:proofErr w:type="gramEnd"/>
      <w:r>
        <w:rPr>
          <w:rFonts w:hint="eastAsia"/>
        </w:rPr>
        <w:t>金，不</w:t>
      </w:r>
      <w:r>
        <w:rPr>
          <w:rFonts w:hint="eastAsia"/>
        </w:rPr>
        <w:lastRenderedPageBreak/>
        <w:t>得拖欠农民工工资等。</w:t>
      </w:r>
    </w:p>
    <w:p w14:paraId="727C45D4" w14:textId="0BACEAF4" w:rsidR="00FC3E64" w:rsidRDefault="00FC3E64" w:rsidP="00FC3E64">
      <w:pPr>
        <w:pStyle w:val="4"/>
      </w:pPr>
      <w:r>
        <w:rPr>
          <w:rFonts w:hint="eastAsia"/>
        </w:rPr>
        <w:t>4.1.3、农民工个人</w:t>
      </w:r>
    </w:p>
    <w:p w14:paraId="03BE3E8D" w14:textId="0DD114ED" w:rsidR="00FC3E64" w:rsidRDefault="00FC3E64" w:rsidP="00472C81">
      <w:pPr>
        <w:ind w:firstLine="420"/>
      </w:pPr>
      <w:r>
        <w:rPr>
          <w:rFonts w:hint="eastAsia"/>
        </w:rPr>
        <w:t>农民工要想融入到城市生活，除了社会各方的积极帮助之外，其自身的努力也是一样必不可少的</w:t>
      </w:r>
      <w:r w:rsidR="00472C81">
        <w:rPr>
          <w:rFonts w:hint="eastAsia"/>
        </w:rPr>
        <w:t>。其不但需要客服高昂的住房成本，随迁子女教育成本，还要客</w:t>
      </w:r>
      <w:proofErr w:type="gramStart"/>
      <w:r w:rsidR="00472C81">
        <w:rPr>
          <w:rFonts w:hint="eastAsia"/>
        </w:rPr>
        <w:t>服心理</w:t>
      </w:r>
      <w:proofErr w:type="gramEnd"/>
      <w:r w:rsidR="00472C81">
        <w:rPr>
          <w:rFonts w:hint="eastAsia"/>
        </w:rPr>
        <w:t>上无法融入城市的障碍。积极参加各类职业技能培训，提升自己的职业能力，也是快速融入城市的一个好办法。</w:t>
      </w:r>
    </w:p>
    <w:p w14:paraId="291C7B33" w14:textId="481D5B1E" w:rsidR="00472C81" w:rsidRDefault="00472C81" w:rsidP="00472C81">
      <w:pPr>
        <w:pStyle w:val="4"/>
      </w:pPr>
      <w:r>
        <w:rPr>
          <w:rFonts w:hint="eastAsia"/>
        </w:rPr>
        <w:t>4.1.4、社会慈善机构</w:t>
      </w:r>
    </w:p>
    <w:p w14:paraId="293D77A0" w14:textId="3B4F3E7D" w:rsidR="00472C81" w:rsidRDefault="00472C81" w:rsidP="00472C81">
      <w:pPr>
        <w:ind w:firstLine="420"/>
      </w:pPr>
      <w:r>
        <w:rPr>
          <w:rFonts w:hint="eastAsia"/>
        </w:rPr>
        <w:t>经济社会发展的过程中，社会公益事业也得到了十分长足的进步。但社会慈善机构对农民工市民化只应起到辅助作用，具体表现为农民工的法律援助、维权，必要时对农民工进行慈善资助，帮助其暂时度过难关。</w:t>
      </w:r>
    </w:p>
    <w:p w14:paraId="6A1D2523" w14:textId="08C634C6" w:rsidR="00E36FA4" w:rsidRDefault="00C66817" w:rsidP="00C66817">
      <w:pPr>
        <w:ind w:firstLine="420"/>
      </w:pPr>
      <w:r>
        <w:rPr>
          <w:rFonts w:hint="eastAsia"/>
        </w:rPr>
        <w:t>总而言之，在农民工市民</w:t>
      </w:r>
      <w:proofErr w:type="gramStart"/>
      <w:r>
        <w:rPr>
          <w:rFonts w:hint="eastAsia"/>
        </w:rPr>
        <w:t>化成本</w:t>
      </w:r>
      <w:proofErr w:type="gramEnd"/>
      <w:r>
        <w:rPr>
          <w:rFonts w:hint="eastAsia"/>
        </w:rPr>
        <w:t>分担下，政府，企业，农民工，社会慈善机构应该明确划分自己的职责与分担范围，自觉履行应尽的义务。从而加快农民工市民化的进程，推动我国建设新型城镇化，成为农民工市民化的强有力的支撑。大致的农民工的成本分担与成本划分如下图所示：</w:t>
      </w:r>
    </w:p>
    <w:p w14:paraId="04306341" w14:textId="31DBD645" w:rsidR="00C66817" w:rsidRDefault="00C66817" w:rsidP="00C66817">
      <w:r>
        <w:rPr>
          <w:noProof/>
        </w:rPr>
        <w:drawing>
          <wp:inline distT="0" distB="0" distL="0" distR="0" wp14:anchorId="59B7F44D" wp14:editId="37BFDD17">
            <wp:extent cx="5415280" cy="3829050"/>
            <wp:effectExtent l="0" t="0" r="0" b="0"/>
            <wp:docPr id="110" name="图片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66252" cy="3865091"/>
                    </a:xfrm>
                    <a:prstGeom prst="rect">
                      <a:avLst/>
                    </a:prstGeom>
                  </pic:spPr>
                </pic:pic>
              </a:graphicData>
            </a:graphic>
          </wp:inline>
        </w:drawing>
      </w:r>
    </w:p>
    <w:p w14:paraId="262376C3" w14:textId="6F967B41" w:rsidR="00C66817" w:rsidRDefault="004E6C25" w:rsidP="004E6C25">
      <w:pPr>
        <w:jc w:val="center"/>
      </w:pPr>
      <w:r>
        <w:rPr>
          <w:rFonts w:hint="eastAsia"/>
        </w:rPr>
        <w:t>图四 农民工市民</w:t>
      </w:r>
      <w:proofErr w:type="gramStart"/>
      <w:r>
        <w:rPr>
          <w:rFonts w:hint="eastAsia"/>
        </w:rPr>
        <w:t>化成本</w:t>
      </w:r>
      <w:proofErr w:type="gramEnd"/>
      <w:r>
        <w:rPr>
          <w:rFonts w:hint="eastAsia"/>
        </w:rPr>
        <w:t>分担与构成</w:t>
      </w:r>
    </w:p>
    <w:p w14:paraId="61843B38" w14:textId="4F721547" w:rsidR="00C66817" w:rsidRDefault="00C66817" w:rsidP="001C2A6A">
      <w:pPr>
        <w:pStyle w:val="3"/>
      </w:pPr>
      <w:r>
        <w:rPr>
          <w:rFonts w:hint="eastAsia"/>
        </w:rPr>
        <w:lastRenderedPageBreak/>
        <w:t>4.2、政策建议</w:t>
      </w:r>
    </w:p>
    <w:p w14:paraId="66A72406" w14:textId="2FC93375" w:rsidR="00C66817" w:rsidRDefault="00C66817" w:rsidP="001C2A6A">
      <w:pPr>
        <w:pStyle w:val="4"/>
      </w:pPr>
      <w:r>
        <w:rPr>
          <w:rFonts w:hint="eastAsia"/>
        </w:rPr>
        <w:t>4.</w:t>
      </w:r>
      <w:r>
        <w:t>2.1</w:t>
      </w:r>
      <w:r w:rsidR="00CD5634">
        <w:rPr>
          <w:rFonts w:hint="eastAsia"/>
        </w:rPr>
        <w:t>、</w:t>
      </w:r>
      <w:r w:rsidR="00BE128D">
        <w:rPr>
          <w:rFonts w:hint="eastAsia"/>
        </w:rPr>
        <w:t>分担</w:t>
      </w:r>
      <w:r w:rsidR="00CD5634">
        <w:rPr>
          <w:rFonts w:hint="eastAsia"/>
        </w:rPr>
        <w:t>成本也要兼顾效率</w:t>
      </w:r>
    </w:p>
    <w:p w14:paraId="6B7F11F7" w14:textId="42B2FDB1" w:rsidR="00CD5634" w:rsidRDefault="00CD5634" w:rsidP="00C66817">
      <w:pPr>
        <w:ind w:firstLine="420"/>
      </w:pPr>
      <w:r>
        <w:rPr>
          <w:rFonts w:hint="eastAsia"/>
        </w:rPr>
        <w:t>在实现农民工市民化的进程中</w:t>
      </w:r>
      <w:r w:rsidR="001C2A6A">
        <w:rPr>
          <w:rFonts w:hint="eastAsia"/>
        </w:rPr>
        <w:t>，一味的追求低成本，加快农民工融入城市的速度，在基础设施建设、社会保障以及就业、农民工随迁子女教育问题都没有解决完善的情况下，只会使得农民工虽然表面上市民化了，实际上却仍然是游走于城市的边缘，对于实际问题没有丝毫帮助。因此，有效的成本分担机制的建立会缓解农民工市民化为政府带来的巨大的负担</w:t>
      </w:r>
      <w:r w:rsidR="00BE128D">
        <w:rPr>
          <w:rFonts w:hint="eastAsia"/>
        </w:rPr>
        <w:t>，政府在促进农民工加速融入城市的过程中，也要解决农民工进入城市的一系列配套设施的完备问题，要考虑到农民工市民化的效率问题，从而真正的加速城镇化进程，加快经济社会转型。</w:t>
      </w:r>
    </w:p>
    <w:p w14:paraId="67BB4BD6" w14:textId="53604879" w:rsidR="00BE128D" w:rsidRDefault="00BE128D" w:rsidP="00BE128D">
      <w:pPr>
        <w:pStyle w:val="4"/>
      </w:pPr>
      <w:r>
        <w:rPr>
          <w:rFonts w:hint="eastAsia"/>
        </w:rPr>
        <w:t>4.2.2、根据实际情况因地制宜的制定政策</w:t>
      </w:r>
    </w:p>
    <w:p w14:paraId="4C21546C" w14:textId="77777777" w:rsidR="002976DC" w:rsidRDefault="00BE128D" w:rsidP="00C66817">
      <w:pPr>
        <w:ind w:firstLine="420"/>
      </w:pPr>
      <w:r>
        <w:rPr>
          <w:rFonts w:hint="eastAsia"/>
        </w:rPr>
        <w:t>广西各地的经济水平不同，</w:t>
      </w:r>
      <w:r w:rsidR="002976DC">
        <w:rPr>
          <w:rFonts w:hint="eastAsia"/>
        </w:rPr>
        <w:t>根据已公布的国家级贫困县名单</w:t>
      </w:r>
      <w:r>
        <w:rPr>
          <w:rFonts w:hint="eastAsia"/>
        </w:rPr>
        <w:t>，</w:t>
      </w:r>
      <w:r w:rsidR="002976DC">
        <w:rPr>
          <w:rFonts w:hint="eastAsia"/>
        </w:rPr>
        <w:t>在2018年全广西还有28个国家级贫困县，</w:t>
      </w:r>
      <w:r>
        <w:rPr>
          <w:rFonts w:hint="eastAsia"/>
        </w:rPr>
        <w:t>要在短期内让这些地区人民完成市民</w:t>
      </w:r>
      <w:proofErr w:type="gramStart"/>
      <w:r>
        <w:rPr>
          <w:rFonts w:hint="eastAsia"/>
        </w:rPr>
        <w:t>化显然</w:t>
      </w:r>
      <w:proofErr w:type="gramEnd"/>
      <w:r>
        <w:rPr>
          <w:rFonts w:hint="eastAsia"/>
        </w:rPr>
        <w:t>是不现实的</w:t>
      </w:r>
      <w:r w:rsidR="002976DC">
        <w:rPr>
          <w:rFonts w:hint="eastAsia"/>
        </w:rPr>
        <w:t>。因此这就需要当地政府统筹各个部门的具体情况，因地制宜的制定政策。一般来说，当地经济状况与农民工市民</w:t>
      </w:r>
      <w:proofErr w:type="gramStart"/>
      <w:r w:rsidR="002976DC">
        <w:rPr>
          <w:rFonts w:hint="eastAsia"/>
        </w:rPr>
        <w:t>化成本</w:t>
      </w:r>
      <w:proofErr w:type="gramEnd"/>
      <w:r w:rsidR="002976DC">
        <w:rPr>
          <w:rFonts w:hint="eastAsia"/>
        </w:rPr>
        <w:t>一般呈现正比关系，贫困地区的农民工就地城镇化与在南宁、柳州等大城市的所需成本也是截然不同的。</w:t>
      </w:r>
    </w:p>
    <w:p w14:paraId="450EBFAD" w14:textId="36CABD09" w:rsidR="00C66817" w:rsidRDefault="00111979" w:rsidP="00111979">
      <w:pPr>
        <w:pStyle w:val="4"/>
      </w:pPr>
      <w:r>
        <w:rPr>
          <w:rFonts w:hint="eastAsia"/>
        </w:rPr>
        <w:t>4.2.3、建立保障农民工的城市住房体系</w:t>
      </w:r>
    </w:p>
    <w:p w14:paraId="1AC2C9FA" w14:textId="4F7DF418" w:rsidR="00111979" w:rsidRDefault="00111979" w:rsidP="00111979">
      <w:r>
        <w:tab/>
      </w:r>
      <w:r>
        <w:rPr>
          <w:rFonts w:hint="eastAsia"/>
        </w:rPr>
        <w:t>从测算结果来看，在短期内，农民工市民</w:t>
      </w:r>
      <w:proofErr w:type="gramStart"/>
      <w:r>
        <w:rPr>
          <w:rFonts w:hint="eastAsia"/>
        </w:rPr>
        <w:t>化成本</w:t>
      </w:r>
      <w:proofErr w:type="gramEnd"/>
      <w:r>
        <w:rPr>
          <w:rFonts w:hint="eastAsia"/>
        </w:rPr>
        <w:t>最为主要且数量巨大的支出就是个人住房，因此，建立保障性住房体系是农民工市民化亟需解决的问题。农民工的住房问题解决的程度直接影响到我国城镇化的质量，否则造成一些国家出现的“贫民窟”的社会问题，会加剧贫富差距的矛盾，带来大量的社会问题。因此政府应该扩大公租房与廉租房、</w:t>
      </w:r>
      <w:proofErr w:type="gramStart"/>
      <w:r>
        <w:rPr>
          <w:rFonts w:hint="eastAsia"/>
        </w:rPr>
        <w:t>经适房</w:t>
      </w:r>
      <w:proofErr w:type="gramEnd"/>
      <w:r>
        <w:rPr>
          <w:rFonts w:hint="eastAsia"/>
        </w:rPr>
        <w:t>、限价房的</w:t>
      </w:r>
      <w:r w:rsidR="006756F2">
        <w:rPr>
          <w:rFonts w:hint="eastAsia"/>
        </w:rPr>
        <w:t>供应，建造更多的此类房产以适应不同层次的农民工需求。此外，也可以鼓励企业为农民工提供安全卫生的工作宿舍，规范住房租赁市场，完善农民工住房优惠政策等。</w:t>
      </w:r>
    </w:p>
    <w:p w14:paraId="55048FE9" w14:textId="0DE2EF5F" w:rsidR="00C66817" w:rsidRDefault="00245179" w:rsidP="00245179">
      <w:pPr>
        <w:pStyle w:val="2"/>
      </w:pPr>
      <w:bookmarkStart w:id="1" w:name="_5、结语"/>
      <w:bookmarkEnd w:id="1"/>
      <w:r>
        <w:rPr>
          <w:rFonts w:hint="eastAsia"/>
        </w:rPr>
        <w:t>5、结语</w:t>
      </w:r>
    </w:p>
    <w:p w14:paraId="2BFE99D9" w14:textId="47579324" w:rsidR="00245179" w:rsidRPr="00245179" w:rsidRDefault="00245179" w:rsidP="00245179">
      <w:r>
        <w:tab/>
      </w:r>
      <w:r>
        <w:rPr>
          <w:rFonts w:hint="eastAsia"/>
        </w:rPr>
        <w:t>通过本文对广西的南宁、柳州、来宾三市农民工市民</w:t>
      </w:r>
      <w:proofErr w:type="gramStart"/>
      <w:r>
        <w:rPr>
          <w:rFonts w:hint="eastAsia"/>
        </w:rPr>
        <w:t>化成本</w:t>
      </w:r>
      <w:proofErr w:type="gramEnd"/>
      <w:r>
        <w:rPr>
          <w:rFonts w:hint="eastAsia"/>
        </w:rPr>
        <w:t>的测算，可以得出三市的</w:t>
      </w:r>
      <w:r w:rsidR="007514A3">
        <w:rPr>
          <w:rFonts w:hint="eastAsia"/>
        </w:rPr>
        <w:t>总成本分别为174556元、150417.</w:t>
      </w:r>
      <w:r w:rsidR="007514A3">
        <w:t>3</w:t>
      </w:r>
      <w:r w:rsidR="007514A3">
        <w:rPr>
          <w:rFonts w:hint="eastAsia"/>
        </w:rPr>
        <w:t>元、124088.7元。其中基础设施成本和个人住房成本占比最高，是市民</w:t>
      </w:r>
      <w:proofErr w:type="gramStart"/>
      <w:r w:rsidR="007514A3">
        <w:rPr>
          <w:rFonts w:hint="eastAsia"/>
        </w:rPr>
        <w:t>化成本</w:t>
      </w:r>
      <w:proofErr w:type="gramEnd"/>
      <w:r w:rsidR="007514A3">
        <w:rPr>
          <w:rFonts w:hint="eastAsia"/>
        </w:rPr>
        <w:t>的主要支出。本文根据市民</w:t>
      </w:r>
      <w:proofErr w:type="gramStart"/>
      <w:r w:rsidR="007514A3">
        <w:rPr>
          <w:rFonts w:hint="eastAsia"/>
        </w:rPr>
        <w:t>化成本</w:t>
      </w:r>
      <w:proofErr w:type="gramEnd"/>
      <w:r w:rsidR="007514A3">
        <w:rPr>
          <w:rFonts w:hint="eastAsia"/>
        </w:rPr>
        <w:t>支付主体的</w:t>
      </w:r>
      <w:proofErr w:type="gramStart"/>
      <w:r w:rsidR="007514A3">
        <w:rPr>
          <w:rFonts w:hint="eastAsia"/>
        </w:rPr>
        <w:t>不同</w:t>
      </w:r>
      <w:proofErr w:type="gramEnd"/>
      <w:r w:rsidR="007514A3">
        <w:rPr>
          <w:rFonts w:hint="eastAsia"/>
        </w:rPr>
        <w:t>把成本划分成了公共成本与个人成本。把农民工市民</w:t>
      </w:r>
      <w:proofErr w:type="gramStart"/>
      <w:r w:rsidR="007514A3">
        <w:rPr>
          <w:rFonts w:hint="eastAsia"/>
        </w:rPr>
        <w:t>化成本</w:t>
      </w:r>
      <w:proofErr w:type="gramEnd"/>
      <w:r w:rsidR="007514A3">
        <w:rPr>
          <w:rFonts w:hint="eastAsia"/>
        </w:rPr>
        <w:t>的分担主体分为了政府、企业、个人和慈善机构，这四个主体明确划分了职责与权限，各司其职的分摊农民工市民化成本。为全广西的新型城镇化建设，经济社会转型提供有宜的帮助。</w:t>
      </w:r>
    </w:p>
    <w:p w14:paraId="7C0CF6CA" w14:textId="1864902E" w:rsidR="00771BE1" w:rsidRDefault="00771BE1" w:rsidP="00C66817">
      <w:pPr>
        <w:ind w:firstLine="420"/>
      </w:pPr>
    </w:p>
    <w:p w14:paraId="64FC04A8" w14:textId="29C1BA73" w:rsidR="00771BE1" w:rsidRDefault="00771BE1" w:rsidP="00A902F0">
      <w:pPr>
        <w:pStyle w:val="2"/>
        <w:rPr>
          <w:rFonts w:hint="eastAsia"/>
        </w:rPr>
      </w:pPr>
      <w:r>
        <w:rPr>
          <w:rFonts w:hint="eastAsia"/>
        </w:rPr>
        <w:lastRenderedPageBreak/>
        <w:t>[参考文献]</w:t>
      </w:r>
    </w:p>
    <w:p w14:paraId="5DCE8D68" w14:textId="144013C3" w:rsidR="00C66817" w:rsidRDefault="00771BE1" w:rsidP="00A902F0">
      <w:pPr>
        <w:pStyle w:val="a3"/>
        <w:numPr>
          <w:ilvl w:val="0"/>
          <w:numId w:val="4"/>
        </w:numPr>
        <w:ind w:firstLineChars="0"/>
      </w:pPr>
      <w:bookmarkStart w:id="2" w:name="_Ref514053067"/>
      <w:r>
        <w:rPr>
          <w:rFonts w:hint="eastAsia"/>
        </w:rPr>
        <w:t>李长生，等.</w:t>
      </w:r>
      <w:r>
        <w:t xml:space="preserve"> </w:t>
      </w:r>
      <w:r>
        <w:rPr>
          <w:rFonts w:hint="eastAsia"/>
        </w:rPr>
        <w:t>云南省农民工市民</w:t>
      </w:r>
      <w:proofErr w:type="gramStart"/>
      <w:r>
        <w:rPr>
          <w:rFonts w:hint="eastAsia"/>
        </w:rPr>
        <w:t>化成本</w:t>
      </w:r>
      <w:proofErr w:type="gramEnd"/>
      <w:r>
        <w:rPr>
          <w:rFonts w:hint="eastAsia"/>
        </w:rPr>
        <w:t>测算及分担机制研究[</w:t>
      </w:r>
      <w:r>
        <w:t xml:space="preserve">J]. </w:t>
      </w:r>
      <w:r>
        <w:rPr>
          <w:rFonts w:hint="eastAsia"/>
        </w:rPr>
        <w:t>云南农业大学学报2015，9（6）：1-7</w:t>
      </w:r>
      <w:bookmarkEnd w:id="2"/>
    </w:p>
    <w:p w14:paraId="7942C9CC" w14:textId="1E168E89" w:rsidR="00A902F0" w:rsidRDefault="00A902F0" w:rsidP="00A902F0">
      <w:pPr>
        <w:pStyle w:val="a3"/>
        <w:numPr>
          <w:ilvl w:val="0"/>
          <w:numId w:val="4"/>
        </w:numPr>
        <w:ind w:firstLineChars="0"/>
      </w:pPr>
      <w:bookmarkStart w:id="3" w:name="_Ref514053104"/>
      <w:r>
        <w:rPr>
          <w:rFonts w:hint="eastAsia"/>
        </w:rPr>
        <w:t>刘美月，李开宇等.</w:t>
      </w:r>
      <w:r>
        <w:t xml:space="preserve"> </w:t>
      </w:r>
      <w:r>
        <w:rPr>
          <w:rFonts w:hint="eastAsia"/>
        </w:rPr>
        <w:t>新型城镇化背景下农民工市民</w:t>
      </w:r>
      <w:proofErr w:type="gramStart"/>
      <w:r>
        <w:rPr>
          <w:rFonts w:hint="eastAsia"/>
        </w:rPr>
        <w:t>化成本</w:t>
      </w:r>
      <w:proofErr w:type="gramEnd"/>
      <w:r>
        <w:rPr>
          <w:rFonts w:hint="eastAsia"/>
        </w:rPr>
        <w:t>测算及其分担机制构建-以西安市为例[</w:t>
      </w:r>
      <w:r>
        <w:t xml:space="preserve">J]. </w:t>
      </w:r>
      <w:r>
        <w:rPr>
          <w:rFonts w:hint="eastAsia"/>
        </w:rPr>
        <w:t>江西农业学报 2016,28(</w:t>
      </w:r>
      <w:r>
        <w:t>3):113-118</w:t>
      </w:r>
      <w:bookmarkEnd w:id="3"/>
    </w:p>
    <w:p w14:paraId="6266D85D" w14:textId="50846607" w:rsidR="00A902F0" w:rsidRDefault="00A902F0" w:rsidP="00A902F0">
      <w:pPr>
        <w:pStyle w:val="a3"/>
        <w:numPr>
          <w:ilvl w:val="0"/>
          <w:numId w:val="4"/>
        </w:numPr>
        <w:ind w:firstLineChars="0"/>
      </w:pPr>
      <w:bookmarkStart w:id="4" w:name="_Ref514052768"/>
      <w:proofErr w:type="gramStart"/>
      <w:r>
        <w:rPr>
          <w:rFonts w:hint="eastAsia"/>
        </w:rPr>
        <w:t>曾亿武，丘银</w:t>
      </w:r>
      <w:proofErr w:type="gramEnd"/>
      <w:r>
        <w:rPr>
          <w:rFonts w:hint="eastAsia"/>
        </w:rPr>
        <w:t>.</w:t>
      </w:r>
      <w:r>
        <w:t xml:space="preserve"> </w:t>
      </w:r>
      <w:r>
        <w:rPr>
          <w:rFonts w:hint="eastAsia"/>
        </w:rPr>
        <w:t>我国农民工市民</w:t>
      </w:r>
      <w:proofErr w:type="gramStart"/>
      <w:r>
        <w:rPr>
          <w:rFonts w:hint="eastAsia"/>
        </w:rPr>
        <w:t>化成本</w:t>
      </w:r>
      <w:proofErr w:type="gramEnd"/>
      <w:r>
        <w:rPr>
          <w:rFonts w:hint="eastAsia"/>
        </w:rPr>
        <w:t>研究综述[</w:t>
      </w:r>
      <w:r>
        <w:t xml:space="preserve">J]. </w:t>
      </w:r>
      <w:r>
        <w:rPr>
          <w:rFonts w:hint="eastAsia"/>
        </w:rPr>
        <w:t xml:space="preserve">安徽农业科学 </w:t>
      </w:r>
      <w:r w:rsidRPr="00A902F0">
        <w:t>2012，40(17):9503 －9505</w:t>
      </w:r>
      <w:bookmarkEnd w:id="4"/>
    </w:p>
    <w:p w14:paraId="024B0E03" w14:textId="1BFFB404" w:rsidR="00A902F0" w:rsidRDefault="00A902F0" w:rsidP="00A902F0">
      <w:pPr>
        <w:pStyle w:val="a3"/>
        <w:numPr>
          <w:ilvl w:val="0"/>
          <w:numId w:val="4"/>
        </w:numPr>
        <w:ind w:firstLineChars="0"/>
      </w:pPr>
      <w:r>
        <w:rPr>
          <w:rFonts w:hint="eastAsia"/>
        </w:rPr>
        <w:t>王国霞</w:t>
      </w:r>
      <w:r>
        <w:rPr>
          <w:rFonts w:hint="eastAsia"/>
        </w:rPr>
        <w:t>,</w:t>
      </w:r>
      <w:r>
        <w:rPr>
          <w:rFonts w:hint="eastAsia"/>
        </w:rPr>
        <w:t>张慧</w:t>
      </w:r>
      <w:r>
        <w:rPr>
          <w:rFonts w:hint="eastAsia"/>
        </w:rPr>
        <w:t>.</w:t>
      </w:r>
      <w:r>
        <w:t xml:space="preserve"> </w:t>
      </w:r>
      <w:r w:rsidRPr="00A902F0">
        <w:rPr>
          <w:rFonts w:hint="eastAsia"/>
        </w:rPr>
        <w:t>农业转移人口市民</w:t>
      </w:r>
      <w:proofErr w:type="gramStart"/>
      <w:r w:rsidRPr="00A902F0">
        <w:rPr>
          <w:rFonts w:hint="eastAsia"/>
        </w:rPr>
        <w:t>化成本</w:t>
      </w:r>
      <w:proofErr w:type="gramEnd"/>
      <w:r w:rsidRPr="00A902F0">
        <w:rPr>
          <w:rFonts w:hint="eastAsia"/>
        </w:rPr>
        <w:t>分担机制分类设计初探</w:t>
      </w:r>
      <w:r>
        <w:rPr>
          <w:rFonts w:hint="eastAsia"/>
        </w:rPr>
        <w:t>[</w:t>
      </w:r>
      <w:r>
        <w:t xml:space="preserve">J]. </w:t>
      </w:r>
      <w:r>
        <w:rPr>
          <w:rFonts w:hint="eastAsia"/>
        </w:rPr>
        <w:t>经济问题 2016.5</w:t>
      </w:r>
    </w:p>
    <w:p w14:paraId="3BA9CDED" w14:textId="5B9F6CED" w:rsidR="00A902F0" w:rsidRDefault="00A902F0" w:rsidP="00A902F0">
      <w:pPr>
        <w:pStyle w:val="a3"/>
        <w:numPr>
          <w:ilvl w:val="0"/>
          <w:numId w:val="4"/>
        </w:numPr>
        <w:ind w:firstLineChars="0"/>
      </w:pPr>
      <w:r w:rsidRPr="00A902F0">
        <w:rPr>
          <w:rFonts w:hint="eastAsia"/>
        </w:rPr>
        <w:t>王</w:t>
      </w:r>
      <w:r w:rsidRPr="00A902F0">
        <w:t>西，刘维刚</w:t>
      </w:r>
      <w:r>
        <w:rPr>
          <w:rFonts w:hint="eastAsia"/>
        </w:rPr>
        <w:t>.</w:t>
      </w:r>
      <w:r>
        <w:t xml:space="preserve"> </w:t>
      </w:r>
      <w:r>
        <w:rPr>
          <w:rFonts w:hint="eastAsia"/>
        </w:rPr>
        <w:t>农业转移人口市民</w:t>
      </w:r>
      <w:proofErr w:type="gramStart"/>
      <w:r>
        <w:rPr>
          <w:rFonts w:hint="eastAsia"/>
        </w:rPr>
        <w:t>化成本</w:t>
      </w:r>
      <w:proofErr w:type="gramEnd"/>
      <w:r>
        <w:rPr>
          <w:rFonts w:hint="eastAsia"/>
        </w:rPr>
        <w:t>测算及分担机制研究</w:t>
      </w:r>
      <w:r>
        <w:t xml:space="preserve">[J]. </w:t>
      </w:r>
      <w:r>
        <w:rPr>
          <w:rFonts w:hint="eastAsia"/>
        </w:rPr>
        <w:t>经济纵横 2016.12</w:t>
      </w:r>
    </w:p>
    <w:p w14:paraId="0E22B943" w14:textId="5871AF3E" w:rsidR="00A902F0" w:rsidRDefault="00A902F0" w:rsidP="00A902F0">
      <w:pPr>
        <w:pStyle w:val="a3"/>
        <w:numPr>
          <w:ilvl w:val="0"/>
          <w:numId w:val="4"/>
        </w:numPr>
        <w:ind w:firstLineChars="0"/>
      </w:pPr>
      <w:bookmarkStart w:id="5" w:name="_Ref514053310"/>
      <w:proofErr w:type="gramStart"/>
      <w:r>
        <w:rPr>
          <w:rFonts w:hint="eastAsia"/>
        </w:rPr>
        <w:t>徐红芬</w:t>
      </w:r>
      <w:proofErr w:type="gramEnd"/>
      <w:r>
        <w:rPr>
          <w:rFonts w:hint="eastAsia"/>
        </w:rPr>
        <w:t>.</w:t>
      </w:r>
      <w:r>
        <w:t xml:space="preserve"> </w:t>
      </w:r>
      <w:r>
        <w:rPr>
          <w:rFonts w:hint="eastAsia"/>
        </w:rPr>
        <w:t>城镇化建设中农民工市民</w:t>
      </w:r>
      <w:proofErr w:type="gramStart"/>
      <w:r>
        <w:rPr>
          <w:rFonts w:hint="eastAsia"/>
        </w:rPr>
        <w:t>化成本</w:t>
      </w:r>
      <w:proofErr w:type="gramEnd"/>
      <w:r>
        <w:rPr>
          <w:rFonts w:hint="eastAsia"/>
        </w:rPr>
        <w:t>测算及金融支持研究[</w:t>
      </w:r>
      <w:r>
        <w:t xml:space="preserve">J]. </w:t>
      </w:r>
      <w:r w:rsidR="00C46D82">
        <w:rPr>
          <w:rFonts w:hint="eastAsia"/>
        </w:rPr>
        <w:t>金融理论与实践</w:t>
      </w:r>
      <w:r w:rsidR="00C46D82">
        <w:t xml:space="preserve"> 2013.9</w:t>
      </w:r>
      <w:bookmarkEnd w:id="5"/>
    </w:p>
    <w:p w14:paraId="1C5CD5DC" w14:textId="7C21EEA7" w:rsidR="00C46D82" w:rsidRDefault="00C46D82" w:rsidP="00C46D82">
      <w:pPr>
        <w:pStyle w:val="a3"/>
        <w:numPr>
          <w:ilvl w:val="0"/>
          <w:numId w:val="4"/>
        </w:numPr>
        <w:ind w:firstLineChars="0"/>
      </w:pPr>
      <w:r>
        <w:rPr>
          <w:rFonts w:hint="eastAsia"/>
        </w:rPr>
        <w:t>孙永正.</w:t>
      </w:r>
      <w:r>
        <w:t xml:space="preserve"> </w:t>
      </w:r>
      <w:r w:rsidRPr="00C46D82">
        <w:rPr>
          <w:rFonts w:hint="eastAsia"/>
        </w:rPr>
        <w:t>“农民工市民化”成本与收益的辨析</w:t>
      </w:r>
      <w:r>
        <w:t xml:space="preserve">[J]. </w:t>
      </w:r>
      <w:r>
        <w:rPr>
          <w:rFonts w:hint="eastAsia"/>
        </w:rPr>
        <w:t>经济问题 2016.3</w:t>
      </w:r>
    </w:p>
    <w:p w14:paraId="3CCD662B" w14:textId="68B02E07" w:rsidR="00C46D82" w:rsidRDefault="00C46D82" w:rsidP="00C46D82">
      <w:pPr>
        <w:pStyle w:val="a3"/>
        <w:numPr>
          <w:ilvl w:val="0"/>
          <w:numId w:val="4"/>
        </w:numPr>
        <w:ind w:firstLineChars="0"/>
      </w:pPr>
      <w:bookmarkStart w:id="6" w:name="_Ref514053272"/>
      <w:proofErr w:type="gramStart"/>
      <w:r w:rsidRPr="00C46D82">
        <w:rPr>
          <w:rFonts w:hint="eastAsia"/>
        </w:rPr>
        <w:t>眭</w:t>
      </w:r>
      <w:proofErr w:type="gramEnd"/>
      <w:r w:rsidRPr="00C46D82">
        <w:rPr>
          <w:rFonts w:hint="eastAsia"/>
        </w:rPr>
        <w:t>海霞</w:t>
      </w:r>
      <w:r>
        <w:rPr>
          <w:rFonts w:hint="eastAsia"/>
        </w:rPr>
        <w:t>，</w:t>
      </w:r>
      <w:r w:rsidRPr="00C46D82">
        <w:t>陈俊江</w:t>
      </w:r>
      <w:r>
        <w:rPr>
          <w:rFonts w:hint="eastAsia"/>
        </w:rPr>
        <w:t>.</w:t>
      </w:r>
      <w:r>
        <w:t xml:space="preserve"> </w:t>
      </w:r>
      <w:r w:rsidRPr="00C46D82">
        <w:rPr>
          <w:rFonts w:hint="eastAsia"/>
        </w:rPr>
        <w:t>新型城镇化背景下成都市农业转移人口市民</w:t>
      </w:r>
      <w:proofErr w:type="gramStart"/>
      <w:r w:rsidRPr="00C46D82">
        <w:rPr>
          <w:rFonts w:hint="eastAsia"/>
        </w:rPr>
        <w:t>化成本</w:t>
      </w:r>
      <w:proofErr w:type="gramEnd"/>
      <w:r w:rsidRPr="00C46D82">
        <w:rPr>
          <w:rFonts w:hint="eastAsia"/>
        </w:rPr>
        <w:t>分担机制研究</w:t>
      </w:r>
      <w:r>
        <w:rPr>
          <w:rFonts w:hint="eastAsia"/>
        </w:rPr>
        <w:t>[</w:t>
      </w:r>
      <w:r>
        <w:t xml:space="preserve">J]. </w:t>
      </w:r>
      <w:r>
        <w:rPr>
          <w:rFonts w:hint="eastAsia"/>
        </w:rPr>
        <w:t>农村经济 2015.2</w:t>
      </w:r>
      <w:bookmarkEnd w:id="6"/>
    </w:p>
    <w:p w14:paraId="49E2C272" w14:textId="45D30811" w:rsidR="00C46D82" w:rsidRDefault="00FB33AC" w:rsidP="00C46D82">
      <w:pPr>
        <w:pStyle w:val="a3"/>
        <w:numPr>
          <w:ilvl w:val="0"/>
          <w:numId w:val="4"/>
        </w:numPr>
        <w:ind w:firstLineChars="0"/>
      </w:pPr>
      <w:r>
        <w:rPr>
          <w:rFonts w:hint="eastAsia"/>
        </w:rPr>
        <w:t>陈怡男.</w:t>
      </w:r>
      <w:r>
        <w:t xml:space="preserve"> </w:t>
      </w:r>
      <w:r>
        <w:rPr>
          <w:rFonts w:hint="eastAsia"/>
        </w:rPr>
        <w:t>农民工市民</w:t>
      </w:r>
      <w:proofErr w:type="gramStart"/>
      <w:r>
        <w:rPr>
          <w:rFonts w:hint="eastAsia"/>
        </w:rPr>
        <w:t>化成本</w:t>
      </w:r>
      <w:proofErr w:type="gramEnd"/>
      <w:r>
        <w:rPr>
          <w:rFonts w:hint="eastAsia"/>
        </w:rPr>
        <w:t>测算研究-以四川省为例[</w:t>
      </w:r>
      <w:r>
        <w:t xml:space="preserve">J]. </w:t>
      </w:r>
      <w:r>
        <w:rPr>
          <w:rFonts w:hint="eastAsia"/>
        </w:rPr>
        <w:t xml:space="preserve">西南石油大学学报 </w:t>
      </w:r>
      <w:r>
        <w:t>2018.1</w:t>
      </w:r>
    </w:p>
    <w:p w14:paraId="4BE94FE3" w14:textId="7B9FBB94" w:rsidR="00FB33AC" w:rsidRDefault="00FB33AC" w:rsidP="00FB33AC">
      <w:pPr>
        <w:pStyle w:val="a3"/>
        <w:numPr>
          <w:ilvl w:val="0"/>
          <w:numId w:val="4"/>
        </w:numPr>
        <w:ind w:firstLineChars="0"/>
      </w:pPr>
      <w:r w:rsidRPr="00FB33AC">
        <w:rPr>
          <w:rFonts w:hint="eastAsia"/>
        </w:rPr>
        <w:t>顾东</w:t>
      </w:r>
      <w:proofErr w:type="gramStart"/>
      <w:r w:rsidRPr="00FB33AC">
        <w:rPr>
          <w:rFonts w:hint="eastAsia"/>
        </w:rPr>
        <w:t>东</w:t>
      </w:r>
      <w:proofErr w:type="gramEnd"/>
      <w:r w:rsidRPr="00FB33AC">
        <w:t xml:space="preserve"> 杜海峰</w:t>
      </w:r>
      <w:r>
        <w:rPr>
          <w:rFonts w:hint="eastAsia"/>
        </w:rPr>
        <w:t>等.</w:t>
      </w:r>
      <w:r>
        <w:t xml:space="preserve"> </w:t>
      </w:r>
      <w:r>
        <w:rPr>
          <w:rFonts w:hint="eastAsia"/>
        </w:rPr>
        <w:t>就地就近城镇化背景下农民工市民化的成本测算与发现——</w:t>
      </w:r>
      <w:proofErr w:type="gramStart"/>
      <w:r>
        <w:rPr>
          <w:rFonts w:hint="eastAsia"/>
        </w:rPr>
        <w:t>—</w:t>
      </w:r>
      <w:proofErr w:type="gramEnd"/>
      <w:r>
        <w:rPr>
          <w:rFonts w:hint="eastAsia"/>
        </w:rPr>
        <w:t>基于河南省三个县市的比较</w:t>
      </w:r>
      <w:r>
        <w:t xml:space="preserve">[J]. </w:t>
      </w:r>
      <w:r>
        <w:rPr>
          <w:rFonts w:hint="eastAsia"/>
        </w:rPr>
        <w:t>管理评论2</w:t>
      </w:r>
      <w:r>
        <w:t>018.3.</w:t>
      </w:r>
    </w:p>
    <w:p w14:paraId="39EC26B6" w14:textId="3E70A647" w:rsidR="00FB33AC" w:rsidRDefault="00FB33AC" w:rsidP="00FB33AC">
      <w:pPr>
        <w:pStyle w:val="a3"/>
        <w:numPr>
          <w:ilvl w:val="0"/>
          <w:numId w:val="4"/>
        </w:numPr>
        <w:ind w:firstLineChars="0"/>
      </w:pPr>
      <w:bookmarkStart w:id="7" w:name="_Ref514053164"/>
      <w:r>
        <w:rPr>
          <w:rFonts w:hint="eastAsia"/>
        </w:rPr>
        <w:t>李小敏，涂建军.</w:t>
      </w:r>
      <w:r>
        <w:t xml:space="preserve"> </w:t>
      </w:r>
      <w:r w:rsidRPr="00FB33AC">
        <w:rPr>
          <w:rFonts w:hint="eastAsia"/>
        </w:rPr>
        <w:t>我国农民工市民</w:t>
      </w:r>
      <w:proofErr w:type="gramStart"/>
      <w:r w:rsidRPr="00FB33AC">
        <w:rPr>
          <w:rFonts w:hint="eastAsia"/>
        </w:rPr>
        <w:t>化成本</w:t>
      </w:r>
      <w:proofErr w:type="gramEnd"/>
      <w:r w:rsidRPr="00FB33AC">
        <w:rPr>
          <w:rFonts w:hint="eastAsia"/>
        </w:rPr>
        <w:t>的地域差异</w:t>
      </w:r>
      <w:r>
        <w:rPr>
          <w:rFonts w:hint="eastAsia"/>
        </w:rPr>
        <w:t>[</w:t>
      </w:r>
      <w:r>
        <w:t xml:space="preserve">J]. </w:t>
      </w:r>
      <w:r>
        <w:rPr>
          <w:rFonts w:hint="eastAsia"/>
        </w:rPr>
        <w:t xml:space="preserve">经济地理 </w:t>
      </w:r>
      <w:r>
        <w:t>2016.4</w:t>
      </w:r>
      <w:bookmarkEnd w:id="7"/>
    </w:p>
    <w:p w14:paraId="02A7C26B" w14:textId="726E2B13" w:rsidR="00FB33AC" w:rsidRDefault="00FB33AC" w:rsidP="00FB33AC">
      <w:pPr>
        <w:pStyle w:val="a3"/>
        <w:numPr>
          <w:ilvl w:val="0"/>
          <w:numId w:val="4"/>
        </w:numPr>
        <w:ind w:firstLineChars="0"/>
      </w:pPr>
      <w:r>
        <w:rPr>
          <w:rFonts w:hint="eastAsia"/>
        </w:rPr>
        <w:t>张继良，马洪福.</w:t>
      </w:r>
      <w:r>
        <w:t xml:space="preserve"> </w:t>
      </w:r>
      <w:r>
        <w:rPr>
          <w:rFonts w:hint="eastAsia"/>
        </w:rPr>
        <w:t>江苏外来农民工市民</w:t>
      </w:r>
      <w:proofErr w:type="gramStart"/>
      <w:r>
        <w:rPr>
          <w:rFonts w:hint="eastAsia"/>
        </w:rPr>
        <w:t>化成本</w:t>
      </w:r>
      <w:proofErr w:type="gramEnd"/>
      <w:r>
        <w:rPr>
          <w:rFonts w:hint="eastAsia"/>
        </w:rPr>
        <w:t>测算及分摊[</w:t>
      </w:r>
      <w:r>
        <w:t xml:space="preserve">J]. </w:t>
      </w:r>
      <w:r>
        <w:rPr>
          <w:rFonts w:hint="eastAsia"/>
        </w:rPr>
        <w:t xml:space="preserve">中国农村观察 </w:t>
      </w:r>
      <w:r>
        <w:t>2015.2</w:t>
      </w:r>
    </w:p>
    <w:p w14:paraId="077766F3" w14:textId="09FACCDD" w:rsidR="00FB33AC" w:rsidRDefault="00FB33AC" w:rsidP="00FB33AC">
      <w:pPr>
        <w:pStyle w:val="a3"/>
        <w:numPr>
          <w:ilvl w:val="0"/>
          <w:numId w:val="4"/>
        </w:numPr>
        <w:ind w:firstLineChars="0"/>
      </w:pPr>
      <w:bookmarkStart w:id="8" w:name="_Ref514053188"/>
      <w:r>
        <w:rPr>
          <w:rFonts w:hint="eastAsia"/>
        </w:rPr>
        <w:t>单菁菁.</w:t>
      </w:r>
      <w:r>
        <w:t xml:space="preserve"> </w:t>
      </w:r>
      <w:r w:rsidRPr="00FB33AC">
        <w:rPr>
          <w:rFonts w:hint="eastAsia"/>
        </w:rPr>
        <w:t>农民工市民化的成本及其分担机制研究</w:t>
      </w:r>
      <w:r>
        <w:rPr>
          <w:rFonts w:hint="eastAsia"/>
        </w:rPr>
        <w:t>[</w:t>
      </w:r>
      <w:r>
        <w:t xml:space="preserve">J]. </w:t>
      </w:r>
      <w:r>
        <w:rPr>
          <w:rFonts w:hint="eastAsia"/>
        </w:rPr>
        <w:t xml:space="preserve">学海 </w:t>
      </w:r>
      <w:r>
        <w:t>2015.1</w:t>
      </w:r>
      <w:bookmarkEnd w:id="8"/>
    </w:p>
    <w:p w14:paraId="09B679B5" w14:textId="08A701C0" w:rsidR="00C66817" w:rsidRDefault="0039646F" w:rsidP="005C1144">
      <w:pPr>
        <w:pStyle w:val="a3"/>
        <w:numPr>
          <w:ilvl w:val="0"/>
          <w:numId w:val="4"/>
        </w:numPr>
        <w:ind w:firstLineChars="0"/>
      </w:pPr>
      <w:r>
        <w:rPr>
          <w:rFonts w:hint="eastAsia"/>
        </w:rPr>
        <w:t>国务院发展研究中心课题组，侯云春，韩俊，等．农民工市民化进程的总体态势与战略取向［</w:t>
      </w:r>
      <w:r>
        <w:t>J］．改革，2011(5):5</w:t>
      </w:r>
      <w:r>
        <w:rPr>
          <w:rFonts w:hint="eastAsia"/>
        </w:rPr>
        <w:t>－</w:t>
      </w:r>
      <w:r>
        <w:t>29．</w:t>
      </w:r>
    </w:p>
    <w:p w14:paraId="00960FD1" w14:textId="17E9751C" w:rsidR="00C66817" w:rsidRDefault="00C66817" w:rsidP="00C66817">
      <w:pPr>
        <w:ind w:firstLine="420"/>
      </w:pPr>
    </w:p>
    <w:p w14:paraId="723E5EC7" w14:textId="5DC6F90E" w:rsidR="00C66817" w:rsidRDefault="00C66817" w:rsidP="00C66817">
      <w:pPr>
        <w:ind w:firstLine="420"/>
      </w:pPr>
    </w:p>
    <w:p w14:paraId="354D80F4" w14:textId="7958D592" w:rsidR="00C66817" w:rsidRDefault="00C66817" w:rsidP="00C66817">
      <w:pPr>
        <w:ind w:firstLine="420"/>
      </w:pPr>
    </w:p>
    <w:p w14:paraId="60064670" w14:textId="6BC90F07" w:rsidR="00C66817" w:rsidRDefault="00C66817" w:rsidP="00C66817">
      <w:pPr>
        <w:ind w:firstLine="420"/>
      </w:pPr>
    </w:p>
    <w:p w14:paraId="1B525F4E" w14:textId="421EEC35" w:rsidR="00C66817" w:rsidRDefault="00C66817" w:rsidP="00C66817">
      <w:pPr>
        <w:ind w:firstLine="420"/>
      </w:pPr>
    </w:p>
    <w:p w14:paraId="375881EC" w14:textId="597D1E50" w:rsidR="00C66817" w:rsidRDefault="00C66817" w:rsidP="00C66817">
      <w:pPr>
        <w:ind w:firstLine="420"/>
      </w:pPr>
    </w:p>
    <w:p w14:paraId="3000CC43" w14:textId="29A90114" w:rsidR="00C66817" w:rsidRDefault="00C66817" w:rsidP="00C66817">
      <w:pPr>
        <w:ind w:firstLine="420"/>
      </w:pPr>
    </w:p>
    <w:p w14:paraId="539B34D4" w14:textId="04469DAF" w:rsidR="00C66817" w:rsidRDefault="00C66817" w:rsidP="00C66817">
      <w:pPr>
        <w:ind w:firstLine="420"/>
      </w:pPr>
    </w:p>
    <w:p w14:paraId="241BEEEF" w14:textId="5EAA0EAE" w:rsidR="00C66817" w:rsidRDefault="00C66817" w:rsidP="00C66817">
      <w:pPr>
        <w:ind w:firstLine="420"/>
      </w:pPr>
    </w:p>
    <w:p w14:paraId="3D020A78" w14:textId="12586E98" w:rsidR="00C66817" w:rsidRDefault="00C66817" w:rsidP="00C66817">
      <w:pPr>
        <w:ind w:firstLine="420"/>
      </w:pPr>
    </w:p>
    <w:p w14:paraId="65977E41" w14:textId="77777777" w:rsidR="00C66817" w:rsidRDefault="00C66817" w:rsidP="00C66817">
      <w:pPr>
        <w:ind w:firstLine="420"/>
      </w:pPr>
    </w:p>
    <w:p w14:paraId="0B1F69CA" w14:textId="77777777" w:rsidR="009B0D56" w:rsidRPr="009B0D56" w:rsidRDefault="009B0D56" w:rsidP="009B0D56">
      <w:pPr>
        <w:ind w:firstLine="420"/>
      </w:pPr>
    </w:p>
    <w:sectPr w:rsidR="009B0D56" w:rsidRPr="009B0D56">
      <w:footerReference w:type="defaul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797E95" w14:textId="77777777" w:rsidR="000473EE" w:rsidRDefault="000473EE" w:rsidP="00CB7434">
      <w:r>
        <w:separator/>
      </w:r>
    </w:p>
  </w:endnote>
  <w:endnote w:type="continuationSeparator" w:id="0">
    <w:p w14:paraId="386D3EA1" w14:textId="77777777" w:rsidR="000473EE" w:rsidRDefault="000473EE" w:rsidP="00CB74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76719704"/>
      <w:docPartObj>
        <w:docPartGallery w:val="Page Numbers (Bottom of Page)"/>
        <w:docPartUnique/>
      </w:docPartObj>
    </w:sdtPr>
    <w:sdtContent>
      <w:p w14:paraId="45BEA6CD" w14:textId="4D9AFCF6" w:rsidR="00CB7434" w:rsidRDefault="00CB7434">
        <w:pPr>
          <w:pStyle w:val="af0"/>
          <w:jc w:val="center"/>
        </w:pPr>
        <w:r>
          <w:fldChar w:fldCharType="begin"/>
        </w:r>
        <w:r>
          <w:instrText>PAGE   \* MERGEFORMAT</w:instrText>
        </w:r>
        <w:r>
          <w:fldChar w:fldCharType="separate"/>
        </w:r>
        <w:r>
          <w:rPr>
            <w:lang w:val="zh-CN"/>
          </w:rPr>
          <w:t>2</w:t>
        </w:r>
        <w:r>
          <w:fldChar w:fldCharType="end"/>
        </w:r>
      </w:p>
    </w:sdtContent>
  </w:sdt>
  <w:p w14:paraId="4AEB2D20" w14:textId="77777777" w:rsidR="00CB7434" w:rsidRDefault="00CB7434">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D8942B" w14:textId="77777777" w:rsidR="000473EE" w:rsidRDefault="000473EE" w:rsidP="00CB7434">
      <w:r>
        <w:separator/>
      </w:r>
    </w:p>
  </w:footnote>
  <w:footnote w:type="continuationSeparator" w:id="0">
    <w:p w14:paraId="2BE36FEB" w14:textId="77777777" w:rsidR="000473EE" w:rsidRDefault="000473EE" w:rsidP="00CB743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652B13"/>
    <w:multiLevelType w:val="hybridMultilevel"/>
    <w:tmpl w:val="5A04AD3A"/>
    <w:lvl w:ilvl="0" w:tplc="ECE0CCF4">
      <w:start w:val="1"/>
      <w:numFmt w:val="decimal"/>
      <w:lvlText w:val="[%1]."/>
      <w:lvlJc w:val="left"/>
      <w:pPr>
        <w:ind w:left="840" w:hanging="420"/>
      </w:pPr>
      <w:rPr>
        <w:rFonts w:hint="eastAsia"/>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52C474E1"/>
    <w:multiLevelType w:val="hybridMultilevel"/>
    <w:tmpl w:val="FC7A94C4"/>
    <w:lvl w:ilvl="0" w:tplc="7C124E4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6F7E08B1"/>
    <w:multiLevelType w:val="hybridMultilevel"/>
    <w:tmpl w:val="9D6CC510"/>
    <w:lvl w:ilvl="0" w:tplc="10201D70">
      <w:start w:val="1"/>
      <w:numFmt w:val="decimal"/>
      <w:lvlText w:val="%1、"/>
      <w:lvlJc w:val="left"/>
      <w:pPr>
        <w:ind w:left="500" w:hanging="5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38042CD"/>
    <w:multiLevelType w:val="hybridMultilevel"/>
    <w:tmpl w:val="B4581B5A"/>
    <w:lvl w:ilvl="0" w:tplc="E8B63014">
      <w:start w:val="1"/>
      <w:numFmt w:val="japaneseCounting"/>
      <w:lvlText w:val="%1、"/>
      <w:lvlJc w:val="left"/>
      <w:pPr>
        <w:ind w:left="660" w:hanging="6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0FAC"/>
    <w:rsid w:val="00026FF3"/>
    <w:rsid w:val="00030B7E"/>
    <w:rsid w:val="00032411"/>
    <w:rsid w:val="00046C18"/>
    <w:rsid w:val="000473EE"/>
    <w:rsid w:val="00051C6A"/>
    <w:rsid w:val="00060FAC"/>
    <w:rsid w:val="000776AA"/>
    <w:rsid w:val="000B4F02"/>
    <w:rsid w:val="000E2CD9"/>
    <w:rsid w:val="00111979"/>
    <w:rsid w:val="00126D6B"/>
    <w:rsid w:val="00142D4D"/>
    <w:rsid w:val="00162399"/>
    <w:rsid w:val="001C2A6A"/>
    <w:rsid w:val="00245179"/>
    <w:rsid w:val="002529CA"/>
    <w:rsid w:val="002976DC"/>
    <w:rsid w:val="002B5075"/>
    <w:rsid w:val="003236D4"/>
    <w:rsid w:val="003346B4"/>
    <w:rsid w:val="0034275C"/>
    <w:rsid w:val="003474E3"/>
    <w:rsid w:val="00352A5D"/>
    <w:rsid w:val="00357E2B"/>
    <w:rsid w:val="00366C43"/>
    <w:rsid w:val="00367B8F"/>
    <w:rsid w:val="003831CB"/>
    <w:rsid w:val="0039646F"/>
    <w:rsid w:val="00396499"/>
    <w:rsid w:val="00472C81"/>
    <w:rsid w:val="004D59CE"/>
    <w:rsid w:val="004E4CA4"/>
    <w:rsid w:val="004E5096"/>
    <w:rsid w:val="004E6C25"/>
    <w:rsid w:val="005C1144"/>
    <w:rsid w:val="005F3CDA"/>
    <w:rsid w:val="00635430"/>
    <w:rsid w:val="00652008"/>
    <w:rsid w:val="006756F2"/>
    <w:rsid w:val="006A4436"/>
    <w:rsid w:val="006A45A2"/>
    <w:rsid w:val="006D5E28"/>
    <w:rsid w:val="00732AD5"/>
    <w:rsid w:val="00740213"/>
    <w:rsid w:val="007514A3"/>
    <w:rsid w:val="00755FF8"/>
    <w:rsid w:val="00763F81"/>
    <w:rsid w:val="00771BE1"/>
    <w:rsid w:val="007A2E57"/>
    <w:rsid w:val="007D1FCE"/>
    <w:rsid w:val="00812F12"/>
    <w:rsid w:val="00834899"/>
    <w:rsid w:val="00855326"/>
    <w:rsid w:val="008679FB"/>
    <w:rsid w:val="008752A2"/>
    <w:rsid w:val="008A14F8"/>
    <w:rsid w:val="008C1882"/>
    <w:rsid w:val="009219BC"/>
    <w:rsid w:val="0096554C"/>
    <w:rsid w:val="009778E5"/>
    <w:rsid w:val="0098348D"/>
    <w:rsid w:val="00984272"/>
    <w:rsid w:val="00993A52"/>
    <w:rsid w:val="009949CF"/>
    <w:rsid w:val="009A6037"/>
    <w:rsid w:val="009B0D56"/>
    <w:rsid w:val="009F29AC"/>
    <w:rsid w:val="009F7B81"/>
    <w:rsid w:val="00A37E3D"/>
    <w:rsid w:val="00A5450B"/>
    <w:rsid w:val="00A753EC"/>
    <w:rsid w:val="00A902F0"/>
    <w:rsid w:val="00A91121"/>
    <w:rsid w:val="00AC128E"/>
    <w:rsid w:val="00AF548B"/>
    <w:rsid w:val="00B405BC"/>
    <w:rsid w:val="00B45F07"/>
    <w:rsid w:val="00B5732B"/>
    <w:rsid w:val="00B73A6C"/>
    <w:rsid w:val="00BE128D"/>
    <w:rsid w:val="00C46D82"/>
    <w:rsid w:val="00C5490A"/>
    <w:rsid w:val="00C6306D"/>
    <w:rsid w:val="00C66817"/>
    <w:rsid w:val="00C957F4"/>
    <w:rsid w:val="00CB7434"/>
    <w:rsid w:val="00CD5634"/>
    <w:rsid w:val="00D20489"/>
    <w:rsid w:val="00D27701"/>
    <w:rsid w:val="00D65B02"/>
    <w:rsid w:val="00DA0229"/>
    <w:rsid w:val="00DA521C"/>
    <w:rsid w:val="00DF0E7D"/>
    <w:rsid w:val="00E24F66"/>
    <w:rsid w:val="00E3606F"/>
    <w:rsid w:val="00E36FA4"/>
    <w:rsid w:val="00F12782"/>
    <w:rsid w:val="00F12A8F"/>
    <w:rsid w:val="00F73E4D"/>
    <w:rsid w:val="00FB33AC"/>
    <w:rsid w:val="00FB4F17"/>
    <w:rsid w:val="00FC3E64"/>
    <w:rsid w:val="00FD03F9"/>
    <w:rsid w:val="00FE52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AD128"/>
  <w15:chartTrackingRefBased/>
  <w15:docId w15:val="{634EF554-6321-4D3C-9CA2-C73BF8153A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9B0D5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9B0D5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65B02"/>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9F29AC"/>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iPriority w:val="9"/>
    <w:unhideWhenUsed/>
    <w:qFormat/>
    <w:rsid w:val="00F12782"/>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B0D56"/>
    <w:rPr>
      <w:b/>
      <w:bCs/>
      <w:kern w:val="44"/>
      <w:sz w:val="44"/>
      <w:szCs w:val="44"/>
    </w:rPr>
  </w:style>
  <w:style w:type="character" w:customStyle="1" w:styleId="20">
    <w:name w:val="标题 2 字符"/>
    <w:basedOn w:val="a0"/>
    <w:link w:val="2"/>
    <w:uiPriority w:val="9"/>
    <w:rsid w:val="009B0D56"/>
    <w:rPr>
      <w:rFonts w:asciiTheme="majorHAnsi" w:eastAsiaTheme="majorEastAsia" w:hAnsiTheme="majorHAnsi" w:cstheme="majorBidi"/>
      <w:b/>
      <w:bCs/>
      <w:sz w:val="32"/>
      <w:szCs w:val="32"/>
    </w:rPr>
  </w:style>
  <w:style w:type="character" w:customStyle="1" w:styleId="40">
    <w:name w:val="标题 4 字符"/>
    <w:basedOn w:val="a0"/>
    <w:link w:val="4"/>
    <w:uiPriority w:val="9"/>
    <w:rsid w:val="009F29AC"/>
    <w:rPr>
      <w:rFonts w:asciiTheme="majorHAnsi" w:eastAsiaTheme="majorEastAsia" w:hAnsiTheme="majorHAnsi" w:cstheme="majorBidi"/>
      <w:b/>
      <w:bCs/>
      <w:sz w:val="28"/>
      <w:szCs w:val="28"/>
    </w:rPr>
  </w:style>
  <w:style w:type="paragraph" w:styleId="a3">
    <w:name w:val="List Paragraph"/>
    <w:basedOn w:val="a"/>
    <w:uiPriority w:val="34"/>
    <w:qFormat/>
    <w:rsid w:val="00D65B02"/>
    <w:pPr>
      <w:ind w:firstLineChars="200" w:firstLine="420"/>
    </w:pPr>
  </w:style>
  <w:style w:type="character" w:customStyle="1" w:styleId="30">
    <w:name w:val="标题 3 字符"/>
    <w:basedOn w:val="a0"/>
    <w:link w:val="3"/>
    <w:uiPriority w:val="9"/>
    <w:rsid w:val="00D65B02"/>
    <w:rPr>
      <w:b/>
      <w:bCs/>
      <w:sz w:val="32"/>
      <w:szCs w:val="32"/>
    </w:rPr>
  </w:style>
  <w:style w:type="table" w:styleId="a4">
    <w:name w:val="Table Grid"/>
    <w:basedOn w:val="a1"/>
    <w:uiPriority w:val="39"/>
    <w:rsid w:val="00C630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Plain Table 1"/>
    <w:basedOn w:val="a1"/>
    <w:uiPriority w:val="41"/>
    <w:rsid w:val="00C6306D"/>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C6306D"/>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1">
    <w:name w:val="Plain Table 4"/>
    <w:basedOn w:val="a1"/>
    <w:uiPriority w:val="44"/>
    <w:rsid w:val="00C6306D"/>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5">
    <w:name w:val="Placeholder Text"/>
    <w:basedOn w:val="a0"/>
    <w:uiPriority w:val="99"/>
    <w:semiHidden/>
    <w:rsid w:val="00855326"/>
    <w:rPr>
      <w:color w:val="808080"/>
    </w:rPr>
  </w:style>
  <w:style w:type="paragraph" w:customStyle="1" w:styleId="DecimalAligned">
    <w:name w:val="Decimal Aligned"/>
    <w:basedOn w:val="a"/>
    <w:uiPriority w:val="40"/>
    <w:qFormat/>
    <w:rsid w:val="0098348D"/>
    <w:pPr>
      <w:widowControl/>
      <w:tabs>
        <w:tab w:val="decimal" w:pos="360"/>
      </w:tabs>
      <w:spacing w:after="200" w:line="276" w:lineRule="auto"/>
      <w:jc w:val="left"/>
    </w:pPr>
    <w:rPr>
      <w:rFonts w:cs="Times New Roman"/>
      <w:kern w:val="0"/>
      <w:sz w:val="22"/>
    </w:rPr>
  </w:style>
  <w:style w:type="paragraph" w:styleId="a6">
    <w:name w:val="footnote text"/>
    <w:basedOn w:val="a"/>
    <w:link w:val="a7"/>
    <w:uiPriority w:val="99"/>
    <w:unhideWhenUsed/>
    <w:rsid w:val="0098348D"/>
    <w:pPr>
      <w:widowControl/>
      <w:jc w:val="left"/>
    </w:pPr>
    <w:rPr>
      <w:rFonts w:cs="Times New Roman"/>
      <w:kern w:val="0"/>
      <w:sz w:val="20"/>
      <w:szCs w:val="20"/>
    </w:rPr>
  </w:style>
  <w:style w:type="character" w:customStyle="1" w:styleId="a7">
    <w:name w:val="脚注文本 字符"/>
    <w:basedOn w:val="a0"/>
    <w:link w:val="a6"/>
    <w:uiPriority w:val="99"/>
    <w:rsid w:val="0098348D"/>
    <w:rPr>
      <w:rFonts w:cs="Times New Roman"/>
      <w:kern w:val="0"/>
      <w:sz w:val="20"/>
      <w:szCs w:val="20"/>
    </w:rPr>
  </w:style>
  <w:style w:type="character" w:styleId="a8">
    <w:name w:val="Subtle Emphasis"/>
    <w:basedOn w:val="a0"/>
    <w:uiPriority w:val="19"/>
    <w:qFormat/>
    <w:rsid w:val="0098348D"/>
    <w:rPr>
      <w:i/>
      <w:iCs/>
    </w:rPr>
  </w:style>
  <w:style w:type="table" w:styleId="2-5">
    <w:name w:val="Medium Shading 2 Accent 5"/>
    <w:basedOn w:val="a1"/>
    <w:uiPriority w:val="64"/>
    <w:rsid w:val="0098348D"/>
    <w:rPr>
      <w:kern w:val="0"/>
      <w:sz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
    <w:name w:val="Light Shading Accent 1"/>
    <w:basedOn w:val="a1"/>
    <w:uiPriority w:val="60"/>
    <w:rsid w:val="0098348D"/>
    <w:rPr>
      <w:color w:val="2F5496" w:themeColor="accent1" w:themeShade="BF"/>
      <w:kern w:val="0"/>
      <w:sz w:val="22"/>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50">
    <w:name w:val="标题 5 字符"/>
    <w:basedOn w:val="a0"/>
    <w:link w:val="5"/>
    <w:uiPriority w:val="9"/>
    <w:rsid w:val="00F12782"/>
    <w:rPr>
      <w:b/>
      <w:bCs/>
      <w:sz w:val="28"/>
      <w:szCs w:val="28"/>
    </w:rPr>
  </w:style>
  <w:style w:type="table" w:styleId="21">
    <w:name w:val="Plain Table 2"/>
    <w:basedOn w:val="a1"/>
    <w:uiPriority w:val="42"/>
    <w:rsid w:val="00046C18"/>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a9">
    <w:name w:val="Hyperlink"/>
    <w:basedOn w:val="a0"/>
    <w:uiPriority w:val="99"/>
    <w:unhideWhenUsed/>
    <w:rsid w:val="00771BE1"/>
    <w:rPr>
      <w:color w:val="0563C1" w:themeColor="hyperlink"/>
      <w:u w:val="single"/>
    </w:rPr>
  </w:style>
  <w:style w:type="character" w:styleId="aa">
    <w:name w:val="Unresolved Mention"/>
    <w:basedOn w:val="a0"/>
    <w:uiPriority w:val="99"/>
    <w:semiHidden/>
    <w:unhideWhenUsed/>
    <w:rsid w:val="00771BE1"/>
    <w:rPr>
      <w:color w:val="808080"/>
      <w:shd w:val="clear" w:color="auto" w:fill="E6E6E6"/>
    </w:rPr>
  </w:style>
  <w:style w:type="character" w:styleId="ab">
    <w:name w:val="FollowedHyperlink"/>
    <w:basedOn w:val="a0"/>
    <w:uiPriority w:val="99"/>
    <w:semiHidden/>
    <w:unhideWhenUsed/>
    <w:rsid w:val="00771BE1"/>
    <w:rPr>
      <w:color w:val="954F72" w:themeColor="followedHyperlink"/>
      <w:u w:val="single"/>
    </w:rPr>
  </w:style>
  <w:style w:type="paragraph" w:styleId="ac">
    <w:name w:val="Quote"/>
    <w:basedOn w:val="a"/>
    <w:next w:val="a"/>
    <w:link w:val="ad"/>
    <w:uiPriority w:val="29"/>
    <w:qFormat/>
    <w:rsid w:val="00993A52"/>
    <w:pPr>
      <w:spacing w:before="200" w:after="160"/>
      <w:ind w:left="864" w:right="864"/>
      <w:jc w:val="center"/>
    </w:pPr>
    <w:rPr>
      <w:i/>
      <w:iCs/>
      <w:color w:val="404040" w:themeColor="text1" w:themeTint="BF"/>
    </w:rPr>
  </w:style>
  <w:style w:type="character" w:customStyle="1" w:styleId="ad">
    <w:name w:val="引用 字符"/>
    <w:basedOn w:val="a0"/>
    <w:link w:val="ac"/>
    <w:uiPriority w:val="29"/>
    <w:rsid w:val="00993A52"/>
    <w:rPr>
      <w:i/>
      <w:iCs/>
      <w:color w:val="404040" w:themeColor="text1" w:themeTint="BF"/>
    </w:rPr>
  </w:style>
  <w:style w:type="paragraph" w:styleId="ae">
    <w:name w:val="header"/>
    <w:basedOn w:val="a"/>
    <w:link w:val="af"/>
    <w:uiPriority w:val="99"/>
    <w:unhideWhenUsed/>
    <w:rsid w:val="00CB7434"/>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0"/>
    <w:link w:val="ae"/>
    <w:uiPriority w:val="99"/>
    <w:rsid w:val="00CB7434"/>
    <w:rPr>
      <w:sz w:val="18"/>
      <w:szCs w:val="18"/>
    </w:rPr>
  </w:style>
  <w:style w:type="paragraph" w:styleId="af0">
    <w:name w:val="footer"/>
    <w:basedOn w:val="a"/>
    <w:link w:val="af1"/>
    <w:uiPriority w:val="99"/>
    <w:unhideWhenUsed/>
    <w:rsid w:val="00CB7434"/>
    <w:pPr>
      <w:tabs>
        <w:tab w:val="center" w:pos="4153"/>
        <w:tab w:val="right" w:pos="8306"/>
      </w:tabs>
      <w:snapToGrid w:val="0"/>
      <w:jc w:val="left"/>
    </w:pPr>
    <w:rPr>
      <w:sz w:val="18"/>
      <w:szCs w:val="18"/>
    </w:rPr>
  </w:style>
  <w:style w:type="character" w:customStyle="1" w:styleId="af1">
    <w:name w:val="页脚 字符"/>
    <w:basedOn w:val="a0"/>
    <w:link w:val="af0"/>
    <w:uiPriority w:val="99"/>
    <w:rsid w:val="00CB74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849179">
      <w:bodyDiv w:val="1"/>
      <w:marLeft w:val="0"/>
      <w:marRight w:val="0"/>
      <w:marTop w:val="0"/>
      <w:marBottom w:val="0"/>
      <w:divBdr>
        <w:top w:val="none" w:sz="0" w:space="0" w:color="auto"/>
        <w:left w:val="none" w:sz="0" w:space="0" w:color="auto"/>
        <w:bottom w:val="none" w:sz="0" w:space="0" w:color="auto"/>
        <w:right w:val="none" w:sz="0" w:space="0" w:color="auto"/>
      </w:divBdr>
    </w:div>
    <w:div w:id="402029437">
      <w:bodyDiv w:val="1"/>
      <w:marLeft w:val="0"/>
      <w:marRight w:val="0"/>
      <w:marTop w:val="0"/>
      <w:marBottom w:val="0"/>
      <w:divBdr>
        <w:top w:val="none" w:sz="0" w:space="0" w:color="auto"/>
        <w:left w:val="none" w:sz="0" w:space="0" w:color="auto"/>
        <w:bottom w:val="none" w:sz="0" w:space="0" w:color="auto"/>
        <w:right w:val="none" w:sz="0" w:space="0" w:color="auto"/>
      </w:divBdr>
    </w:div>
    <w:div w:id="50948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3.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D:\GitHub\liheng\&#24066;&#27665;&#21270;&#25104;&#26412;.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Office_Excel_2007____.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GitHub\liheng\&#24066;&#27665;&#21270;&#25104;&#26412;.xlsx" TargetMode="External"/><Relationship Id="rId2" Type="http://schemas.microsoft.com/office/2011/relationships/chartColorStyle" Target="colors3.xml"/><Relationship Id="rId1" Type="http://schemas.microsoft.com/office/2011/relationships/chartStyle" Target="style3.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r>
              <a:rPr lang="zh-CN" altLang="en-US"/>
              <a:t>常住人口城镇化率</a:t>
            </a:r>
            <a:endParaRPr lang="zh-CN"/>
          </a:p>
        </c:rich>
      </c:tx>
      <c:overlay val="0"/>
      <c:spPr>
        <a:noFill/>
        <a:ln>
          <a:noFill/>
        </a:ln>
        <a:effectLst/>
      </c:spPr>
      <c:txPr>
        <a:bodyPr rot="0" spcFirstLastPara="1" vertOverflow="ellipsis" vert="horz" wrap="square" anchor="ctr" anchorCtr="1"/>
        <a:lstStyle/>
        <a:p>
          <a:pPr>
            <a:defRPr sz="1800" b="1" i="0" u="none" strike="noStrike" kern="1200" baseline="0">
              <a:solidFill>
                <a:schemeClr val="dk1">
                  <a:lumMod val="65000"/>
                  <a:lumOff val="35000"/>
                </a:schemeClr>
              </a:solidFill>
              <a:latin typeface="+mn-lt"/>
              <a:ea typeface="+mn-ea"/>
              <a:cs typeface="+mn-cs"/>
            </a:defRPr>
          </a:pPr>
          <a:endParaRPr lang="zh-CN"/>
        </a:p>
      </c:txPr>
    </c:title>
    <c:autoTitleDeleted val="0"/>
    <c:plotArea>
      <c:layout/>
      <c:pieChart>
        <c:varyColors val="1"/>
        <c:ser>
          <c:idx val="0"/>
          <c:order val="0"/>
          <c:dPt>
            <c:idx val="0"/>
            <c:bubble3D val="0"/>
            <c:spPr>
              <a:solidFill>
                <a:schemeClr val="accent1"/>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1-05C0-4BB2-896D-5BB87AC23819}"/>
              </c:ext>
            </c:extLst>
          </c:dPt>
          <c:dPt>
            <c:idx val="1"/>
            <c:bubble3D val="0"/>
            <c:spPr>
              <a:solidFill>
                <a:schemeClr val="accent2"/>
              </a:solidFill>
              <a:ln>
                <a:noFill/>
              </a:ln>
              <a:effectLst>
                <a:outerShdw blurRad="317500" algn="ctr" rotWithShape="0">
                  <a:prstClr val="black">
                    <a:alpha val="25000"/>
                  </a:prstClr>
                </a:outerShdw>
              </a:effectLst>
            </c:spPr>
            <c:extLst>
              <c:ext xmlns:c16="http://schemas.microsoft.com/office/drawing/2014/chart" uri="{C3380CC4-5D6E-409C-BE32-E72D297353CC}">
                <c16:uniqueId val="{00000003-05C0-4BB2-896D-5BB87AC23819}"/>
              </c:ext>
            </c:extLst>
          </c:dPt>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lt1"/>
                    </a:solidFill>
                    <a:latin typeface="+mn-lt"/>
                    <a:ea typeface="+mn-ea"/>
                    <a:cs typeface="+mn-cs"/>
                  </a:defRPr>
                </a:pPr>
                <a:endParaRPr lang="zh-CN"/>
              </a:p>
            </c:txPr>
            <c:dLblPos val="inEnd"/>
            <c:showLegendKey val="0"/>
            <c:showVal val="0"/>
            <c:showCatName val="0"/>
            <c:showSerName val="0"/>
            <c:showPercent val="1"/>
            <c:showBubbleSize val="0"/>
            <c:showLeaderLines val="1"/>
            <c:leaderLines>
              <c:spPr>
                <a:ln w="9525" cap="flat" cmpd="sng" algn="ctr">
                  <a:solidFill>
                    <a:schemeClr val="dk1">
                      <a:lumMod val="35000"/>
                      <a:lumOff val="65000"/>
                    </a:schemeClr>
                  </a:solidFill>
                  <a:round/>
                </a:ln>
                <a:effectLst/>
              </c:spPr>
            </c:leaderLines>
            <c:extLst>
              <c:ext xmlns:c15="http://schemas.microsoft.com/office/drawing/2012/chart" uri="{CE6537A1-D6FC-4f65-9D91-7224C49458BB}"/>
            </c:extLst>
          </c:dLbls>
          <c:cat>
            <c:strRef>
              <c:f>Sheet1!$A$52:$A$54</c:f>
              <c:strCache>
                <c:ptCount val="2"/>
                <c:pt idx="0">
                  <c:v>城镇人口</c:v>
                </c:pt>
                <c:pt idx="1">
                  <c:v>乡村</c:v>
                </c:pt>
              </c:strCache>
            </c:strRef>
          </c:cat>
          <c:val>
            <c:numRef>
              <c:f>Sheet1!$B$52:$B$54</c:f>
              <c:numCache>
                <c:formatCode>General</c:formatCode>
                <c:ptCount val="2"/>
                <c:pt idx="0">
                  <c:v>2404</c:v>
                </c:pt>
                <c:pt idx="1">
                  <c:v>2481</c:v>
                </c:pt>
              </c:numCache>
            </c:numRef>
          </c:val>
          <c:extLst>
            <c:ext xmlns:c16="http://schemas.microsoft.com/office/drawing/2014/chart" uri="{C3380CC4-5D6E-409C-BE32-E72D297353CC}">
              <c16:uniqueId val="{00000004-05C0-4BB2-896D-5BB87AC23819}"/>
            </c:ext>
          </c:extLst>
        </c:ser>
        <c:dLbls>
          <c:dLblPos val="inEnd"/>
          <c:showLegendKey val="0"/>
          <c:showVal val="0"/>
          <c:showCatName val="0"/>
          <c:showSerName val="0"/>
          <c:showPercent val="1"/>
          <c:showBubbleSize val="0"/>
          <c:showLeaderLines val="1"/>
        </c:dLbls>
        <c:firstSliceAng val="0"/>
      </c:pieChart>
      <c:spPr>
        <a:noFill/>
        <a:ln>
          <a:noFill/>
        </a:ln>
        <a:effectLst/>
      </c:spPr>
    </c:plotArea>
    <c:legend>
      <c:legendPos val="b"/>
      <c:overlay val="0"/>
      <c:spPr>
        <a:solidFill>
          <a:schemeClr val="lt1">
            <a:alpha val="78000"/>
          </a:schemeClr>
        </a:solidFill>
        <a:ln>
          <a:noFill/>
        </a:ln>
        <a:effectLst/>
      </c:spPr>
      <c:txPr>
        <a:bodyPr rot="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zh-CN"/>
        </a:p>
      </c:txPr>
    </c:legend>
    <c:plotVisOnly val="1"/>
    <c:dispBlanksAs val="gap"/>
    <c:showDLblsOverMax val="0"/>
  </c:chart>
  <c:spPr>
    <a:pattFill prst="dkDnDiag">
      <a:fgClr>
        <a:schemeClr val="lt1">
          <a:lumMod val="95000"/>
        </a:schemeClr>
      </a:fgClr>
      <a:bgClr>
        <a:schemeClr val="lt1"/>
      </a:bgClr>
    </a:pattFill>
    <a:ln w="9525" cap="flat" cmpd="sng" algn="ctr">
      <a:solidFill>
        <a:schemeClr val="dk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农民工数量变化</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clustered"/>
        <c:varyColors val="0"/>
        <c:ser>
          <c:idx val="0"/>
          <c:order val="0"/>
          <c:tx>
            <c:strRef>
              <c:f>Sheet1!$B$55</c:f>
              <c:strCache>
                <c:ptCount val="1"/>
              </c:strCache>
            </c:strRef>
          </c:tx>
          <c:spPr>
            <a:solidFill>
              <a:schemeClr val="accent1"/>
            </a:solidFill>
            <a:ln>
              <a:noFill/>
            </a:ln>
            <a:effectLst/>
          </c:spPr>
          <c:invertIfNegative val="0"/>
          <c:cat>
            <c:strRef>
              <c:f>Sheet1!$A$56:$A$58</c:f>
              <c:strCache>
                <c:ptCount val="3"/>
                <c:pt idx="0">
                  <c:v>农民工总量</c:v>
                </c:pt>
                <c:pt idx="1">
                  <c:v>外出农民工</c:v>
                </c:pt>
                <c:pt idx="2">
                  <c:v>本地农民工</c:v>
                </c:pt>
              </c:strCache>
            </c:strRef>
          </c:cat>
          <c:val>
            <c:numRef>
              <c:f>Sheet1!$B$56:$B$58</c:f>
              <c:numCache>
                <c:formatCode>General</c:formatCode>
                <c:ptCount val="3"/>
                <c:pt idx="0">
                  <c:v>1276</c:v>
                </c:pt>
                <c:pt idx="1">
                  <c:v>922</c:v>
                </c:pt>
                <c:pt idx="2">
                  <c:v>354</c:v>
                </c:pt>
              </c:numCache>
            </c:numRef>
          </c:val>
          <c:extLst>
            <c:ext xmlns:c16="http://schemas.microsoft.com/office/drawing/2014/chart" uri="{C3380CC4-5D6E-409C-BE32-E72D297353CC}">
              <c16:uniqueId val="{00000000-6F63-46A4-9A81-EB57DC47B688}"/>
            </c:ext>
          </c:extLst>
        </c:ser>
        <c:dLbls>
          <c:showLegendKey val="0"/>
          <c:showVal val="0"/>
          <c:showCatName val="0"/>
          <c:showSerName val="0"/>
          <c:showPercent val="0"/>
          <c:showBubbleSize val="0"/>
        </c:dLbls>
        <c:gapWidth val="219"/>
        <c:axId val="459420320"/>
        <c:axId val="459424584"/>
      </c:barChart>
      <c:scatterChart>
        <c:scatterStyle val="smoothMarker"/>
        <c:varyColors val="0"/>
        <c:ser>
          <c:idx val="1"/>
          <c:order val="1"/>
          <c:tx>
            <c:strRef>
              <c:f>Sheet1!$C$55</c:f>
              <c:strCache>
                <c:ptCount val="1"/>
                <c:pt idx="0">
                  <c:v>同比增长</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xVal>
            <c:strRef>
              <c:f>Sheet1!$A$56:$A$58</c:f>
              <c:strCache>
                <c:ptCount val="3"/>
                <c:pt idx="0">
                  <c:v>农民工总量</c:v>
                </c:pt>
                <c:pt idx="1">
                  <c:v>外出农民工</c:v>
                </c:pt>
                <c:pt idx="2">
                  <c:v>本地农民工</c:v>
                </c:pt>
              </c:strCache>
            </c:strRef>
          </c:xVal>
          <c:yVal>
            <c:numRef>
              <c:f>Sheet1!$C$56:$C$58</c:f>
              <c:numCache>
                <c:formatCode>0.00%</c:formatCode>
                <c:ptCount val="3"/>
                <c:pt idx="0">
                  <c:v>3.5999999999999997E-2</c:v>
                </c:pt>
                <c:pt idx="1">
                  <c:v>2.7E-2</c:v>
                </c:pt>
                <c:pt idx="2" formatCode="0%">
                  <c:v>0.06</c:v>
                </c:pt>
              </c:numCache>
            </c:numRef>
          </c:yVal>
          <c:smooth val="1"/>
          <c:extLst>
            <c:ext xmlns:c16="http://schemas.microsoft.com/office/drawing/2014/chart" uri="{C3380CC4-5D6E-409C-BE32-E72D297353CC}">
              <c16:uniqueId val="{00000001-6F63-46A4-9A81-EB57DC47B688}"/>
            </c:ext>
          </c:extLst>
        </c:ser>
        <c:dLbls>
          <c:showLegendKey val="0"/>
          <c:showVal val="0"/>
          <c:showCatName val="0"/>
          <c:showSerName val="0"/>
          <c:showPercent val="0"/>
          <c:showBubbleSize val="0"/>
        </c:dLbls>
        <c:axId val="607785264"/>
        <c:axId val="607790184"/>
      </c:scatterChart>
      <c:catAx>
        <c:axId val="4594203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9424584"/>
        <c:crosses val="autoZero"/>
        <c:auto val="1"/>
        <c:lblAlgn val="ctr"/>
        <c:lblOffset val="100"/>
        <c:noMultiLvlLbl val="0"/>
      </c:catAx>
      <c:valAx>
        <c:axId val="4594245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9420320"/>
        <c:crosses val="autoZero"/>
        <c:crossBetween val="between"/>
      </c:valAx>
      <c:valAx>
        <c:axId val="607790184"/>
        <c:scaling>
          <c:orientation val="minMax"/>
        </c:scaling>
        <c:delete val="0"/>
        <c:axPos val="r"/>
        <c:numFmt formatCode="0.00%"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607785264"/>
        <c:crosses val="max"/>
        <c:crossBetween val="midCat"/>
      </c:valAx>
      <c:valAx>
        <c:axId val="607785264"/>
        <c:scaling>
          <c:orientation val="minMax"/>
        </c:scaling>
        <c:delete val="1"/>
        <c:axPos val="b"/>
        <c:numFmt formatCode="General" sourceLinked="1"/>
        <c:majorTickMark val="out"/>
        <c:minorTickMark val="none"/>
        <c:tickLblPos val="nextTo"/>
        <c:crossAx val="607790184"/>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zh-CN" altLang="en-US"/>
              <a:t>农民工市民化各项成本占比</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barChart>
        <c:barDir val="col"/>
        <c:grouping val="stacked"/>
        <c:varyColors val="0"/>
        <c:ser>
          <c:idx val="0"/>
          <c:order val="0"/>
          <c:tx>
            <c:strRef>
              <c:f>Sheet1!$B$18</c:f>
              <c:strCache>
                <c:ptCount val="1"/>
                <c:pt idx="0">
                  <c:v>基础设施成本</c:v>
                </c:pt>
              </c:strCache>
            </c:strRef>
          </c:tx>
          <c:spPr>
            <a:solidFill>
              <a:schemeClr val="accent1"/>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Sheet1!$C$18:$H$18</c:f>
              <c:numCache>
                <c:formatCode>General</c:formatCode>
                <c:ptCount val="3"/>
                <c:pt idx="0">
                  <c:v>46.413307764394077</c:v>
                </c:pt>
                <c:pt idx="1">
                  <c:v>64.310434566456351</c:v>
                </c:pt>
                <c:pt idx="2">
                  <c:v>46.431291544365067</c:v>
                </c:pt>
              </c:numCache>
            </c:numRef>
          </c:val>
          <c:extLst>
            <c:ext xmlns:c16="http://schemas.microsoft.com/office/drawing/2014/chart" uri="{C3380CC4-5D6E-409C-BE32-E72D297353CC}">
              <c16:uniqueId val="{00000000-B16C-4057-8FA9-51EEB27CD05B}"/>
            </c:ext>
          </c:extLst>
        </c:ser>
        <c:ser>
          <c:idx val="1"/>
          <c:order val="1"/>
          <c:tx>
            <c:strRef>
              <c:f>Sheet1!$B$19</c:f>
              <c:strCache>
                <c:ptCount val="1"/>
                <c:pt idx="0">
                  <c:v>社会保障和就业成本</c:v>
                </c:pt>
              </c:strCache>
            </c:strRef>
          </c:tx>
          <c:spPr>
            <a:solidFill>
              <a:schemeClr val="accent2"/>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Sheet1!$C$19:$H$19</c:f>
              <c:numCache>
                <c:formatCode>General</c:formatCode>
                <c:ptCount val="3"/>
                <c:pt idx="0">
                  <c:v>0.581213291769485</c:v>
                </c:pt>
                <c:pt idx="1">
                  <c:v>0.73679704464786511</c:v>
                </c:pt>
                <c:pt idx="2">
                  <c:v>0.52279526110066565</c:v>
                </c:pt>
              </c:numCache>
            </c:numRef>
          </c:val>
          <c:extLst>
            <c:ext xmlns:c16="http://schemas.microsoft.com/office/drawing/2014/chart" uri="{C3380CC4-5D6E-409C-BE32-E72D297353CC}">
              <c16:uniqueId val="{00000001-B16C-4057-8FA9-51EEB27CD05B}"/>
            </c:ext>
          </c:extLst>
        </c:ser>
        <c:ser>
          <c:idx val="2"/>
          <c:order val="2"/>
          <c:tx>
            <c:strRef>
              <c:f>Sheet1!$B$20</c:f>
              <c:strCache>
                <c:ptCount val="1"/>
                <c:pt idx="0">
                  <c:v>随迁子女教育成本</c:v>
                </c:pt>
              </c:strCache>
            </c:strRef>
          </c:tx>
          <c:spPr>
            <a:solidFill>
              <a:schemeClr val="accent3"/>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Sheet1!$C$20:$H$20</c:f>
              <c:numCache>
                <c:formatCode>General</c:formatCode>
                <c:ptCount val="3"/>
                <c:pt idx="0">
                  <c:v>7.2274990527370271</c:v>
                </c:pt>
                <c:pt idx="1">
                  <c:v>8.3873347787790582</c:v>
                </c:pt>
                <c:pt idx="2">
                  <c:v>10.166918462297099</c:v>
                </c:pt>
              </c:numCache>
            </c:numRef>
          </c:val>
          <c:extLst>
            <c:ext xmlns:c16="http://schemas.microsoft.com/office/drawing/2014/chart" uri="{C3380CC4-5D6E-409C-BE32-E72D297353CC}">
              <c16:uniqueId val="{00000002-B16C-4057-8FA9-51EEB27CD05B}"/>
            </c:ext>
          </c:extLst>
        </c:ser>
        <c:ser>
          <c:idx val="3"/>
          <c:order val="3"/>
          <c:tx>
            <c:strRef>
              <c:f>Sheet1!$B$21</c:f>
              <c:strCache>
                <c:ptCount val="1"/>
                <c:pt idx="0">
                  <c:v>个人住房成本</c:v>
                </c:pt>
              </c:strCache>
            </c:strRef>
          </c:tx>
          <c:spPr>
            <a:solidFill>
              <a:schemeClr val="accent4"/>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Sheet1!$C$21:$H$21</c:f>
              <c:numCache>
                <c:formatCode>General</c:formatCode>
                <c:ptCount val="3"/>
                <c:pt idx="0">
                  <c:v>32.747743211129254</c:v>
                </c:pt>
                <c:pt idx="1">
                  <c:v>13.341553134158064</c:v>
                </c:pt>
                <c:pt idx="2">
                  <c:v>28.399839373003495</c:v>
                </c:pt>
              </c:numCache>
            </c:numRef>
          </c:val>
          <c:extLst>
            <c:ext xmlns:c16="http://schemas.microsoft.com/office/drawing/2014/chart" uri="{C3380CC4-5D6E-409C-BE32-E72D297353CC}">
              <c16:uniqueId val="{00000003-B16C-4057-8FA9-51EEB27CD05B}"/>
            </c:ext>
          </c:extLst>
        </c:ser>
        <c:ser>
          <c:idx val="4"/>
          <c:order val="4"/>
          <c:tx>
            <c:strRef>
              <c:f>Sheet1!$B$22</c:f>
              <c:strCache>
                <c:ptCount val="1"/>
                <c:pt idx="0">
                  <c:v>个人生活成本</c:v>
                </c:pt>
              </c:strCache>
            </c:strRef>
          </c:tx>
          <c:spPr>
            <a:solidFill>
              <a:schemeClr val="accent5"/>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Sheet1!$C$22:$H$22</c:f>
              <c:numCache>
                <c:formatCode>General</c:formatCode>
                <c:ptCount val="3"/>
                <c:pt idx="0">
                  <c:v>7.6405481029132627</c:v>
                </c:pt>
                <c:pt idx="1">
                  <c:v>6.9420220164878668</c:v>
                </c:pt>
                <c:pt idx="2">
                  <c:v>7.726729091352615</c:v>
                </c:pt>
              </c:numCache>
            </c:numRef>
          </c:val>
          <c:extLst>
            <c:ext xmlns:c16="http://schemas.microsoft.com/office/drawing/2014/chart" uri="{C3380CC4-5D6E-409C-BE32-E72D297353CC}">
              <c16:uniqueId val="{00000004-B16C-4057-8FA9-51EEB27CD05B}"/>
            </c:ext>
          </c:extLst>
        </c:ser>
        <c:ser>
          <c:idx val="5"/>
          <c:order val="5"/>
          <c:tx>
            <c:strRef>
              <c:f>Sheet1!$B$23</c:f>
              <c:strCache>
                <c:ptCount val="1"/>
                <c:pt idx="0">
                  <c:v>个人机会成本</c:v>
                </c:pt>
              </c:strCache>
            </c:strRef>
          </c:tx>
          <c:spPr>
            <a:solidFill>
              <a:schemeClr val="accent6"/>
            </a:solidFill>
            <a:ln>
              <a:noFill/>
            </a:ln>
            <a:effectLst/>
          </c:spPr>
          <c:invertIfNegative val="0"/>
          <c:cat>
            <c:multiLvlStrRef>
              <c:f>Sheet1!$C$16:$H$17</c:f>
              <c:multiLvlStrCache>
                <c:ptCount val="3"/>
                <c:lvl>
                  <c:pt idx="0">
                    <c:v>占比(%)</c:v>
                  </c:pt>
                  <c:pt idx="1">
                    <c:v>占比(%)</c:v>
                  </c:pt>
                  <c:pt idx="2">
                    <c:v>占比(%)</c:v>
                  </c:pt>
                </c:lvl>
                <c:lvl/>
              </c:multiLvlStrCache>
            </c:multiLvlStrRef>
          </c:cat>
          <c:val>
            <c:numRef>
              <c:f>Sheet1!$C$23:$H$23</c:f>
              <c:numCache>
                <c:formatCode>General</c:formatCode>
                <c:ptCount val="3"/>
                <c:pt idx="0">
                  <c:v>5.3896885770569076</c:v>
                </c:pt>
                <c:pt idx="1">
                  <c:v>6.2818584594707767</c:v>
                </c:pt>
                <c:pt idx="2">
                  <c:v>6.7524262678810549</c:v>
                </c:pt>
              </c:numCache>
            </c:numRef>
          </c:val>
          <c:extLst>
            <c:ext xmlns:c16="http://schemas.microsoft.com/office/drawing/2014/chart" uri="{C3380CC4-5D6E-409C-BE32-E72D297353CC}">
              <c16:uniqueId val="{00000005-B16C-4057-8FA9-51EEB27CD05B}"/>
            </c:ext>
          </c:extLst>
        </c:ser>
        <c:dLbls>
          <c:showLegendKey val="0"/>
          <c:showVal val="0"/>
          <c:showCatName val="0"/>
          <c:showSerName val="0"/>
          <c:showPercent val="0"/>
          <c:showBubbleSize val="0"/>
        </c:dLbls>
        <c:gapWidth val="150"/>
        <c:overlap val="100"/>
        <c:axId val="454406008"/>
        <c:axId val="454402728"/>
        <c:extLst>
          <c:ext xmlns:c15="http://schemas.microsoft.com/office/drawing/2012/chart" uri="{02D57815-91ED-43cb-92C2-25804820EDAC}">
            <c15:filteredBarSeries>
              <c15:ser>
                <c:idx val="6"/>
                <c:order val="6"/>
                <c:tx>
                  <c:strRef>
                    <c:extLst>
                      <c:ext uri="{02D57815-91ED-43cb-92C2-25804820EDAC}">
                        <c15:formulaRef>
                          <c15:sqref>Sheet1!$B$24</c15:sqref>
                        </c15:formulaRef>
                      </c:ext>
                    </c:extLst>
                    <c:strCache>
                      <c:ptCount val="1"/>
                      <c:pt idx="0">
                        <c:v>公共成本+个人成本</c:v>
                      </c:pt>
                    </c:strCache>
                  </c:strRef>
                </c:tx>
                <c:spPr>
                  <a:solidFill>
                    <a:schemeClr val="accent1">
                      <a:lumMod val="60000"/>
                    </a:schemeClr>
                  </a:solidFill>
                  <a:ln>
                    <a:noFill/>
                  </a:ln>
                  <a:effectLst/>
                </c:spPr>
                <c:invertIfNegative val="0"/>
                <c:cat>
                  <c:multiLvlStrRef>
                    <c:extLst>
                      <c:ext uri="{02D57815-91ED-43cb-92C2-25804820EDAC}">
                        <c15:formulaRef>
                          <c15:sqref>Sheet1!$C$16:$H$17</c15:sqref>
                        </c15:formulaRef>
                      </c:ext>
                    </c:extLst>
                    <c:multiLvlStrCache>
                      <c:ptCount val="3"/>
                      <c:lvl>
                        <c:pt idx="0">
                          <c:v>占比(%)</c:v>
                        </c:pt>
                        <c:pt idx="1">
                          <c:v>占比(%)</c:v>
                        </c:pt>
                        <c:pt idx="2">
                          <c:v>占比(%)</c:v>
                        </c:pt>
                      </c:lvl>
                      <c:lvl/>
                    </c:multiLvlStrCache>
                  </c:multiLvlStrRef>
                </c:cat>
                <c:val>
                  <c:numRef>
                    <c:extLst>
                      <c:ext uri="{02D57815-91ED-43cb-92C2-25804820EDAC}">
                        <c15:formulaRef>
                          <c15:sqref>Sheet1!$C$24:$H$24</c15:sqref>
                        </c15:formulaRef>
                      </c:ext>
                    </c:extLst>
                    <c:numCache>
                      <c:formatCode>General</c:formatCode>
                      <c:ptCount val="3"/>
                      <c:pt idx="0">
                        <c:v>100</c:v>
                      </c:pt>
                      <c:pt idx="1">
                        <c:v>100</c:v>
                      </c:pt>
                      <c:pt idx="2">
                        <c:v>100</c:v>
                      </c:pt>
                    </c:numCache>
                  </c:numRef>
                </c:val>
                <c:extLst>
                  <c:ext xmlns:c16="http://schemas.microsoft.com/office/drawing/2014/chart" uri="{C3380CC4-5D6E-409C-BE32-E72D297353CC}">
                    <c16:uniqueId val="{00000006-B16C-4057-8FA9-51EEB27CD05B}"/>
                  </c:ext>
                </c:extLst>
              </c15:ser>
            </c15:filteredBarSeries>
          </c:ext>
        </c:extLst>
      </c:barChart>
      <c:catAx>
        <c:axId val="4544060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4402728"/>
        <c:crosses val="autoZero"/>
        <c:auto val="1"/>
        <c:lblAlgn val="ctr"/>
        <c:lblOffset val="100"/>
        <c:noMultiLvlLbl val="0"/>
      </c:catAx>
      <c:valAx>
        <c:axId val="45440272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4544060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61">
  <cs:axisTitle>
    <cs:lnRef idx="0"/>
    <cs:fillRef idx="0"/>
    <cs:effectRef idx="0"/>
    <cs:fontRef idx="minor">
      <a:schemeClr val="dk1">
        <a:lumMod val="65000"/>
        <a:lumOff val="35000"/>
      </a:schemeClr>
    </cs:fontRef>
    <cs:defRPr sz="900" kern="1200"/>
  </cs:axisTitle>
  <cs:categoryAxis>
    <cs:lnRef idx="0"/>
    <cs:fillRef idx="0"/>
    <cs:effectRef idx="0"/>
    <cs:fontRef idx="minor">
      <a:schemeClr val="dk1">
        <a:lumMod val="65000"/>
        <a:lumOff val="35000"/>
      </a:schemeClr>
    </cs:fontRef>
    <cs:defRPr sz="900" kern="1200"/>
  </cs:categoryAxis>
  <cs:chartArea>
    <cs:lnRef idx="0"/>
    <cs:fillRef idx="0"/>
    <cs:effectRef idx="0"/>
    <cs:fontRef idx="minor">
      <a:schemeClr val="dk1"/>
    </cs:fontRef>
    <cs:spPr>
      <a:pattFill prst="dkDnDiag">
        <a:fgClr>
          <a:schemeClr val="lt1">
            <a:lumMod val="95000"/>
          </a:schemeClr>
        </a:fgClr>
        <a:bgClr>
          <a:schemeClr val="lt1"/>
        </a:bgClr>
      </a:pattFill>
      <a:ln w="9525" cap="flat" cmpd="sng" algn="ctr">
        <a:solidFill>
          <a:schemeClr val="dk1">
            <a:lumMod val="15000"/>
            <a:lumOff val="85000"/>
          </a:schemeClr>
        </a:solidFill>
        <a:round/>
      </a:ln>
    </cs:spPr>
    <cs:defRPr sz="900" kern="1200"/>
  </cs:chartArea>
  <cs:dataLabel>
    <cs:lnRef idx="0"/>
    <cs:fillRef idx="0"/>
    <cs:effectRef idx="0"/>
    <cs:fontRef idx="minor">
      <a:schemeClr val="lt1"/>
    </cs:fontRef>
    <cs:defRPr sz="900" b="1" i="0" u="none" strike="noStrike" kern="1200" baseline="0"/>
  </cs:dataLabel>
  <cs:dataLabelCallout>
    <cs:lnRef idx="0"/>
    <cs:fillRef idx="0"/>
    <cs:effectRef idx="0"/>
    <cs:fontRef idx="minor">
      <a:schemeClr val="dk1">
        <a:lumMod val="65000"/>
        <a:lumOff val="35000"/>
      </a:schemeClr>
    </cs:fontRef>
    <cs:spPr>
      <a:solidFill>
        <a:schemeClr val="lt1">
          <a:alpha val="75000"/>
        </a:schemeClr>
      </a:solidFill>
      <a:ln w="9525">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317500" algn="ctr" rotWithShape="0">
          <a:prstClr val="black">
            <a:alpha val="25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20000"/>
          </a:prstClr>
        </a:outerShdw>
      </a:effectLst>
      <a:scene3d>
        <a:camera prst="orthographicFront"/>
        <a:lightRig rig="threePt" dir="t"/>
      </a:scene3d>
      <a:sp3d prstMaterial="matte"/>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noFill/>
      <a:ln w="9525" cap="flat" cmpd="sng" algn="ctr">
        <a:solidFill>
          <a:schemeClr val="dk1">
            <a:lumMod val="15000"/>
            <a:lumOff val="85000"/>
          </a:schemeClr>
        </a:solidFill>
        <a:round/>
      </a:ln>
    </cs:spPr>
    <cs:defRPr sz="9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65000"/>
            <a:lumOff val="35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65000"/>
            <a:lumOff val="35000"/>
          </a:schemeClr>
        </a:solidFill>
        <a:round/>
      </a:ln>
    </cs:spPr>
  </cs:errorBar>
  <cs:floor>
    <cs:lnRef idx="0"/>
    <cs:fillRef idx="0"/>
    <cs:effectRef idx="0"/>
    <cs:fontRef idx="minor">
      <a:schemeClr val="dk1"/>
    </cs:fontRef>
    <cs:spPr>
      <a:noFill/>
      <a:ln>
        <a:noFill/>
      </a:ln>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50000"/>
            <a:lumOff val="50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spPr>
      <a:solidFill>
        <a:schemeClr val="lt1">
          <a:alpha val="78000"/>
        </a:schemeClr>
      </a:solidFill>
    </cs:spPr>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inor">
      <a:schemeClr val="dk1">
        <a:lumMod val="65000"/>
        <a:lumOff val="35000"/>
      </a:schemeClr>
    </cs:fontRef>
    <cs:defRPr sz="1800" b="1" kern="120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65000"/>
            <a:lumOff val="35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63AEFD-D2F1-444E-936F-51B3B71CAD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TotalTime>
  <Pages>11</Pages>
  <Words>1557</Words>
  <Characters>8878</Characters>
  <Application>Microsoft Office Word</Application>
  <DocSecurity>0</DocSecurity>
  <Lines>73</Lines>
  <Paragraphs>20</Paragraphs>
  <ScaleCrop>false</ScaleCrop>
  <Company/>
  <LinksUpToDate>false</LinksUpToDate>
  <CharactersWithSpaces>10415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衡</dc:creator>
  <cp:keywords/>
  <dc:description/>
  <cp:lastModifiedBy>李 衡</cp:lastModifiedBy>
  <cp:revision>19</cp:revision>
  <dcterms:created xsi:type="dcterms:W3CDTF">2018-05-03T06:40:00Z</dcterms:created>
  <dcterms:modified xsi:type="dcterms:W3CDTF">2018-05-14T02:46:00Z</dcterms:modified>
</cp:coreProperties>
</file>