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bcxtb09r1gx4" w:id="0"/>
      <w:bookmarkEnd w:id="0"/>
      <w:r w:rsidDel="00000000" w:rsidR="00000000" w:rsidRPr="00000000">
        <w:rPr>
          <w:rtl w:val="0"/>
        </w:rPr>
        <w:t xml:space="preserve">7. Recursos Clave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Los recursos clave de EduIAIO constan de los elementos que permiten dar una formación en tecnología sencilla, cercana y segura a personas mayores, y hacer que el proyecto sea posible a largo plazo. 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academia en Logroño cuenta con dos aulas equipadas, recepción y baños, además de mesas amplias y espacios adaptados para personas con movilidad reducida, trabajando siempre con grupos pequeños para una atención más personalizada.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parte tecnológica se basa en ordenadores y/o portátiles preparados para grupos de 10–15 alumnos por aula y una conexión a Internet estable para poder hacer prácticas reales. El material didáctico incluye manuales en papel y en digital con lenguaje claro y muchas imágenes, y cada alumno usa su propio móvil para aprender, lo que facilita a posteriori la aplicación del conocimiento adquirido.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los recursos no materiales destacan la experiencia del profesorado, además de buenos conocimientos en seguridad digital para enseñar a evitar estafas y proteger datos personales. También, muy importantes, los acuerdos con ayuntamientos, asociaciones de mayores, residencias y centros de día, que nos ayudan a llegar a más alumnos y a ofrecer cursos subvencionados.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 ultimo, la imagen del proyecto se apoya en su compromiso con reducir la brecha digital en la tercera edad, en los valores sociales y en la calidad del servicio gracias a grupos reducidos y trato cercano, lo que genera mayor confianza.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spacing w:after="240" w:before="240" w:lineRule="auto"/>
      <w:rPr/>
    </w:pPr>
    <w:r w:rsidDel="00000000" w:rsidR="00000000" w:rsidRPr="00000000">
      <w:rPr/>
      <w:drawing>
        <wp:inline distB="114300" distT="114300" distL="114300" distR="114300">
          <wp:extent cx="595313" cy="4464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517" l="34579" r="33457" t="19655"/>
                  <a:stretch>
                    <a:fillRect/>
                  </a:stretch>
                </pic:blipFill>
                <pic:spPr>
                  <a:xfrm>
                    <a:off x="0" y="0"/>
                    <a:ext cx="595313" cy="446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rFonts w:ascii="Lexend" w:cs="Lexend" w:eastAsia="Lexend" w:hAnsi="Lexend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