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0" w:lineRule="auto"/>
        <w:rPr>
          <w:rFonts w:ascii="Lexend" w:cs="Lexend" w:eastAsia="Lexend" w:hAnsi="Lexend"/>
          <w:sz w:val="44"/>
          <w:szCs w:val="44"/>
        </w:rPr>
      </w:pPr>
      <w:bookmarkStart w:colFirst="0" w:colLast="0" w:name="_z8jvf3cf5d9q" w:id="0"/>
      <w:bookmarkEnd w:id="0"/>
      <w:r w:rsidDel="00000000" w:rsidR="00000000" w:rsidRPr="00000000">
        <w:rPr>
          <w:rFonts w:ascii="Lexend" w:cs="Lexend" w:eastAsia="Lexend" w:hAnsi="Lexend"/>
          <w:sz w:val="44"/>
          <w:szCs w:val="44"/>
          <w:rtl w:val="0"/>
        </w:rPr>
        <w:t xml:space="preserve">8. Actividades Clave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Estos son los procesos que EduIAio debe realizar para producir y entregar su propuesta de valor. Estos se priorizan según su impacto en el proyecto:</w:t>
      </w:r>
    </w:p>
    <w:p w:rsidR="00000000" w:rsidDel="00000000" w:rsidP="00000000" w:rsidRDefault="00000000" w:rsidRPr="00000000" w14:paraId="00000003">
      <w:pPr>
        <w:pStyle w:val="Heading2"/>
        <w:rPr>
          <w:rFonts w:ascii="Roboto" w:cs="Roboto" w:eastAsia="Roboto" w:hAnsi="Roboto"/>
          <w:sz w:val="24"/>
          <w:szCs w:val="24"/>
        </w:rPr>
      </w:pPr>
      <w:bookmarkStart w:colFirst="0" w:colLast="0" w:name="_hy9d0h2iqqm8" w:id="1"/>
      <w:bookmarkEnd w:id="1"/>
      <w:r w:rsidDel="00000000" w:rsidR="00000000" w:rsidRPr="00000000">
        <w:rPr>
          <w:rtl w:val="0"/>
        </w:rPr>
        <w:t xml:space="preserve">Actividades Prioritarias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Suscripciones mensuales: Clases regulares de lunes a jueves en horarios de mañana (10:00-11:30 y 12:00-13:30).​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Cursos específicos semanales: Formaciones intensivas de tardes (16:30-18:00) sobre temas puntuales (WhatsApp, banca electrónica, seguridad digital).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financiera: Gestionar el control de ingresos y gastos y la tramitación de subvenciones y ayudas públicas.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17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ots9elh7o0j" w:id="2"/>
      <w:bookmarkEnd w:id="2"/>
      <w:r w:rsidDel="00000000" w:rsidR="00000000" w:rsidRPr="00000000">
        <w:rPr>
          <w:rtl w:val="0"/>
        </w:rPr>
        <w:t xml:space="preserve">Actividades Complementarias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Marketing local: Carteles en paradas de bus, buzoneo, folletos en bares y cafeterías frecuentadas por mayores y anuncios en redes sociales dirigidos a familiares.​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Gestión de formaciones con ayuntamientos: Contactar y negociar con gobiernos locales para contratar talleres gratuitos en zonas rurales.​ Coordinar logística de desplazamiento y equipamiento en aulas cedidas.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Actualización y gestión de contenidos: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Revisar programas según la evolución de la tecnología (nuevas apps y actualizaciones.)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Crear y actualizar manuales, guías visuales y recursos de apoyo.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594690" cy="253180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67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4690" cy="2531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6m043c84xnq" w:id="3"/>
      <w:bookmarkEnd w:id="3"/>
      <w:r w:rsidDel="00000000" w:rsidR="00000000" w:rsidRPr="00000000">
        <w:rPr>
          <w:rtl w:val="0"/>
        </w:rPr>
        <w:t xml:space="preserve">Actividades de Soporte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before="12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Mantenimiento de instalaciones y equipamiento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0" w:before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Evaluación de impacto social y posibles mejoras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Gestionar las inscripciones a través de atención telefónica y/o página web para facilitar la matriculación.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after="240" w:before="240" w:lineRule="auto"/>
      <w:rPr/>
    </w:pPr>
    <w:r w:rsidDel="00000000" w:rsidR="00000000" w:rsidRPr="00000000">
      <w:rPr/>
      <w:drawing>
        <wp:inline distB="114300" distT="114300" distL="114300" distR="114300">
          <wp:extent cx="595313" cy="44648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517" l="34579" r="33457" t="19655"/>
                  <a:stretch>
                    <a:fillRect/>
                  </a:stretch>
                </pic:blipFill>
                <pic:spPr>
                  <a:xfrm>
                    <a:off x="0" y="0"/>
                    <a:ext cx="595313" cy="4464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