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x9d7jqzqm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Estructura de Costes – EduIAIO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geo2gx4jb6j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9.1. Inversión Inicial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lanzamiento del centro en Logroño, se requiere una inversión total de </w:t>
      </w:r>
      <w:r w:rsidDel="00000000" w:rsidR="00000000" w:rsidRPr="00000000">
        <w:rPr>
          <w:b w:val="1"/>
          <w:bCs w:val="1"/>
          <w:rtl w:val="0"/>
        </w:rPr>
        <w:t xml:space="preserve">40.100 €</w:t>
      </w:r>
      <w:r w:rsidDel="00000000" w:rsidR="00000000" w:rsidRPr="00000000">
        <w:rPr>
          <w:rtl w:val="0"/>
        </w:rPr>
        <w:t xml:space="preserve">. Esta cifra cubre la adecuación del espacio físico, la adquisición de tecnología adaptada y el fondo de maniobra necesario para los primeros meses.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zafrkeg0q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Desglose de la Inversión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760.138347192583"/>
        <w:gridCol w:w="5262.538818161749"/>
        <w:gridCol w:w="1002.8346456692916"/>
        <w:tblGridChange w:id="0">
          <w:tblGrid>
            <w:gridCol w:w="2760.138347192583"/>
            <w:gridCol w:w="5262.538818161749"/>
            <w:gridCol w:w="1002.83464566929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Concepto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Importe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Adecuación de local (2 aulas, recepción y baños adaptados)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5.000 €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Equipamiento Tecnológico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20 puestos (PC/Tablets), periféricos adaptados y pizarras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14.600 €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Mesas regulables y sillería ergonómica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6.000 €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Rampas, señalización podotáctil y ayudas visuales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1.000 €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Constitución y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Escrituras, licencias de apertura y registro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1.200 €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de Lanzamiento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Branding, web con reservas y campaña inicial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8.300 €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Fondo de Maniobra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Reserva operativa (primeros 2 meses)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4.000 €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INVERSIÓN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40.100 €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vpu0qi1omr53" w:id="3"/>
      <w:bookmarkEnd w:id="3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3811659" cy="21535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659" cy="2153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9.2. Plan de Financiación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Hemos diseñado una estrategia de financiación híbrida para minimizar el endeudamiento y maximizar el uso de recursos públicos destinados a la innovación social.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Capital Social (3 socios):</w:t>
      </w:r>
      <w:r w:rsidDel="00000000" w:rsidR="00000000" w:rsidRPr="00000000">
        <w:rPr>
          <w:rtl w:val="0"/>
        </w:rPr>
        <w:t xml:space="preserve"> 15.000 € (37,4%)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Subvenciones Públicas:</w:t>
      </w:r>
      <w:r w:rsidDel="00000000" w:rsidR="00000000" w:rsidRPr="00000000">
        <w:rPr>
          <w:rtl w:val="0"/>
        </w:rPr>
        <w:t xml:space="preserve"> 18.100 € (45,1%) </w:t>
      </w:r>
      <w:r w:rsidDel="00000000" w:rsidR="00000000" w:rsidRPr="00000000">
        <w:rPr>
          <w:i w:val="1"/>
          <w:iCs w:val="1"/>
          <w:rtl w:val="0"/>
        </w:rPr>
        <w:t xml:space="preserve">(Incluye Kit Digital, Fondos Next Gen y ayudas locales)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Préstamo ICO Emprendedores:</w:t>
      </w:r>
      <w:r w:rsidDel="00000000" w:rsidR="00000000" w:rsidRPr="00000000">
        <w:rPr>
          <w:rtl w:val="0"/>
        </w:rPr>
        <w:t xml:space="preserve"> 7.000 € (17,5%)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9hpunctbvx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9.3. Gastos Operativos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hf0xh83kh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Gastos Fijos Mensuales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operativa está optimizada para mantener la agilidad. El coste fijo mensual asciende a </w:t>
      </w:r>
      <w:r w:rsidDel="00000000" w:rsidR="00000000" w:rsidRPr="00000000">
        <w:rPr>
          <w:b w:val="1"/>
          <w:bCs w:val="1"/>
          <w:rtl w:val="0"/>
        </w:rPr>
        <w:t xml:space="preserve">2.400 €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28.800 €/año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Alquiler del local (120 m² en Logroño):</w:t>
      </w:r>
      <w:r w:rsidDel="00000000" w:rsidR="00000000" w:rsidRPr="00000000">
        <w:rPr>
          <w:rtl w:val="0"/>
        </w:rPr>
        <w:t xml:space="preserve"> 1.200 €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Suministros (Luz, agua, fibra):</w:t>
      </w:r>
      <w:r w:rsidDel="00000000" w:rsidR="00000000" w:rsidRPr="00000000">
        <w:rPr>
          <w:rtl w:val="0"/>
        </w:rPr>
        <w:t xml:space="preserve"> 280 €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Servicios Externos (Asesoría, limpieza, seguros):</w:t>
      </w:r>
      <w:r w:rsidDel="00000000" w:rsidR="00000000" w:rsidRPr="00000000">
        <w:rPr>
          <w:rtl w:val="0"/>
        </w:rPr>
        <w:t xml:space="preserve"> 520 €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Digital y Software (CRM, Hosting):</w:t>
      </w:r>
      <w:r w:rsidDel="00000000" w:rsidR="00000000" w:rsidRPr="00000000">
        <w:rPr>
          <w:rtl w:val="0"/>
        </w:rPr>
        <w:t xml:space="preserve"> 240 €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Otros (Material fungible y comisiones):</w:t>
      </w:r>
      <w:r w:rsidDel="00000000" w:rsidR="00000000" w:rsidRPr="00000000">
        <w:rPr>
          <w:rtl w:val="0"/>
        </w:rPr>
        <w:t xml:space="preserve"> 160 €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cpd5puxnb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Salarios y Personal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Contamos con un equipo de 4 profesores especialistas y 1 coordinador. La ratio de </w:t>
      </w:r>
      <w:r w:rsidDel="00000000" w:rsidR="00000000" w:rsidRPr="00000000">
        <w:rPr>
          <w:b w:val="1"/>
          <w:bCs w:val="1"/>
          <w:rtl w:val="0"/>
        </w:rPr>
        <w:t xml:space="preserve">5 alumnos por profesor</w:t>
      </w:r>
      <w:r w:rsidDel="00000000" w:rsidR="00000000" w:rsidRPr="00000000">
        <w:rPr>
          <w:rtl w:val="0"/>
        </w:rPr>
        <w:t xml:space="preserve"> garantiza la calidad pedagógica.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480.0" w:type="dxa"/>
        <w:jc w:val="left"/>
        <w:tblLayout w:type="fixed"/>
        <w:tblLook w:val="0600"/>
      </w:tblPr>
      <w:tblGrid>
        <w:gridCol w:w="1940"/>
        <w:gridCol w:w="2180"/>
        <w:gridCol w:w="2180"/>
        <w:gridCol w:w="2180"/>
        <w:tblGridChange w:id="0">
          <w:tblGrid>
            <w:gridCol w:w="1940"/>
            <w:gridCol w:w="2180"/>
            <w:gridCol w:w="2180"/>
            <w:gridCol w:w="21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 1 (12 pagas)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 2 (14 pagas)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 3 (14 pagas)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Profesor (x4)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1.400 €/mes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1.800 €/mes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2.200 €/mes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Coordinador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1.600 €/mes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2.000 €/mes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2.400 €/mes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86.400 €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128.800 €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156.800 €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9.4. Proyección Financiera a 3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1350" w:tblpY="0"/>
        <w:tblW w:w="6635.0" w:type="dxa"/>
        <w:jc w:val="left"/>
        <w:tblLayout w:type="fixed"/>
        <w:tblLook w:val="0600"/>
      </w:tblPr>
      <w:tblGrid>
        <w:gridCol w:w="2660"/>
        <w:gridCol w:w="1325"/>
        <w:gridCol w:w="1325"/>
        <w:gridCol w:w="1325"/>
        <w:tblGridChange w:id="0">
          <w:tblGrid>
            <w:gridCol w:w="2660"/>
            <w:gridCol w:w="1325"/>
            <w:gridCol w:w="1325"/>
            <w:gridCol w:w="1325"/>
          </w:tblGrid>
        </w:tblGridChange>
      </w:tblGrid>
      <w:tr>
        <w:trPr>
          <w:cantSplit w:val="0"/>
          <w:trHeight w:val="53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Ingresos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122.200 €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A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159.000 €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B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215.000 €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C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Inversión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40.100 €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E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0 €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F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0 €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Gastos Fijos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28.800 €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2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28.800 €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3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30.000 €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4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Gastos de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5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86.400 €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6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128.800 €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7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156.800 €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8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Gastos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9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13.722 €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A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18.790 €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B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24.050 €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C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GASTOS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D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169.022 €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E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176.390 €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F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210.850 €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0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NETO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1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-46.822 €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2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-17.390 €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3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+4.150 €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4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Margen sobre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5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-38,3%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6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-10,9%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7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+1,93%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9.5. Análisis de Viabilidad y Conclusiones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Sostenibilidad:</w:t>
      </w:r>
      <w:r w:rsidDel="00000000" w:rsidR="00000000" w:rsidRPr="00000000">
        <w:rPr>
          <w:rtl w:val="0"/>
        </w:rPr>
        <w:t xml:space="preserve"> El proyecto absorbe la inversión inicial en el primer ejercicio. A partir del tercer año, la generación de caja es positiva y creciente.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Escalabilidad:</w:t>
      </w:r>
      <w:r w:rsidDel="00000000" w:rsidR="00000000" w:rsidRPr="00000000">
        <w:rPr>
          <w:rtl w:val="0"/>
        </w:rPr>
        <w:t xml:space="preserve"> Los ingresos crecen un </w:t>
      </w:r>
      <w:r w:rsidDel="00000000" w:rsidR="00000000" w:rsidRPr="00000000">
        <w:rPr>
          <w:b w:val="1"/>
          <w:bCs w:val="1"/>
          <w:rtl w:val="0"/>
        </w:rPr>
        <w:t xml:space="preserve">76%</w:t>
      </w:r>
      <w:r w:rsidDel="00000000" w:rsidR="00000000" w:rsidRPr="00000000">
        <w:rPr>
          <w:rtl w:val="0"/>
        </w:rPr>
        <w:t xml:space="preserve"> en tres años, impulsados por la diversificación (suscripciones particulares y convenios con Ayuntamientos).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Riesgos:</w:t>
      </w:r>
      <w:r w:rsidDel="00000000" w:rsidR="00000000" w:rsidRPr="00000000">
        <w:rPr>
          <w:rtl w:val="0"/>
        </w:rPr>
        <w:t xml:space="preserve"> El nivel de endeudamiento externo es muy bajo (solo el 5,7% de los ingresos del Año 1), lo que otorga una gran resiliencia ante imprevistos.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 Social:</w:t>
      </w:r>
      <w:r w:rsidDel="00000000" w:rsidR="00000000" w:rsidRPr="00000000">
        <w:rPr>
          <w:rtl w:val="0"/>
        </w:rPr>
        <w:t xml:space="preserve"> El modelo financiero no solo busca el lucro, sino que está alineado con los </w:t>
      </w:r>
      <w:r w:rsidDel="00000000" w:rsidR="00000000" w:rsidRPr="00000000">
        <w:rPr>
          <w:b w:val="1"/>
          <w:bCs w:val="1"/>
          <w:rtl w:val="0"/>
        </w:rPr>
        <w:t xml:space="preserve">ODS 3, 4, 11 y 16</w:t>
      </w:r>
      <w:r w:rsidDel="00000000" w:rsidR="00000000" w:rsidRPr="00000000">
        <w:rPr>
          <w:rtl w:val="0"/>
        </w:rPr>
        <w:t xml:space="preserve">, garantizando un retorno social medible para la comunidad de La Rioja.</w:t>
      </w:r>
    </w:p>
    <w:sectPr>
      <w:headerReference r:id="rId7" w:type="default"/>
      <w:headerReference r:id="rId8" w:type="first"/>
      <w:footerReference r:id="rId9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spacing w:after="240" w:before="240" w:lineRule="auto"/>
      <w:ind w:left="0" w:firstLine="0"/>
      <w:rPr/>
    </w:pPr>
    <w:r w:rsidDel="00000000" w:rsidR="00000000" w:rsidRPr="00000000">
      <w:rPr/>
      <w:drawing>
        <wp:inline distB="114300" distT="114300" distL="114300" distR="114300">
          <wp:extent cx="595313" cy="446484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5517" l="34579" r="33457" t="19655"/>
                  <a:stretch>
                    <a:fillRect/>
                  </a:stretch>
                </pic:blipFill>
                <pic:spPr>
                  <a:xfrm>
                    <a:off x="0" y="0"/>
                    <a:ext cx="595313" cy="44648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