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/>
      </w:pPr>
      <w:bookmarkStart w:colFirst="0" w:colLast="0" w:name="_of1wewx4lhx" w:id="0"/>
      <w:bookmarkEnd w:id="0"/>
      <w:r w:rsidDel="00000000" w:rsidR="00000000" w:rsidRPr="00000000">
        <w:rPr>
          <w:rtl w:val="0"/>
        </w:rPr>
        <w:t xml:space="preserve">3. Alianzas Clave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Socios estratégicos y proveedores externos. Su colaboración es esencial para el éxito de EduIAio.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Trabajaremos con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ayuntamientos y gobiernos locales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para, con su ayuda, contratar formaciones públicas subvencionadas para ciudadanos mayores en zonas rurales y municipios sin oferta formativa local. Gracias a ellos podríamos darnos a conocer en municipios exteriores y obtendremos una retribución económica extra.</w:t>
      </w:r>
    </w:p>
    <w:p w:rsidR="00000000" w:rsidDel="00000000" w:rsidP="00000000" w:rsidRDefault="00000000" w:rsidRPr="00000000" w14:paraId="00000005">
      <w:pPr>
        <w:spacing w:after="120" w:before="120" w:lineRule="auto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404893" cy="17377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4893" cy="1737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Otro contacto que podríamos tener serían las organizaciones de la tercera edad como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UDP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Lares La Rioja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Estos nos facilitan captación de alumnos, a difundir el proyecto y podrían cedernos espacios para actividades promocionales, dandonos también acceso directo a nuestro publico objetivo.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814638" cy="1725696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1725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812898" cy="105097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37209" r="18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2898" cy="1050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Otra forma de darnos a conocer sería mediante medios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comunicación locales y regionales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como TVR, radios locales o prensa como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NueveCuatroUno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el Diario de La Rioja. Los utilizaremos para difundir la propuesta de valor, generar visibilidad mediática y principalmente para posicionar a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EduIAio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como referente regional en inclusión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243138" cy="130939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1309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076575" cy="90434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19540" l="3881" r="4337" t="2071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904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También aprovechamos para trabajar con instituciones educativas como Salesianos Los Boscos o la Universidad de La Rioja para que nos proporcionasen estudiantes en prácticas.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6014947" cy="12110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4947" cy="121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empresa Eduiaio va a funcionar como una pequeña academia tecnológica para personas mayores en Logroño, así que cada rol directivo se orientará a planificar, coordinar y asegurar estas formaciones básicas y muy básicas de forma cercana y sostenible. A continuación se detalla cómo se reparten las responsabilidades.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Liher: Director Ejecutivo o CEO (Chief Executive Officer)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Encargado de dirigir la empresa y coordinar a los cuatro docentes.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Planifica los cursos para personas mayores, la organización de horarios y la viabilidad económica de Eduiaio.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Samuel: Director de Tecnología o CTO (Chief Technology Officer)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Encargado de diseñar y mantener la infraestructura técnica de las aulas (equipos, red, copias de seguridad).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Selecciona las aplicaciones y herramientas que se usarán en clase (WhatsApp, banca online, correo, etc.).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Adolfo: Director de Marketing o CMO (Chief Marketing Officer)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Encargado de la venta y difusión de los cursos, así como del contacto con alumnos y asociaciones de mayores.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Diseña la imagen de la empresa y las campañas para llegar a familias y personas de la tercera edad en Logroño.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Ioar: Director de Seguridad de la Información o CISO (Chief Information Security Officer)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Encargado de definir las políticas de seguridad y protección de datos de los alumnos.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Forma al equipo y a los mayores en buenas prácticas: contraseñas seguras, uso seguro del banco online y prevención de fraudes.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-615786</wp:posOffset>
            </wp:positionH>
            <wp:positionV relativeFrom="paragraph">
              <wp:posOffset>666750</wp:posOffset>
            </wp:positionV>
            <wp:extent cx="6963122" cy="2118731"/>
            <wp:effectExtent b="0" l="0" r="0" t="0"/>
            <wp:wrapSquare wrapText="bothSides" distB="114300" distT="114300" distL="114300" distR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3122" cy="21187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spacing w:after="240" w:before="240" w:lineRule="auto"/>
      <w:rPr/>
    </w:pPr>
    <w:r w:rsidDel="00000000" w:rsidR="00000000" w:rsidRPr="00000000">
      <w:rPr/>
      <w:drawing>
        <wp:inline distB="114300" distT="114300" distL="114300" distR="114300">
          <wp:extent cx="595313" cy="446484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5517" l="34579" r="33457" t="19655"/>
                  <a:stretch>
                    <a:fillRect/>
                  </a:stretch>
                </pic:blipFill>
                <pic:spPr>
                  <a:xfrm>
                    <a:off x="0" y="0"/>
                    <a:ext cx="595313" cy="4464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00" w:lineRule="auto"/>
    </w:pPr>
    <w:rPr>
      <w:rFonts w:ascii="Lexend" w:cs="Lexend" w:eastAsia="Lexend" w:hAnsi="Lexend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