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华西医院医保服务</w:t>
      </w:r>
    </w:p>
    <w:p>
      <w:pPr>
        <w:pStyle w:val="Heading1"/>
      </w:pPr>
      <w:r>
        <w:t>入口</w:t>
      </w:r>
    </w:p>
    <w:p>
      <w:r>
        <w:t>官网「患者服务」→「医保服务」：https://www.wchscu.cn/public/medical.html</w:t>
      </w:r>
    </w:p>
    <w:p>
      <w:pPr>
        <w:pStyle w:val="Heading1"/>
      </w:pPr>
      <w:r>
        <w:t>基本情况</w:t>
      </w:r>
    </w:p>
    <w:p>
      <w:r>
        <w:t>• 华西医院为医保定点医疗机构，参保患者可按规定享受医保报销</w:t>
      </w:r>
    </w:p>
    <w:p>
      <w:r>
        <w:t>• 温江院区与本部医保系统、财务发票一致，在温江院区就诊也可正常办理医保结算</w:t>
      </w:r>
    </w:p>
    <w:p>
      <w:r>
        <w:t>• 入院、出院及门诊结算时，请出示医保卡/电子医保凭证</w:t>
      </w:r>
    </w:p>
    <w:p>
      <w:pPr>
        <w:pStyle w:val="Heading1"/>
      </w:pPr>
      <w:r>
        <w:t>入出院医保结算流程</w:t>
      </w:r>
    </w:p>
    <w:p>
      <w:r>
        <w:t>官网该说明以图片形式发布，文字版流程未在页面提供。明确提示：二门诊及温江院区住院患者在相应入院结算窗口办理业务。具体流程可联系医保办公室（028-85423429）咨询。</w:t>
      </w:r>
    </w:p>
    <w:p>
      <w:pPr>
        <w:pStyle w:val="Heading1"/>
      </w:pPr>
      <w:r>
        <w:t>门诊特殊疾病（门特）办理</w:t>
      </w:r>
    </w:p>
    <w:p>
      <w:r>
        <w:t>• 定义：病情相对稳定、需长期在门诊治疗、纳入基本医疗保险统筹基金支付范围的慢性或重症疾病</w:t>
      </w:r>
    </w:p>
    <w:p>
      <w:r>
        <w:t>• 医保类型：成都市医保（城镇职工/城乡居民）、四川省省本级医保、异地医保，政策流程不同</w:t>
      </w:r>
    </w:p>
    <w:p>
      <w:r>
        <w:t>• 办理流程：准备资料 → 认定病种 → 定点登记 → 开门特医嘱 → 刷卡缴费报销</w:t>
      </w:r>
    </w:p>
    <w:p>
      <w:r>
        <w:t>- 成都市/省本级：支持线上微信或线下医保窗口办理</w:t>
      </w:r>
    </w:p>
    <w:p>
      <w:r>
        <w:t>- 异地医保：咨询参保地医保局</w:t>
      </w:r>
    </w:p>
    <w:p>
      <w:r>
        <w:t>- 首次就诊需定点登记，可在诊室或医保窗口办理</w:t>
      </w:r>
    </w:p>
    <w:p>
      <w:r>
        <w:t>• 报销比例参考：</w:t>
      </w:r>
    </w:p>
    <w:p>
      <w:r>
        <w:t>- 成都市医保：城镇职工基本医疗保险报销 85%；城乡居民基本医疗保险报销 53%–68%</w:t>
      </w:r>
    </w:p>
    <w:p>
      <w:r>
        <w:t>- 省本级医保：一类疾病报销 50%；二类疾病报销 80%</w:t>
      </w:r>
    </w:p>
    <w:p>
      <w:r>
        <w:t>- 各病种设置不同起付标准，详见官方附表</w:t>
      </w:r>
    </w:p>
    <w:p>
      <w:pPr>
        <w:pStyle w:val="Heading1"/>
      </w:pPr>
      <w:r>
        <w:t>特殊药品经办管理办法</w:t>
      </w:r>
    </w:p>
    <w:p>
      <w:r>
        <w:t>• 省、市医保共有 124 个单行支付药品和 18 个高值药品纳入特殊药品报销，单行支付药品实行"五定"管理</w:t>
      </w:r>
    </w:p>
    <w:p>
      <w:r>
        <w:t>• 申请人须先办理认定手续，"先购药后补认定不能报销"；需通过华西医院医保办公众号绑定信息并上传申请资料</w:t>
      </w:r>
    </w:p>
    <w:p>
      <w:r>
        <w:t>• 认定周期：自通过认定之日起 12 个月为一个周期；超过 6 个月未治疗或中断治疗达 6 个月以上需重新申请</w:t>
      </w:r>
    </w:p>
    <w:p>
      <w:r>
        <w:t>• 报销比例：单行支付药品按不同医保类型报销 55%–75%，年度支付限额 15–25 万元；高值药品先自付 10%–20%，其余按住院报销比例处理</w:t>
      </w:r>
    </w:p>
    <w:p>
      <w:r>
        <w:t>• 处方限制：可提前 7 天办理，上次处方剩余药量不超过 7 天</w:t>
      </w:r>
    </w:p>
    <w:p>
      <w:pPr>
        <w:pStyle w:val="Heading1"/>
      </w:pPr>
      <w:r>
        <w:t>医保患者住院报销政策</w:t>
      </w:r>
    </w:p>
    <w:p>
      <w:r>
        <w:t>官网该页面（2022.11.07 发布）为标题页，具体报销政策正文未在页面文字中提供，需联系医保办公室或查阅官网原文附件。</w:t>
      </w:r>
    </w:p>
    <w:p>
      <w:pPr>
        <w:pStyle w:val="Heading1"/>
      </w:pPr>
      <w:r>
        <w:t>异地就医</w:t>
      </w:r>
    </w:p>
    <w:p>
      <w:r>
        <w:t>• 异地参保患者就医与报销规则以参保地医保政策为准</w:t>
      </w:r>
    </w:p>
    <w:p>
      <w:r>
        <w:t>• 建议就诊前向参保地医保部门咨询异地就医备案、结算方式及报销比例</w:t>
      </w:r>
    </w:p>
    <w:p>
      <w:pPr>
        <w:pStyle w:val="Heading1"/>
      </w:pPr>
      <w:r>
        <w:t>注意事项</w:t>
      </w:r>
    </w:p>
    <w:p>
      <w:r>
        <w:t>• 医保目录、报销比例、起付线等随政策调整，以医保部门及医院窗口解释为准</w:t>
      </w:r>
    </w:p>
    <w:p>
      <w:r>
        <w:t>• 医保咨询电话：028-85423429（医保办）</w:t>
      </w:r>
    </w:p>
    <w:p>
      <w:pPr>
        <w:pStyle w:val="Heading1"/>
      </w:pPr>
      <w:r>
        <w:t>官网</w:t>
      </w:r>
    </w:p>
    <w:p>
      <w:r>
        <w:t>• 入出院医保结算流程（图片）：https://www.wchscu.cn/public/medical/69965.html</w:t>
      </w:r>
    </w:p>
    <w:p>
      <w:r>
        <w:t>• 医保患者住院报销政策：https://www.wchscu.cn/public/medical/69964.html</w:t>
      </w:r>
    </w:p>
    <w:p>
      <w:r>
        <w:t>• 门特办理手册：https://www.wchscu.cn/public/medical/69963.html</w:t>
      </w:r>
    </w:p>
    <w:p>
      <w:r>
        <w:t>• 特殊药品经办管理办法：https://www.wchscu.cn/public/medical/69962.html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