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华西医院医保服务</w:t>
      </w:r>
    </w:p>
    <w:p>
      <w:pPr>
        <w:pStyle w:val="Heading1"/>
      </w:pPr>
      <w:r>
        <w:t>医保服务入口</w:t>
      </w:r>
    </w:p>
    <w:p>
      <w:r>
        <w:t>官网「患者服务」→「医保服务」：https://www.wchscu.cn/public/medical.html</w:t>
      </w:r>
    </w:p>
    <w:p>
      <w:r>
        <w:t>该页面提供医保报销政策、结算流程、门诊特殊疾病（门特）等相关说明。</w:t>
      </w:r>
    </w:p>
    <w:p>
      <w:pPr>
        <w:pStyle w:val="Heading1"/>
      </w:pPr>
      <w:r>
        <w:t>医保结算</w:t>
      </w:r>
    </w:p>
    <w:p>
      <w:r>
        <w:t>• 华西医院为医保定点医疗机构，参保患者可按规定享受医保报销</w:t>
      </w:r>
    </w:p>
    <w:p>
      <w:r>
        <w:t>• 温江院区与本部医保系统、财务发票一致，在温江院区就诊也可正常办理医保结算</w:t>
      </w:r>
    </w:p>
    <w:p>
      <w:r>
        <w:t>• 入院、出院及门诊结算时，请出示医保卡/电子医保凭证，按医院与医保部门要求办理</w:t>
      </w:r>
    </w:p>
    <w:p>
      <w:pPr>
        <w:pStyle w:val="Heading1"/>
      </w:pPr>
      <w:r>
        <w:t>门诊特殊疾病（门特）</w:t>
      </w:r>
    </w:p>
    <w:p>
      <w:r>
        <w:t>• 官网「门诊就医指南」下提供「门诊特殊疾病申请流程」</w:t>
      </w:r>
    </w:p>
    <w:p>
      <w:r>
        <w:t>• 适用于符合当地医保政策的门特病种，需按规定申请、审核后方可享受门特待遇</w:t>
      </w:r>
    </w:p>
    <w:p>
      <w:r>
        <w:t>• 具体病种、申请材料、办理流程以官网及当地医保政策为准</w:t>
      </w:r>
    </w:p>
    <w:p>
      <w:pPr>
        <w:pStyle w:val="Heading1"/>
      </w:pPr>
      <w:r>
        <w:t>异地就医</w:t>
      </w:r>
    </w:p>
    <w:p>
      <w:r>
        <w:t>• 异地参保患者就医与报销规则以参保地医保政策为准</w:t>
      </w:r>
    </w:p>
    <w:p>
      <w:r>
        <w:t>• 建议就诊前向参保地医保部门咨询异地就医备案、结算方式及报销比例</w:t>
      </w:r>
    </w:p>
    <w:p>
      <w:pPr>
        <w:pStyle w:val="Heading1"/>
      </w:pPr>
      <w:r>
        <w:t>注意事项</w:t>
      </w:r>
    </w:p>
    <w:p>
      <w:r>
        <w:t>• 医保目录、报销比例、起付线等随政策调整，以医保部门及医院窗口解释为准</w:t>
      </w:r>
    </w:p>
    <w:p>
      <w:r>
        <w:t>• 就诊时请携带医保卡或使用电子医保凭证，以便正常结算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