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A4AEA6">
      <w:pPr>
        <w:numPr>
          <w:ilvl w:val="0"/>
          <w:numId w:val="0"/>
        </w:num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湿度</w:t>
      </w:r>
    </w:p>
    <w:p w14:paraId="747DFDA7">
      <w:pPr>
        <w:numPr>
          <w:ilvl w:val="0"/>
          <w:numId w:val="1"/>
        </w:num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均值mean_参考光</w:t>
      </w:r>
    </w:p>
    <w:p w14:paraId="6D2B5F1F">
      <w:pPr>
        <w:numPr>
          <w:ilvl w:val="0"/>
          <w:numId w:val="1"/>
        </w:num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均值mean_测量光</w:t>
      </w:r>
    </w:p>
    <w:p w14:paraId="072A8D30">
      <w:pPr>
        <w:numPr>
          <w:ilvl w:val="0"/>
          <w:numId w:val="1"/>
        </w:numPr>
        <w:ind w:left="0" w:leftChars="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标准差std_参考光</w:t>
      </w:r>
      <w:bookmarkStart w:id="0" w:name="_GoBack"/>
      <w:bookmarkEnd w:id="0"/>
    </w:p>
    <w:p w14:paraId="523D6D3B">
      <w:pPr>
        <w:numPr>
          <w:ilvl w:val="0"/>
          <w:numId w:val="1"/>
        </w:numPr>
        <w:ind w:left="0" w:leftChars="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标准差std_测量光</w:t>
      </w:r>
    </w:p>
    <w:p w14:paraId="167B1E84">
      <w:pPr>
        <w:numPr>
          <w:ilvl w:val="0"/>
          <w:numId w:val="0"/>
        </w:numPr>
        <w:ind w:left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分位数特征</w:t>
      </w:r>
    </w:p>
    <w:p w14:paraId="02D6D563">
      <w:pPr>
        <w:numPr>
          <w:ilvl w:val="0"/>
          <w:numId w:val="1"/>
        </w:numPr>
        <w:ind w:left="0" w:leftChars="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q25_参考光</w:t>
      </w:r>
    </w:p>
    <w:p w14:paraId="2F32406A">
      <w:pPr>
        <w:numPr>
          <w:ilvl w:val="0"/>
          <w:numId w:val="1"/>
        </w:numPr>
        <w:ind w:left="0" w:leftChars="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median_参考光,</w:t>
      </w:r>
    </w:p>
    <w:p w14:paraId="6807414F">
      <w:pPr>
        <w:numPr>
          <w:ilvl w:val="0"/>
          <w:numId w:val="1"/>
        </w:numPr>
        <w:ind w:left="0" w:leftChars="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q75_参考光</w:t>
      </w:r>
    </w:p>
    <w:p w14:paraId="2D4C0FEF">
      <w:pPr>
        <w:numPr>
          <w:ilvl w:val="0"/>
          <w:numId w:val="1"/>
        </w:numPr>
        <w:ind w:left="0" w:leftChars="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q25_测量光,  </w:t>
      </w:r>
    </w:p>
    <w:p w14:paraId="276E9ED9">
      <w:pPr>
        <w:numPr>
          <w:ilvl w:val="0"/>
          <w:numId w:val="1"/>
        </w:numPr>
        <w:ind w:left="0" w:leftChars="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median_测量光 </w:t>
      </w:r>
    </w:p>
    <w:p w14:paraId="16774B3F">
      <w:pPr>
        <w:numPr>
          <w:ilvl w:val="0"/>
          <w:numId w:val="1"/>
        </w:numPr>
        <w:ind w:left="0" w:leftChars="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q75_测量光</w:t>
      </w:r>
    </w:p>
    <w:p w14:paraId="2DAE83B9">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eastAsia" w:ascii="宋体" w:hAnsi="宋体" w:eastAsia="宋体" w:cs="宋体"/>
          <w:caps w:val="0"/>
          <w:color w:val="0F1115"/>
          <w:spacing w:val="0"/>
          <w:sz w:val="21"/>
          <w:szCs w:val="21"/>
        </w:rPr>
      </w:pPr>
      <w:r>
        <w:rPr>
          <w:rFonts w:hint="eastAsia" w:cs="宋体"/>
          <w:caps w:val="0"/>
          <w:color w:val="0F1115"/>
          <w:spacing w:val="0"/>
          <w:sz w:val="21"/>
          <w:szCs w:val="21"/>
          <w:lang w:val="en-US" w:eastAsia="zh-CN"/>
        </w:rPr>
        <w:t>11、</w:t>
      </w:r>
      <w:r>
        <w:rPr>
          <w:rFonts w:hint="eastAsia" w:ascii="宋体" w:hAnsi="宋体" w:eastAsia="宋体" w:cs="宋体"/>
          <w:caps w:val="0"/>
          <w:color w:val="0F1115"/>
          <w:spacing w:val="0"/>
          <w:sz w:val="21"/>
          <w:szCs w:val="21"/>
        </w:rPr>
        <w:t xml:space="preserve">稳健比值robust_ratio </w:t>
      </w:r>
      <w:r>
        <w:rPr>
          <w:rFonts w:hint="eastAsia" w:ascii="宋体" w:hAnsi="宋体" w:eastAsia="宋体" w:cs="宋体"/>
          <w:caps w:val="0"/>
          <w:color w:val="4078F2"/>
          <w:spacing w:val="0"/>
          <w:sz w:val="21"/>
          <w:szCs w:val="21"/>
        </w:rPr>
        <w:t>=</w:t>
      </w:r>
      <w:r>
        <w:rPr>
          <w:rFonts w:hint="eastAsia" w:ascii="宋体" w:hAnsi="宋体" w:eastAsia="宋体" w:cs="宋体"/>
          <w:caps w:val="0"/>
          <w:color w:val="0F1115"/>
          <w:spacing w:val="0"/>
          <w:sz w:val="21"/>
          <w:szCs w:val="21"/>
        </w:rPr>
        <w:t xml:space="preserve"> median_1450 </w:t>
      </w:r>
      <w:r>
        <w:rPr>
          <w:rFonts w:hint="eastAsia" w:ascii="宋体" w:hAnsi="宋体" w:eastAsia="宋体" w:cs="宋体"/>
          <w:caps w:val="0"/>
          <w:color w:val="4078F2"/>
          <w:spacing w:val="0"/>
          <w:sz w:val="21"/>
          <w:szCs w:val="21"/>
        </w:rPr>
        <w:t>/</w:t>
      </w:r>
      <w:r>
        <w:rPr>
          <w:rFonts w:hint="eastAsia" w:ascii="宋体" w:hAnsi="宋体" w:eastAsia="宋体" w:cs="宋体"/>
          <w:caps w:val="0"/>
          <w:color w:val="0F1115"/>
          <w:spacing w:val="0"/>
          <w:sz w:val="21"/>
          <w:szCs w:val="21"/>
        </w:rPr>
        <w:t xml:space="preserve"> median_1300</w:t>
      </w:r>
    </w:p>
    <w:p w14:paraId="6A08921A">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eastAsia" w:ascii="宋体" w:hAnsi="宋体" w:eastAsia="宋体" w:cs="宋体"/>
          <w:caps w:val="0"/>
          <w:color w:val="0F1115"/>
          <w:spacing w:val="0"/>
          <w:sz w:val="21"/>
          <w:szCs w:val="21"/>
        </w:rPr>
      </w:pPr>
    </w:p>
    <w:p w14:paraId="1E5C7EEC">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eastAsia" w:ascii="宋体" w:hAnsi="宋体" w:eastAsia="宋体" w:cs="宋体"/>
          <w:sz w:val="21"/>
          <w:szCs w:val="21"/>
          <w:lang w:val="en-US" w:eastAsia="zh-CN"/>
        </w:rPr>
      </w:pPr>
      <w:r>
        <w:rPr>
          <w:rFonts w:hint="eastAsia" w:cs="宋体"/>
          <w:sz w:val="21"/>
          <w:szCs w:val="21"/>
          <w:lang w:val="en-US" w:eastAsia="zh-CN"/>
        </w:rPr>
        <w:t>12、</w:t>
      </w:r>
      <w:r>
        <w:rPr>
          <w:rFonts w:hint="eastAsia" w:ascii="宋体" w:hAnsi="宋体" w:eastAsia="宋体" w:cs="宋体"/>
          <w:sz w:val="21"/>
          <w:szCs w:val="21"/>
          <w:lang w:val="en-US" w:eastAsia="zh-CN"/>
        </w:rPr>
        <w:t xml:space="preserve">信号质量指数  </w:t>
      </w:r>
    </w:p>
    <w:p w14:paraId="03DC8241">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signal_quality = (</w:t>
      </w:r>
      <w:r>
        <w:rPr>
          <w:rFonts w:hint="eastAsia" w:ascii="宋体" w:hAnsi="宋体" w:eastAsia="宋体" w:cs="宋体"/>
          <w:caps w:val="0"/>
          <w:color w:val="0F1115"/>
          <w:spacing w:val="0"/>
          <w:sz w:val="21"/>
          <w:szCs w:val="21"/>
        </w:rPr>
        <w:t>mean_</w:t>
      </w:r>
      <w:r>
        <w:rPr>
          <w:rFonts w:hint="eastAsia" w:ascii="宋体" w:hAnsi="宋体" w:eastAsia="宋体" w:cs="宋体"/>
          <w:sz w:val="21"/>
          <w:szCs w:val="21"/>
          <w:lang w:val="en-US" w:eastAsia="zh-CN"/>
        </w:rPr>
        <w:t>参考光</w:t>
      </w:r>
      <w:r>
        <w:rPr>
          <w:rFonts w:hint="eastAsia" w:ascii="宋体" w:hAnsi="宋体" w:eastAsia="宋体" w:cs="宋体"/>
          <w:caps w:val="0"/>
          <w:color w:val="4078F2"/>
          <w:spacing w:val="0"/>
          <w:sz w:val="21"/>
          <w:szCs w:val="21"/>
        </w:rPr>
        <w:t>/</w:t>
      </w:r>
      <w:r>
        <w:rPr>
          <w:rFonts w:hint="eastAsia" w:ascii="宋体" w:hAnsi="宋体" w:eastAsia="宋体" w:cs="宋体"/>
          <w:caps w:val="0"/>
          <w:color w:val="0F1115"/>
          <w:spacing w:val="0"/>
          <w:sz w:val="21"/>
          <w:szCs w:val="21"/>
        </w:rPr>
        <w:t xml:space="preserve"> std_</w:t>
      </w:r>
      <w:r>
        <w:rPr>
          <w:rFonts w:hint="eastAsia" w:ascii="宋体" w:hAnsi="宋体" w:eastAsia="宋体" w:cs="宋体"/>
          <w:sz w:val="21"/>
          <w:szCs w:val="21"/>
          <w:lang w:val="en-US" w:eastAsia="zh-CN"/>
        </w:rPr>
        <w:t xml:space="preserve">参考光+ </w:t>
      </w:r>
      <w:r>
        <w:rPr>
          <w:rFonts w:hint="eastAsia" w:ascii="宋体" w:hAnsi="宋体" w:eastAsia="宋体" w:cs="宋体"/>
          <w:caps w:val="0"/>
          <w:color w:val="0F1115"/>
          <w:spacing w:val="0"/>
          <w:sz w:val="21"/>
          <w:szCs w:val="21"/>
        </w:rPr>
        <w:t>mean_</w:t>
      </w:r>
      <w:r>
        <w:rPr>
          <w:rFonts w:hint="eastAsia" w:ascii="宋体" w:hAnsi="宋体" w:eastAsia="宋体" w:cs="宋体"/>
          <w:sz w:val="21"/>
          <w:szCs w:val="21"/>
          <w:lang w:val="en-US" w:eastAsia="zh-CN"/>
        </w:rPr>
        <w:t>测量光</w:t>
      </w:r>
      <w:r>
        <w:rPr>
          <w:rFonts w:hint="eastAsia" w:ascii="宋体" w:hAnsi="宋体" w:eastAsia="宋体" w:cs="宋体"/>
          <w:caps w:val="0"/>
          <w:color w:val="4078F2"/>
          <w:spacing w:val="0"/>
          <w:sz w:val="21"/>
          <w:szCs w:val="21"/>
        </w:rPr>
        <w:t>/</w:t>
      </w:r>
      <w:r>
        <w:rPr>
          <w:rFonts w:hint="eastAsia" w:ascii="宋体" w:hAnsi="宋体" w:eastAsia="宋体" w:cs="宋体"/>
          <w:caps w:val="0"/>
          <w:color w:val="0F1115"/>
          <w:spacing w:val="0"/>
          <w:sz w:val="21"/>
          <w:szCs w:val="21"/>
        </w:rPr>
        <w:t xml:space="preserve"> std_</w:t>
      </w:r>
      <w:r>
        <w:rPr>
          <w:rFonts w:hint="eastAsia" w:ascii="宋体" w:hAnsi="宋体" w:eastAsia="宋体" w:cs="宋体"/>
          <w:sz w:val="21"/>
          <w:szCs w:val="21"/>
          <w:lang w:val="en-US" w:eastAsia="zh-CN"/>
        </w:rPr>
        <w:t>测量光) / 2</w:t>
      </w:r>
    </w:p>
    <w:p w14:paraId="7923CFB9">
      <w:pPr>
        <w:rPr>
          <w:rFonts w:hint="eastAsia" w:ascii="宋体" w:hAnsi="宋体" w:eastAsia="宋体" w:cs="宋体"/>
          <w:sz w:val="21"/>
          <w:szCs w:val="21"/>
          <w:lang w:val="en-US" w:eastAsia="zh-CN"/>
        </w:rPr>
      </w:pPr>
    </w:p>
    <w:p w14:paraId="5F43682D">
      <w:pPr>
        <w:numPr>
          <w:ilvl w:val="0"/>
          <w:numId w:val="2"/>
        </w:num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range_参考光 = max - min</w:t>
      </w:r>
    </w:p>
    <w:p w14:paraId="7A878AAA">
      <w:pPr>
        <w:numPr>
          <w:ilvl w:val="0"/>
          <w:numId w:val="2"/>
        </w:num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range_测量光 = max - min</w:t>
      </w:r>
    </w:p>
    <w:p w14:paraId="19F76FED">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15、差值特征  ： mean_参考光 -  mean_测量光</w:t>
      </w:r>
    </w:p>
    <w:p w14:paraId="2B262434">
      <w:pPr>
        <w:rPr>
          <w:rFonts w:hint="eastAsia" w:ascii="宋体" w:hAnsi="宋体" w:eastAsia="宋体" w:cs="宋体"/>
          <w:b/>
          <w:bCs/>
          <w:sz w:val="21"/>
          <w:szCs w:val="21"/>
          <w:lang w:val="en-US" w:eastAsia="zh-CN"/>
        </w:rPr>
      </w:pPr>
    </w:p>
    <w:p w14:paraId="3A60FBF0">
      <w:pPr>
        <w:rPr>
          <w:rFonts w:hint="eastAsia" w:ascii="宋体" w:hAnsi="宋体" w:eastAsia="宋体" w:cs="宋体"/>
          <w:sz w:val="21"/>
          <w:szCs w:val="21"/>
          <w:lang w:val="en-US" w:eastAsia="zh-CN"/>
        </w:rPr>
      </w:pPr>
      <w:r>
        <w:rPr>
          <w:rFonts w:hint="eastAsia" w:ascii="宋体" w:hAnsi="宋体" w:eastAsia="宋体" w:cs="宋体"/>
          <w:b/>
          <w:bCs/>
          <w:sz w:val="21"/>
          <w:szCs w:val="21"/>
          <w:lang w:val="en-US" w:eastAsia="zh-CN"/>
        </w:rPr>
        <w:t>16、归一化差值  (mean_ref - mean_me</w:t>
      </w:r>
      <w:r>
        <w:rPr>
          <w:rFonts w:hint="eastAsia" w:ascii="宋体" w:hAnsi="宋体" w:eastAsia="宋体" w:cs="宋体"/>
          <w:sz w:val="21"/>
          <w:szCs w:val="21"/>
          <w:lang w:val="en-US" w:eastAsia="zh-CN"/>
        </w:rPr>
        <w:t>as) / (mean_ref + mean_meas)</w:t>
      </w:r>
    </w:p>
    <w:p w14:paraId="290CFF1E">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17、反射率比值   reflectance_ratio  =  mean_测量光 / mean_参考光</w:t>
      </w:r>
    </w:p>
    <w:p w14:paraId="15693126">
      <w:pPr>
        <w:rPr>
          <w:rFonts w:hint="eastAsia" w:ascii="宋体" w:hAnsi="宋体" w:eastAsia="宋体" w:cs="宋体"/>
          <w:sz w:val="21"/>
          <w:szCs w:val="21"/>
          <w:lang w:val="en-US" w:eastAsia="zh-CN"/>
        </w:rPr>
      </w:pPr>
    </w:p>
    <w:p w14:paraId="1A9A98D9">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18、表面均匀性指数 </w:t>
      </w:r>
    </w:p>
    <w:p w14:paraId="3BF3BF82">
      <w:pPr>
        <w:ind w:firstLine="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surface_uniformity =  1 - (abs(std_参考光 - std_测量光) / (std_参考光 + std_测量光))</w:t>
      </w:r>
    </w:p>
    <w:p w14:paraId="0FD61D22">
      <w:pPr>
        <w:rPr>
          <w:rFonts w:hint="eastAsia" w:ascii="宋体" w:hAnsi="宋体" w:eastAsia="宋体" w:cs="宋体"/>
          <w:sz w:val="21"/>
          <w:szCs w:val="21"/>
          <w:lang w:val="en-US" w:eastAsia="zh-CN"/>
        </w:rPr>
      </w:pPr>
    </w:p>
    <w:p w14:paraId="203BEE57">
      <w:pPr>
        <w:numPr>
          <w:ilvl w:val="0"/>
          <w:numId w:val="3"/>
        </w:num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吸收对比度 absorption_contrast  =  (mean_参考光 - mean_测量光) / mean_参考光</w:t>
      </w:r>
    </w:p>
    <w:p w14:paraId="494E1EF1">
      <w:pPr>
        <w:widowControl w:val="0"/>
        <w:numPr>
          <w:ilvl w:val="0"/>
          <w:numId w:val="0"/>
        </w:numPr>
        <w:jc w:val="both"/>
        <w:rPr>
          <w:rFonts w:hint="eastAsia" w:ascii="宋体" w:hAnsi="宋体" w:eastAsia="宋体" w:cs="宋体"/>
          <w:sz w:val="21"/>
          <w:szCs w:val="21"/>
          <w:lang w:val="en-US" w:eastAsia="zh-CN"/>
        </w:rPr>
      </w:pPr>
    </w:p>
    <w:p w14:paraId="093AF832">
      <w:pPr>
        <w:widowControl w:val="0"/>
        <w:numPr>
          <w:ilvl w:val="0"/>
          <w:numId w:val="0"/>
        </w:numPr>
        <w:jc w:val="both"/>
        <w:rPr>
          <w:rFonts w:hint="eastAsia" w:ascii="宋体" w:hAnsi="宋体" w:eastAsia="宋体" w:cs="宋体"/>
          <w:sz w:val="21"/>
          <w:szCs w:val="21"/>
          <w:lang w:val="en-US" w:eastAsia="zh-CN"/>
        </w:rPr>
      </w:pPr>
    </w:p>
    <w:p w14:paraId="4D969217">
      <w:pPr>
        <w:widowControl w:val="0"/>
        <w:numPr>
          <w:ilvl w:val="0"/>
          <w:numId w:val="0"/>
        </w:numPr>
        <w:jc w:val="both"/>
        <w:rPr>
          <w:rFonts w:hint="eastAsia" w:ascii="宋体" w:hAnsi="宋体" w:eastAsia="宋体" w:cs="宋体"/>
          <w:sz w:val="21"/>
          <w:szCs w:val="21"/>
          <w:lang w:val="en-US" w:eastAsia="zh-CN"/>
        </w:rPr>
      </w:pPr>
    </w:p>
    <w:p w14:paraId="0A0893E6">
      <w:pPr>
        <w:widowControl w:val="0"/>
        <w:numPr>
          <w:ilvl w:val="0"/>
          <w:numId w:val="0"/>
        </w:numPr>
        <w:jc w:val="both"/>
        <w:rPr>
          <w:rFonts w:hint="eastAsia" w:ascii="宋体" w:hAnsi="宋体" w:eastAsia="宋体" w:cs="宋体"/>
          <w:sz w:val="21"/>
          <w:szCs w:val="21"/>
          <w:lang w:val="en-US" w:eastAsia="zh-CN"/>
        </w:rPr>
      </w:pPr>
    </w:p>
    <w:p w14:paraId="55B351AF">
      <w:pPr>
        <w:numPr>
          <w:ilvl w:val="0"/>
          <w:numId w:val="0"/>
        </w:numPr>
      </w:pPr>
      <w:r>
        <w:drawing>
          <wp:inline distT="0" distB="0" distL="114300" distR="114300">
            <wp:extent cx="5273040" cy="2393315"/>
            <wp:effectExtent l="0" t="0" r="381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040" cy="2393315"/>
                    </a:xfrm>
                    <a:prstGeom prst="rect">
                      <a:avLst/>
                    </a:prstGeom>
                    <a:noFill/>
                    <a:ln>
                      <a:noFill/>
                    </a:ln>
                  </pic:spPr>
                </pic:pic>
              </a:graphicData>
            </a:graphic>
          </wp:inline>
        </w:drawing>
      </w:r>
    </w:p>
    <w:p w14:paraId="5A801F5B">
      <w:pPr>
        <w:numPr>
          <w:ilvl w:val="0"/>
          <w:numId w:val="0"/>
        </w:numPr>
      </w:pPr>
      <w:r>
        <w:drawing>
          <wp:inline distT="0" distB="0" distL="114300" distR="114300">
            <wp:extent cx="5269865" cy="2681605"/>
            <wp:effectExtent l="0" t="0" r="698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69865" cy="2681605"/>
                    </a:xfrm>
                    <a:prstGeom prst="rect">
                      <a:avLst/>
                    </a:prstGeom>
                    <a:noFill/>
                    <a:ln>
                      <a:noFill/>
                    </a:ln>
                  </pic:spPr>
                </pic:pic>
              </a:graphicData>
            </a:graphic>
          </wp:inline>
        </w:drawing>
      </w:r>
    </w:p>
    <w:p w14:paraId="659B4DDC">
      <w:pPr>
        <w:numPr>
          <w:ilvl w:val="0"/>
          <w:numId w:val="0"/>
        </w:numPr>
      </w:pPr>
    </w:p>
    <w:p w14:paraId="1540947D">
      <w:pPr>
        <w:numPr>
          <w:ilvl w:val="0"/>
          <w:numId w:val="0"/>
        </w:numPr>
      </w:pPr>
    </w:p>
    <w:p w14:paraId="40BFD722">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bCs/>
          <w:sz w:val="24"/>
          <w:szCs w:val="24"/>
          <w:lang w:val="en-US"/>
        </w:rPr>
      </w:pPr>
      <w:r>
        <w:rPr>
          <w:rFonts w:hint="eastAsia" w:ascii="宋体" w:hAnsi="宋体" w:eastAsia="宋体" w:cs="宋体"/>
          <w:bCs/>
          <w:kern w:val="2"/>
          <w:sz w:val="24"/>
          <w:szCs w:val="24"/>
          <w:lang w:val="en-US" w:eastAsia="zh-CN" w:bidi="ar"/>
        </w:rPr>
        <w:t>第一步：理论研究与文献调研。系统查阅国内外近红外水分检测技术、光路设计领域的文献资料，重点攻关旋转光源动态测量与多个固定波长光源检测核心原理，深入剖析水分对近红外光的响应机理、关键技术瓶颈及现有检测设备的结构应用现状。明确旋转扫描提升信号稳定性的作用机制，搭建课题整体研究框架，为后续核心结构参数优化、波长组合方案设计提供坚实的原理支撑。</w:t>
      </w:r>
    </w:p>
    <w:p w14:paraId="59A8D9A4">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bCs/>
          <w:sz w:val="24"/>
          <w:szCs w:val="24"/>
          <w:lang w:val="en-US"/>
        </w:rPr>
      </w:pPr>
      <w:r>
        <w:rPr>
          <w:rFonts w:hint="eastAsia" w:ascii="宋体" w:hAnsi="宋体" w:eastAsia="宋体" w:cs="宋体"/>
          <w:bCs/>
          <w:kern w:val="2"/>
          <w:sz w:val="24"/>
          <w:szCs w:val="24"/>
          <w:lang w:val="en-US" w:eastAsia="zh-CN" w:bidi="ar"/>
        </w:rPr>
        <w:t>第二步：旋转光源核心结构设计与硬件方案构建。结合文献调研结论与便携式检测的实际应用需求，开展核心结构设计与硬件选型工作。以“经济性+检测均匀性”为核心目标，突破传统光谱仪架构限制，借鉴光路光学匹配原则重点研发旋转光源模块：参考微型电机与灯罩的机械适配标准，确定电机型号、灯罩结构及光源排布方式；针对光信号转化成电信号输出的全物理链路，依据信噪比、带宽、动态范围等关键指标完成核心光电检测元件选型。同步完成电路设计原理方案制定，绘制旋转光源式便携式近红外水分检测仪的详细机械结构图与光路示意图，形成完整的硬件实现方案。</w:t>
      </w:r>
    </w:p>
    <w:p w14:paraId="0F84709C">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bCs/>
          <w:sz w:val="24"/>
          <w:szCs w:val="24"/>
          <w:lang w:val="en-US"/>
        </w:rPr>
      </w:pPr>
      <w:r>
        <w:rPr>
          <w:rFonts w:hint="eastAsia" w:ascii="宋体" w:hAnsi="宋体" w:eastAsia="宋体" w:cs="宋体"/>
          <w:bCs/>
          <w:kern w:val="2"/>
          <w:sz w:val="24"/>
          <w:szCs w:val="24"/>
          <w:lang w:val="en-US" w:eastAsia="zh-CN" w:bidi="ar"/>
        </w:rPr>
        <w:t>第三步：仿真模拟与参数优化。采用COMSOL有限元软件，构建“旋转光源-被测样品-光电检测器”光-电-信号耦合仿真模型，重点模拟不同电机转速、波长组合条件下的光场分布特征。基于仿真模型设计单变量实验，系统验证光源排布间距、灯罩形态、旋转同心度、波长组合等关键参数对检测精度的影响程度，量化分析旋转抖动、波长搭配等因素的作用规律。结合仿真结果总结核心参数优化区间，确定最优转速范围与波长组合方案，为实体样机制作提供精准的数据支撑。</w:t>
      </w:r>
    </w:p>
    <w:p w14:paraId="6281E5F7">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bCs/>
          <w:sz w:val="24"/>
          <w:szCs w:val="24"/>
          <w:lang w:val="en-US"/>
        </w:rPr>
      </w:pPr>
      <w:r>
        <w:rPr>
          <w:rFonts w:hint="eastAsia" w:ascii="宋体" w:hAnsi="宋体" w:eastAsia="宋体" w:cs="宋体"/>
          <w:bCs/>
          <w:kern w:val="2"/>
          <w:sz w:val="24"/>
          <w:szCs w:val="24"/>
          <w:lang w:val="en-US" w:eastAsia="zh-CN" w:bidi="ar"/>
        </w:rPr>
        <w:t>第四步：信号处理、模型构建与实验验证。深入研究旋转光源动态工作状态下的光谱信号预处理方法，重点攻克转速波动、瞬时环境光强不稳定导致的信噪比低、基线漂移、特征失真等关键问题。基于预处理后的光谱数据，构建水分含量预测模型并完成模型训练，系统探究旋转参数（转速、启停稳定性）、环境因素对光谱数据质量与模型预测精度的影响规律。制作优化后样机开展系统性实验验证：以干燥法检测结果为标准，选取谷物样品设置5%-30%梯度水分含量，每组样品平行检测10次验证检测精度与稳定性。</w:t>
      </w:r>
    </w:p>
    <w:p w14:paraId="3DEEC82F">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bCs/>
          <w:sz w:val="24"/>
          <w:szCs w:val="24"/>
          <w:lang w:val="en-US"/>
        </w:rPr>
      </w:pPr>
      <w:r>
        <w:rPr>
          <w:rFonts w:hint="eastAsia" w:ascii="宋体" w:hAnsi="宋体" w:eastAsia="宋体" w:cs="宋体"/>
          <w:bCs/>
          <w:kern w:val="2"/>
          <w:sz w:val="24"/>
          <w:szCs w:val="24"/>
          <w:lang w:val="en-US" w:eastAsia="zh-CN" w:bidi="ar"/>
        </w:rPr>
        <w:t>第五步：根据实验结果修正理论模型与结构参数，完善仿真与实验数据对比分析，最终整理研究成果撰写毕业论文。</w:t>
      </w:r>
    </w:p>
    <w:p w14:paraId="29F69E78">
      <w:pPr>
        <w:numPr>
          <w:ilvl w:val="0"/>
          <w:numId w:val="0"/>
        </w:num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9B3F8C"/>
    <w:multiLevelType w:val="singleLevel"/>
    <w:tmpl w:val="829B3F8C"/>
    <w:lvl w:ilvl="0" w:tentative="0">
      <w:start w:val="19"/>
      <w:numFmt w:val="decimal"/>
      <w:suff w:val="nothing"/>
      <w:lvlText w:val="%1、"/>
      <w:lvlJc w:val="left"/>
    </w:lvl>
  </w:abstractNum>
  <w:abstractNum w:abstractNumId="1">
    <w:nsid w:val="8691AC3E"/>
    <w:multiLevelType w:val="singleLevel"/>
    <w:tmpl w:val="8691AC3E"/>
    <w:lvl w:ilvl="0" w:tentative="0">
      <w:start w:val="1"/>
      <w:numFmt w:val="decimal"/>
      <w:suff w:val="nothing"/>
      <w:lvlText w:val="%1、"/>
      <w:lvlJc w:val="left"/>
    </w:lvl>
  </w:abstractNum>
  <w:abstractNum w:abstractNumId="2">
    <w:nsid w:val="B4466234"/>
    <w:multiLevelType w:val="singleLevel"/>
    <w:tmpl w:val="B4466234"/>
    <w:lvl w:ilvl="0" w:tentative="0">
      <w:start w:val="13"/>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C28DE"/>
    <w:rsid w:val="02A8425B"/>
    <w:rsid w:val="03555CFB"/>
    <w:rsid w:val="092E2FE0"/>
    <w:rsid w:val="0DF26CEB"/>
    <w:rsid w:val="10852BA7"/>
    <w:rsid w:val="11826766"/>
    <w:rsid w:val="14296C02"/>
    <w:rsid w:val="14F05A03"/>
    <w:rsid w:val="192D64AA"/>
    <w:rsid w:val="2AD94591"/>
    <w:rsid w:val="2DFB7085"/>
    <w:rsid w:val="2E4C168F"/>
    <w:rsid w:val="34DA0DE9"/>
    <w:rsid w:val="36D703B6"/>
    <w:rsid w:val="3DCA6697"/>
    <w:rsid w:val="3E774672"/>
    <w:rsid w:val="43C401ED"/>
    <w:rsid w:val="494871CB"/>
    <w:rsid w:val="498C5828"/>
    <w:rsid w:val="4A852FFB"/>
    <w:rsid w:val="505E1082"/>
    <w:rsid w:val="58535244"/>
    <w:rsid w:val="5D582907"/>
    <w:rsid w:val="5E361890"/>
    <w:rsid w:val="5ECA2FFC"/>
    <w:rsid w:val="6D9711A5"/>
    <w:rsid w:val="74DE58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1134</Words>
  <Characters>1399</Characters>
  <Lines>0</Lines>
  <Paragraphs>0</Paragraphs>
  <TotalTime>3</TotalTime>
  <ScaleCrop>false</ScaleCrop>
  <LinksUpToDate>false</LinksUpToDate>
  <CharactersWithSpaces>1469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2025-11-05T06:54:00Z</dcterms:created>
  <dc:creator>Lihu</dc:creator>
  <cp:lastModifiedBy>词穷</cp:lastModifiedBy>
  <dcterms:modified xsi:type="dcterms:W3CDTF">2025-12-23T02:45:20Z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eyJoZGlkIjoiNmQ2NWIzZTA0ZTY4ZDRmZDlhYmE4OGIyMGExZTUwZTUiLCJ1c2VySWQiOiI0NDY1NDYzMTMifQ==</vt:lpwstr>
  </property>
  <property fmtid="{D5CDD505-2E9C-101B-9397-08002B2CF9AE}" pid="4" name="ICV">
    <vt:lpwstr>D87A7217DEC8497D96F3DB09ADCF857C_12</vt:lpwstr>
  </property>
</Properties>
</file>