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Title"/>
        <w:spacing w:line="360" w:lineRule="auto"/>
        <w:jc w:val="center"/>
        <w:rPr>
          <w:rFonts w:hint="eastAsia"/>
          <w:sz w:val="36"/>
        </w:rPr>
        <w:outlineLvl w:val="9"/>
      </w:pPr>
      <w:r>
        <w:rPr>
          <w:rFonts w:ascii="Times New Roman" w:hAnsi="Times New Roman" w:eastAsia="宋体"/>
          <w:sz w:val="36"/>
          <w:color w:val="000000"/>
        </w:rPr>
        <w:t xml:space="preserve">基于FPGA的16通道数据采集系统</w:t>
      </w:r>
    </w:p>
    <w:p w14:paraId="53FC5F33">
      <w:pPr>
        <w:pStyle w:val="R10Heading1"/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  <w:keepNext/>
        <w:outlineLvl w:val="0"/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针对结构振动及相关电压信号的多通道采集需求，本作品设计了基于Zynq的16通道数据采集系统，由模拟前端、双AD7768、可编程逻辑、处理器应用和PC上位机组成。团队自主开展电路、PL、PS及上位机开发，围绕信号调理、数据组织和网络交互建立完整的工程设计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主采集链设置电压与IEPE相关输入选择，采用约4mA恒流激励设计、四阶模拟低通和差分驱动。PL接收双ADC串行数据，通过共同交接与通道映射，将24位转换码组织为32位缓存字，经FIFO和自定义AXI写通路进入DDR；PS采用standalone应用，负责命令控制、半区轮询读取和UDP上传，PC端设置配置、波形及保存等操作入口。按32.768MHz输入配置推导采样率为每通道51.2kSPS；温度测量另设RTD调理和MCU复用支路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作品已形成电路与PCB设计、PL逻辑、PS应用和上位机软件。研制记录展示了信号响应、网络上传与文件保存操作；工程资料包含串行接收、FIFO/AXI和PS处理的数字仿真、程序检查，以及ARM应用编译、PL综合布线和启动镜像打包结果。系统以模块化电路和分层数据通路组织采集、缓存、传输与PC交互，为多通道信号研究提供工程基础。</w:t>
      </w:r>
    </w:p>
    <w:p w14:paraId="3A655E1E">
      <w:pPr>
        <w:pStyle w:val="R10Heading1"/>
        <w:spacing w:line="360" w:lineRule="auto"/>
        <w:rPr>
          <w:rFonts w:ascii="Times New Roman" w:hAnsi="Times New Roman" w:eastAsia="宋体" w:cs="Times New Roman"/>
          <w:b/>
          <w:sz w:val="28"/>
        </w:rPr>
        <w:keepNext/>
        <w:pageBreakBefore w:val="1"/>
        <w:outlineLvl w:val="0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1.1 功能与特性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系统主采集链按16路设计，面向电压信号及IEPE传感器相关信号，包含输入选择、恒流激励、低通调理、差分转换和数据上传。双ADC数据由PL接收并组织为16路数据组，经FIFO与DDR缓存后由PS打包发送。启动、停止和通道属性具有对应控制程序，PC端设置参数配置、波形查看和文件保存等操作入口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研制记录展示了正弦输入、IEPE敲击与摇晃、压力传感器按压，以及保存和导出操作。主采集链采用固定采样配置，独立RTD支路采用复用测量电路。</w:t>
      </w:r>
    </w:p>
    <w:p w14:paraId="5F0789CE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1.2 应用领域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本作品面向矿区及施工扰动条件下的结构振动研究，也可作为机械振动、结构模型和传感器实验中的多通道采集原型。电压输入便于连接信号源和外部调理设备，IEPE相关输入设计面向振动传感器，网络接口便于把采集单元与PC操作端分别布置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压力相关信号可结合相应传感器与调理方式开展联调；独立RTD支路提供温度信息接入的电路基础。模块化的信号调理、采集与网络接口便于围绕不同传感器组织实验。</w:t>
      </w:r>
    </w:p>
    <w:p w14:paraId="0DF29DAD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1.3 主要技术特点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系统采用模拟前端、双ADC与Zynq协同结构：前端将输入选择、恒流激励、四阶低通和差分驱动衔接，PL承担串行接收、双片交接及通道映射，PS承担命令与网络处理，PC负责操作交互。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数据通路保留24位转换码并左对齐为32位字，以4096B块写入DDR双半区。采集字序、缓存块和UDP字节位置具有明确的对应关系，便于接收端按通道组织数据。温度调理与主ADC链分别组织，采用各自的采样及数据处理方式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硬件、电路控制、串行接收、缓存写入和网络交互相互衔接，形成从传感器相关输入到PC操作端的分层工程架构。</w:t>
      </w:r>
    </w:p>
    <w:p w14:paraId="1DB2A7C4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1.4 主要性能指标</w:t>
      </w:r>
    </w:p>
    <w:tbl>
      <w:tblPr>
        <w:tblLayout w:type="fixed"/>
        <w:tblLook w:firstColumn="1" w:firstRow="1" w:lastColumn="0" w:lastRow="0" w:noHBand="0" w:noVBand="1" w:val="04A0"/>
        <w:tblW w:w="8306" w:type="dxa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500"/>
        <w:gridCol w:w="5806"/>
      </w:tblGrid>
      <w:tr>
        <w:trPr>
          <w:cantSplit/>
          <w:tblHeader/>
        </w:trPr>
        <w:tc>
          <w:tcPr>
            <w:tcW w:type="dxa" w:w="25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>指标</w:t>
            </w:r>
          </w:p>
        </w:tc>
        <w:tc>
          <w:tcPr>
            <w:tcW w:type="dxa" w:w="5806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>数值与口径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主采集通道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16路设计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数据格式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24位转换码，32位缓存字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每通道采样率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51.2kSPS，按32.768MHz输入配置推导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输入范围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±10V，设计目标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整机准确度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±1%，设计目标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整机噪声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峰峰值＜200μV，设计目标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IEPE激励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keepNext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约4mA，设计值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模拟低通</w:t>
            </w:r>
          </w:p>
        </w:tc>
        <w:tc>
          <w:tcPr>
            <w:tcW w:type="dxa" w:w="58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>四阶，理想截止约25kHz</w:t>
            </w:r>
          </w:p>
        </w:tc>
      </w:tr>
    </w:tbl>
    <w:p w14:paraId="0C133C0E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1.5 主要创新点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（1）将16路电压/IEPE调理、双ADC与Zynq协同采集集成为统一的自主软硬件工程。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（2）围绕双片数据共同交接、通道映射和FIFO—DDR双半区，组织可逐级核对的数据通路。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（3）协同设计板端控制、网络字节接口和PC交互，主采集与独立温度复用电路分别组织，便于后续标定及功能扩展。</w:t>
      </w:r>
    </w:p>
    <w:p w14:paraId="3041AA9F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1.6 设计流程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技术流程依次包括需求与接口定义、电路和PCB设计、双ADC接收与映射、FIFO/DDR缓存、PS控制与网络、PC交互及系统联调。相应工程资料按模块保存，并配套数字仿真、程序检查、ARM应用编译、PL综合布线和启动镜像打包记录。</w:t>
      </w:r>
    </w:p>
    <w:p w14:paraId="0E73A12C">
      <w:pPr>
        <w:pStyle w:val="R10Heading1"/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pageBreakBefore w:val="1"/>
        <w:outlineLvl w:val="0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57EF1670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2.1 整体介绍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本系统面向结构振动及相关电压信号的多通道采集，主链路按16路设计。输入信号经过恒流激励或电压输入选择、模拟低通和差分驱动，进入两片AD7768；Zynq可编程逻辑侧负责时钟与引脚控制、串行接收、通道映射和缓存，处理器侧负责控制命令与网络上传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本项目由团队自主开发电路、PL、PS与上位机，并采用FPGA基础IP、SDK/BSP、lwIP及PC运行库提供底层支撑。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图2-1给出信号与控制关系。主数据经PL接收模块、FIFO和自定义AXI写通路进入DDR，再由6236A standalone应用读出并上传PC。控制命令沿PC、PS GPIO、PL的方向作用于采集使能和通道属性。PC端使用YE7600，并保留备用Qt程序用于联调。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温度相关电路采用独立支路：三线RTD输入经OPA4171调理、双CD4067复用后接入GD32F103C8T6。该支路与双AD7768主链路分别组织，各自承担温度调理与主信号采集的电路功能。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2792186"/>
            <wp:docPr id="7012" name="Picture 7012" descr="图2-1 主采集数据路径与独立温度调理支路" title="主采集数据路径与独立温度调理支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图2-1 主采集数据路径与独立温度调理支路</w:t>
      </w:r>
    </w:p>
    <w:p w14:paraId="1533B75D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2.2 硬件系统介绍</w:t>
      </w:r>
    </w:p>
    <w:p w14:paraId="7C0E24DA">
      <w:pPr>
        <w:pStyle w:val="R10Heading3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keepNext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2.2.1 硬件整体介绍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控制器选用xc7z020clg400-2，开发环境为Vivado 2018.3。PL接收转换数据，经PS的HP接口写入DDR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[1]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；PS从内存缓冲区读取并通过以太网发送。硬件包括24V输入电源、两组8路模拟调理、双ADC、控制平台及独立温度调理与复用电路，采集板采用6层PCB设计。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ADC_1、ADC_2分别采用U3、U12的AD7768BSTZ，共提供16路差分输入。串行帧为32位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[2]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，逻辑保留其中24位转换码，低位补8个零形成32位缓存字。24位用于描述转换码格式，32位用于描述缓存字宽；工程指标另按设计目标、配置推导和器件标称列示。</w:t>
      </w:r>
    </w:p>
    <w:p w14:paraId="45A8B6A2">
      <w:pPr>
        <w:pStyle w:val="R10Heading3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keepNext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2.2.2 机械设计介绍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系统按采集单元、控制平台和PC操作端组织安装关系，外部连接包括输入信号、供电与网络通信。</w:t>
      </w:r>
    </w:p>
    <w:p w14:paraId="74732D01">
      <w:pPr>
        <w:pStyle w:val="R10Heading3"/>
        <w:spacing w:line="360" w:lineRule="auto"/>
        <w:ind w:firstLine="420"/>
        <w:rPr>
          <w:rFonts w:ascii="Times New Roman" w:hAnsi="Times New Roman" w:eastAsia="宋体" w:cs="Times New Roman"/>
          <w:sz w:val="24"/>
        </w:rPr>
        <w:keepNext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2.2.3 电路各模块介绍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2.2.3.1 电源与基准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电源电路按24V输入组织模拟、数字及接口电源。ADC参考器件为ADR444BRZ，标称4.096V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[3]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，原理图网络名为AVCC+4V，经滤波连接参考输入。图中的网络标签用于识别电源与参考支路。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图2-2按主要电源与参考支路说明连接。DVCC+24V经L84形成AVCC+24V滤波支路；AGND与DGND经0Ω电阻连接。U122采用反相接法形成负电源前级，ADC基准与RTD调理参考分别组织。图中电源名表示设计网络。</w:t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keepNext w:val="1"/>
        <w:outlineLvl w:val="9"/>
      </w:pPr>
      <w:r>
        <w:drawing>
          <wp:inline xmlns:a="http://schemas.openxmlformats.org/drawingml/2006/main" xmlns:pic="http://schemas.openxmlformats.org/drawingml/2006/picture">
            <wp:extent cx="5266944" cy="4476902"/>
            <wp:docPr id="7025" name="Picture 7025" descr="图2-2 主要电源与ADC参考连接" title="主要电源与ADC参考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447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图2-2 主要电源与ADC参考连接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2.2.3.2 恒流激励与输入选择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每通道设置LT3092恒流源及继电器相关选择电路。SET端120kΩ、OUT端300Ω的标称组合对应约4mA的激励设计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[4]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。通道属性由PS GPIO传入PL，组织电压与IEPE相关输入选择。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3246120" cy="2560320"/>
            <wp:docPr id="7013" name="Picture 7013" descr="图2-3 恒流激励电路（研制报告原图）" title="恒流激励电路（研制报告原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Round3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图2-3 恒流激励电路（研制报告原图）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2.2.3.3 四阶模拟低通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每路由两级二阶Sallen-Key电路串联形成四阶低通。以CH1为例，第一级为4.99kΩ、6.81kΩ及1.2nF、1nF，第二级为1.43kΩ、3.4kΩ及8.2nF、1nF。采用标称元件的理想模型，推导总截止频率约25.07kHz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[5]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。该数值对应电路模型的理论计算。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2042059"/>
            <wp:docPr id="7014" name="Picture 7014" descr="图2-4 两级二阶低通电路（研制报告原图）" title="两级二阶低通电路（研制报告原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Round3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4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图2-4 两级二阶低通电路（研制报告原图）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2.2.3.4 单端转差分与ADC接口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滤波输出CHx_OUT进入AD8475差分驱动，采用0.4倍输入端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[6]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；输出网络连接对应AD7768差分输入，共模端接ADC共模网络。图2-5标示从低通输出、差分驱动到ADC输入的连接路径。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2440831"/>
            <wp:docPr id="7015" name="Picture 7015" descr="图2-5 单端转差分电路（研制报告原图）" title="单端转差分电路（研制报告原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Round3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4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图2-5 单端转差分电路（研制报告原图）</w:t>
      </w:r>
    </w:p>
    <w:p>
      <w:pPr>
        <w:pStyle w:val="R10Heading4"/>
        <w:ind w:left="420" w:firstLine="0" w:firstLineChars="0"/>
        <w:spacing w:line="360" w:lineRule="auto" w:before="0" w:after="65"/>
        <w:widowControl w:val="1"/>
        <w:outlineLvl w:val="3"/>
      </w:pPr>
      <w:r>
        <w:rPr>
          <w:rFonts w:ascii="Times New Roman" w:hAnsi="Times New Roman" w:eastAsia="宋体"/>
          <w:b w:val="0"/>
          <w:sz w:val="24"/>
          <w:color w:val="000000"/>
          <w:b/>
        </w:rPr>
        <w:t xml:space="preserve">2.2.3.5 双ADC与控制平台连接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2-6给出双ADC与PL的接口方向。各片DOUT[7:0]、DCLK、DRDY经33Ω排阻进入核心板接口，MCLK及配置、复位、SYNC_IN控制分别连接。U3的AIN0至AIN7依次接CH7、CH4、CH3、CH8、CH2、CH6、CH5、CH1；U12依次接CH15、CH11、CH16、CH12、CH14、CH9、CH10、CH13，各通道均为差分连接。</w:t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keepNext w:val="1"/>
        <w:outlineLvl w:val="9"/>
      </w:pPr>
      <w:r>
        <w:drawing>
          <wp:inline xmlns:a="http://schemas.openxmlformats.org/drawingml/2006/main" xmlns:pic="http://schemas.openxmlformats.org/drawingml/2006/picture">
            <wp:extent cx="5266944" cy="3229138"/>
            <wp:docPr id="7026" name="Picture 7026" descr="图2-6 双AD7768与PL信号连接" title="双AD7768与PL信号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_interfa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22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图2-6 双AD7768与PL信号连接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2.2.3.6 温度调理与复用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16组三线RTD接口经OPA4171调理，进入两只CD4067的Y0至Y7，再由公共端接GD32F103C8T6的PA1、PA2。MCU连接复用选择和使能控制，设计参考器件为REF3030；温度调理电路采用分组复用测量结构。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图2-7中，两只CD4067共享选择和使能控制，各用Y0至Y7形成8路复用组。REF2V5用于RTD模拟调理，REF3030输出接MCU的VDDA，与主ADC的4.096V参考分别组织。图中按调理、复用和MCU输入顺序说明电路连接。</w:t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keepNext w:val="1"/>
        <w:outlineLvl w:val="9"/>
      </w:pPr>
      <w:r>
        <w:drawing>
          <wp:inline xmlns:a="http://schemas.openxmlformats.org/drawingml/2006/main" xmlns:pic="http://schemas.openxmlformats.org/drawingml/2006/picture">
            <wp:extent cx="5266944" cy="3452774"/>
            <wp:docPr id="7027" name="Picture 7027" descr="图2-7 独立RTD调理与复用测量连接（据已核原理图绘制）" title="独立RTD调理与复用测量连接（据已核原理图绘制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d_interfa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图2-7 独立RTD调理与复用测量连接（据已核原理图绘制）</w:t>
      </w:r>
    </w:p>
    <w:p w14:paraId="6BBED4CC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2.3 软件系统介绍</w:t>
      </w:r>
    </w:p>
    <w:p w14:paraId="12F68CF3">
      <w:pPr>
        <w:pStyle w:val="R10Heading3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  <w:keepNext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2.3.1 软件整体介绍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软件分为PL逻辑、PS应用和PC软件。PL采用Verilog描述双ADC接收、交接与映射、FIFO及AXI写控制；PS为Xilinx SDK 2018.3中的6236A应用，以standalone 6.8 BSP和lwIP网络栈组织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[7]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。图2-9至图2-11分别说明ADC接收、缓存写入和PS轮询上传的功能关系。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PC端以YE7600 5.6.0.69为主程序，配套daqConfig配置工具，并保留备用Qt/C++采集程序。YE7600使用LabVIEW运行环境，daqConfig采用Qt。图2-8为研制阶段保留的上位机操作界面，展示波形、通道选择、连接和采集控件。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PC接收接口的功能设计按网络接收、应用头与样本解析、通道组织、物理量换算、显示、保存和分析划分环节。包布局采用6236A发送代码定义；字槽、通道索引与单位设置作为接收侧接口设计要素。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2801697"/>
            <wp:docPr id="7016" name="Picture 7016" descr="图2-8 上位机操作界面" title="上位机操作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Round3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1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图2-8 上位机操作界面</w:t>
      </w:r>
    </w:p>
    <w:p w14:paraId="178A0871">
      <w:pPr>
        <w:pStyle w:val="R10Heading3"/>
        <w:spacing w:line="360" w:lineRule="auto"/>
        <w:ind w:firstLine="420"/>
        <w:rPr>
          <w:rFonts w:ascii="Times New Roman" w:hAnsi="Times New Roman" w:eastAsia="宋体" w:cs="Times New Roman"/>
          <w:sz w:val="24"/>
        </w:rPr>
        <w:keepNext/>
        <w:pageBreakBefore w:val="1"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2.3.2 软件各模块介绍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>表2-1 关键模块输入与输出</w:t>
      </w:r>
    </w:p>
    <w:tbl>
      <w:tblPr>
        <w:tblLayout w:type="fixed"/>
        <w:tblLook w:firstColumn="1" w:firstRow="1" w:lastColumn="0" w:lastRow="0" w:noHBand="0" w:noVBand="1" w:val="04A0"/>
        <w:tblW w:w="8306" w:type="dxa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00"/>
        <w:gridCol w:w="2900"/>
        <w:gridCol w:w="3606"/>
      </w:tblGrid>
      <w:tr>
        <w:trPr>
          <w:cantSplit/>
          <w:tblHeader/>
        </w:trPr>
        <w:tc>
          <w:tcPr>
            <w:tcW w:type="dxa" w:w="18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模块</w:t>
            </w:r>
          </w:p>
        </w:tc>
        <w:tc>
          <w:tcPr>
            <w:tcW w:type="dxa" w:w="29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关键输入</w:t>
            </w:r>
          </w:p>
        </w:tc>
        <w:tc>
          <w:tcPr>
            <w:tcW w:type="dxa" w:w="3606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关键输出或动作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ADC接收</w:t>
            </w:r>
          </w:p>
        </w:tc>
        <w:tc>
          <w:tcPr>
            <w:tcW w:type="dxa" w:w="29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en、DRDY、DCLK、dout[7:0]</w:t>
            </w:r>
          </w:p>
        </w:tc>
        <w:tc>
          <w:tcPr>
            <w:tcW w:type="dxa" w:w="36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固定引脚配置；8个左对齐字、rts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双片交接</w:t>
            </w:r>
          </w:p>
        </w:tc>
        <w:tc>
          <w:tcPr>
            <w:tcW w:type="dxa" w:w="29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两片rts及16个采集字</w:t>
            </w:r>
          </w:p>
        </w:tc>
        <w:tc>
          <w:tcPr>
            <w:tcW w:type="dxa" w:w="36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锁存与共同ack；通道映射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FIFO与FDMA</w:t>
            </w:r>
          </w:p>
        </w:tc>
        <w:tc>
          <w:tcPr>
            <w:tcW w:type="dxa" w:w="29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写字、prog_full、AXI握手</w:t>
            </w:r>
          </w:p>
        </w:tc>
        <w:tc>
          <w:tcPr>
            <w:tcW w:type="dxa" w:w="36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4096B请求；DDR地址与边界通知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6236A主循环</w:t>
            </w:r>
          </w:p>
        </w:tc>
        <w:tc>
          <w:tcPr>
            <w:tcW w:type="dxa" w:w="29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GPIO13、intr_flag、DDR</w:t>
            </w:r>
          </w:p>
        </w:tc>
        <w:tc>
          <w:tcPr>
            <w:tcW w:type="dxa" w:w="36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交替读取半区；逐字节打包发送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命令回调</w:t>
            </w:r>
          </w:p>
        </w:tc>
        <w:tc>
          <w:tcPr>
            <w:tcW w:type="dxa" w:w="29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UDP命令及属性参数</w:t>
            </w:r>
          </w:p>
        </w:tc>
        <w:tc>
          <w:tcPr>
            <w:tcW w:type="dxa" w:w="36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采集使能、16路属性、命令应答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PC处理</w:t>
            </w:r>
          </w:p>
        </w:tc>
        <w:tc>
          <w:tcPr>
            <w:tcW w:type="dxa" w:w="29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载荷、通道、单位及文件设置</w:t>
            </w:r>
          </w:p>
        </w:tc>
        <w:tc>
          <w:tcPr>
            <w:tcW w:type="dxa" w:w="36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波形交互、数据组织及保存操作入口</w:t>
            </w:r>
          </w:p>
        </w:tc>
      </w:tr>
    </w:tbl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2.3.2.1 ADC接收与引脚配置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2-9展开单片接收与双片交接。en有效后，单片状态机依次执行复位、释放、固定配置和SYNC_IN控制，随后等待DRDY下降沿。DRDY、DCLK进入PL时经寄存器采样与边沿检测；读取32个DCLK下降沿对应的8路串行帧，取低24位并补零，在交接时提出rts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引脚配置为FILTER=0、MODE=1010、DEC=01。按32.768MHz输入及PLL50倍频、125分频计算，MCLK为13.1072MHz；fast模式和64倍抽取时ODR=MCLK/256，即51.2kSPS/通道；DCLK=MCLK/4，即3.2768MHz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[2]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。这些数值为该时钟输入条件下的配置推导。接收状态机按复位、配置、同步控制和串行读取组织流程，RESET状态设置为64个100MHz PL周期。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3412671"/>
            <wp:docPr id="7017" name="Picture 7017" descr="图2-9 双ADC串行接收与数据交接流程" title="双ADC串行接收与数据交接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图2-9 双ADC串行接收与数据交接流程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2.3.2.2 双片交接通道映射与FIFO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rx_board_data等待两片rts均有效后锁存16路数据，发出共同ack，并等待两片撤销请求。采集字通过保持寄存器和请求应答交接，组织为供后级缓存使用的16路数据组。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逻辑通道映射与原理图AIN连接相对应。FIFO写入次序为CH2至CH16、最后CH1；PS保持DDR字序；按逻辑定义，组内第16个字对应CH1，第1至15个字对应CH2至CH16。FIFO配置为32位×4096字、标准读模式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[8]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，prog_full阈值为1024字；逻辑结合FIFO状态、读写计数和16字空间预留组织数据交接。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FIFO读取与AXI发送分为读请求、数据锁存和发送三个阶段。标准FIFO的输出由保持寄存器承接，再由AXI发送状态控制数据字、有效信号与接收握手，使缓存读取和总线发送具有清楚的时序边界。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2.3.2.3 自定义AXI写通路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图2-10说明FIFO至DDR的块写入过程。阈值触发1024字、即4096B写请求，32位AXI总线按4个256拍突发组织。每个突发通过WLAST标识末拍，4096B请求按四个突发的成功写响应组织提交，块地址随请求提交推进。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AXI发送状态在背压期间保持WVALID、WDATA及WLAST，逐突发等待B响应，并以BID匹配、BRESP为OKAY作为推进条件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[9]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。数据握手、响应确认和请求提交分别定义，使AXI传输与DDR块地址管理相互衔接。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2202724"/>
            <wp:docPr id="7018" name="Picture 7018" descr="图2-10 FIFO至DDR的分块写入与半区通知" title="FIFO至DDR的分块写入与半区通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0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图2-10 FIFO至DDR的分块写入与半区通知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2.3.2.4 DDR双半区与PS轮询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主缓冲区为0x30000000至0x3031FFFF，分成两个各1,638,400B的半区，后半区起点为0x30190000。每组16路×4B为64B，每块含64组，每半区含400块、25,600组。若实际ODR为51.2kSPS，则半区容量对应0.5s、整区对应1s。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图2-11给出6236A主循环。PS处理网络输入后轮询GPIO13，按intr_flag交替选择半区；读取前调用Xil_DCacheFlushRange，BSP实现执行缓存行清理与失效</w:t>
      </w:r>
      <w:r>
        <w:rPr>
          <w:rFonts w:ascii="Times New Roman" w:hAnsi="Times New Roman" w:eastAsia="宋体"/>
          <w:b w:val="0"/>
          <w:sz w:val="24"/>
          <w:color w:val="000000"/>
          <w:vertAlign w:val="superscript"/>
        </w:rPr>
        <w:t xml:space="preserve">[7]</w:t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。运行状态与通知电平共同控制半区处理，每半区按3200包组织上传，完成后回到网络输入处理。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3878036"/>
            <wp:docPr id="7019" name="Picture 7019" descr="图2-11 6236A命令处理与半区数据上传流程" title="6236A命令处理与半区数据上传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图2-11 6236A命令处理与半区数据上传流程</w:t>
      </w:r>
    </w:p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2.3.2.5 UDP字节布局与接收接口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2-12和表2-2采用载荷0基下标。每包0至10为应用头，之后8个128B组各包含64B从DDR复制的数据字和64B非采样字区域；首组复制区为11至74，末组为907至970。复制区合计512B，非采样字区域合计512B，总载荷为1035B，两类区域按组交错组织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设组号g为0至7、组内字槽j为0至15，字首偏移为11+128g+4j；每字4B按低字节在前发送。按PL输出格式，每字为24位转换码左对齐、低8位补零。每包从DDR复制8组、每组16字，该字槽定义和码字格式用于接收接口设计。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按51.2kSPS配置推导值、16路及每路4B缓存字计算，数据字流预算为51,200×16×4=3.2768MB/s；按每包8组计算为6400包/s，UDP应用载荷预算为6400×1035=6.624MB/s，MB按十进制计。该理论预算包含应用头及非采样字区域，链路层开销另计。</w:t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keepNext w:val="1"/>
        <w:outlineLvl w:val="9"/>
      </w:pPr>
      <w:r>
        <w:drawing>
          <wp:inline xmlns:a="http://schemas.openxmlformats.org/drawingml/2006/main" xmlns:pic="http://schemas.openxmlformats.org/drawingml/2006/picture">
            <wp:extent cx="5266944" cy="2194560"/>
            <wp:docPr id="7028" name="Picture 7028" descr="图2-12 UDP应用载荷分组与字节偏移" title="UDP应用载荷分组与字节偏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图2-12 UDP应用载荷分组与字节偏移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>表2-2 当前UDP载荷字节布局</w:t>
      </w:r>
    </w:p>
    <w:tbl>
      <w:tblPr>
        <w:tblLayout w:type="fixed"/>
        <w:tblLook w:firstColumn="1" w:firstRow="1" w:lastColumn="0" w:lastRow="0" w:noHBand="0" w:noVBand="1" w:val="04A0"/>
        <w:tblW w:w="8306" w:type="dxa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50"/>
        <w:gridCol w:w="1100"/>
        <w:gridCol w:w="4856"/>
      </w:tblGrid>
      <w:tr>
        <w:trPr>
          <w:cantSplit/>
          <w:tblHeader/>
        </w:trPr>
        <w:tc>
          <w:tcPr>
            <w:tcW w:type="dxa" w:w="235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载荷0基偏移</w:t>
            </w:r>
          </w:p>
        </w:tc>
        <w:tc>
          <w:tcPr>
            <w:tcW w:type="dxa" w:w="11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长度</w:t>
            </w:r>
          </w:p>
        </w:tc>
        <w:tc>
          <w:tcPr>
            <w:tcW w:type="dxa" w:w="4856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发送布局</w:t>
            </w:r>
          </w:p>
        </w:tc>
      </w:tr>
      <w:tr>
        <w:trPr>
          <w:cantSplit/>
        </w:trPr>
        <w:tc>
          <w:tcPr>
            <w:tcW w:type="dxa" w:w="235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0—7</w:t>
            </w:r>
          </w:p>
        </w:tc>
        <w:tc>
          <w:tcPr>
            <w:tcW w:type="dxa" w:w="11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8B</w:t>
            </w:r>
          </w:p>
        </w:tc>
        <w:tc>
          <w:tcPr>
            <w:tcW w:type="dxa" w:w="485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固定前缀40 00 05 04 00 00 FF 00</w:t>
            </w:r>
          </w:p>
        </w:tc>
      </w:tr>
      <w:tr>
        <w:trPr>
          <w:cantSplit/>
        </w:trPr>
        <w:tc>
          <w:tcPr>
            <w:tcW w:type="dxa" w:w="235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8；9—10</w:t>
            </w:r>
          </w:p>
        </w:tc>
        <w:tc>
          <w:tcPr>
            <w:tcW w:type="dxa" w:w="11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1B；2B</w:t>
            </w:r>
          </w:p>
        </w:tc>
        <w:tc>
          <w:tcPr>
            <w:tcW w:type="dxa" w:w="485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软件批计数；包计数低字节、高字节</w:t>
            </w:r>
          </w:p>
        </w:tc>
      </w:tr>
      <w:tr>
        <w:trPr>
          <w:cantSplit/>
        </w:trPr>
        <w:tc>
          <w:tcPr>
            <w:tcW w:type="dxa" w:w="235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11+128g 至74+128g</w:t>
            </w:r>
          </w:p>
        </w:tc>
        <w:tc>
          <w:tcPr>
            <w:tcW w:type="dxa" w:w="11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8×64B</w:t>
            </w:r>
          </w:p>
        </w:tc>
        <w:tc>
          <w:tcPr>
            <w:tcW w:type="dxa" w:w="485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g=0…7，每组16个32位DDR复制字</w:t>
            </w:r>
          </w:p>
        </w:tc>
      </w:tr>
      <w:tr>
        <w:trPr>
          <w:cantSplit/>
        </w:trPr>
        <w:tc>
          <w:tcPr>
            <w:tcW w:type="dxa" w:w="235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75+128g 至138+128g</w:t>
            </w:r>
          </w:p>
        </w:tc>
        <w:tc>
          <w:tcPr>
            <w:tcW w:type="dxa" w:w="11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8×64B</w:t>
            </w:r>
          </w:p>
        </w:tc>
        <w:tc>
          <w:tcPr>
            <w:tcW w:type="dxa" w:w="485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按组交错的非采样字区域</w:t>
            </w:r>
          </w:p>
        </w:tc>
      </w:tr>
      <w:tr>
        <w:trPr>
          <w:cantSplit/>
        </w:trPr>
        <w:tc>
          <w:tcPr>
            <w:tcW w:type="dxa" w:w="235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0—1034</w:t>
            </w:r>
          </w:p>
        </w:tc>
        <w:tc>
          <w:tcPr>
            <w:tcW w:type="dxa" w:w="11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1035B</w:t>
            </w:r>
          </w:p>
        </w:tc>
        <w:tc>
          <w:tcPr>
            <w:tcW w:type="dxa" w:w="485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11B应用头、512B复制字、512B非采样字区域</w:t>
            </w:r>
          </w:p>
        </w:tc>
      </w:tr>
    </w:tbl>
    <w:p>
      <w:pPr>
        <w:pStyle w:val="R10Heading4"/>
        <w:ind w:left="420" w:firstLine="0" w:firstLineChars="0"/>
        <w:spacing w:line="360" w:lineRule="auto" w:before="80" w:after="65"/>
        <w:widowControl w:val="1"/>
        <w:keepNext w:val="1"/>
        <w:outlineLvl w:val="3"/>
      </w:pPr>
      <w:r>
        <w:rPr>
          <w:rFonts w:ascii="Times New Roman" w:hAnsi="Times New Roman" w:eastAsia="宋体"/>
          <w:b/>
          <w:sz w:val="24"/>
          <w:color w:val="000000"/>
        </w:rPr>
        <w:t xml:space="preserve">2.3.2.6 命令执行与PC功能组织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0x01和0x00经GPIO74控制启动、停止，0x0A控制16路属性。命令回调按接收长度和数据段组织参数读取，并以运行状态管理启动操作；重新启动时，PS从A半区组织读取。PL按已发起写请求的提交状态协调FIFO及地址复位，本版本采用固定采样配置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PC接口设计围绕采样字槽、通道索引、24位码值、前端与传感器单位以及文件组织建立功能划分。显示抽点、时间轴和频谱参数属于上位机的数据呈现与分析设计内容。</w:t>
      </w:r>
    </w:p>
    <w:p w14:paraId="387534FB">
      <w:pPr>
        <w:pStyle w:val="R10Heading1"/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outlineLvl w:val="0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1F3AC097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ascii="Times New Roman" w:hAnsi="Times New Roman" w:eastAsia="宋体"/>
          <w:sz w:val="24"/>
          <w:color w:val="000000"/>
        </w:rPr>
        <w:t xml:space="preserve">3.1 整体介绍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本作品已形成16路主采集通路的电路与PCB设计，以及双AD7768接收、FIFO与DDR写入、PS控制和UDP上传程序。板端采集应用为6236A standalone；PC端包括YE7600主程序和备用Qt上位机。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研制记录包含正弦输入、IEPE传感器敲击与摇晃、压力传感器按压、网络上传及文件保存操作。工程成果按电路与PCB、板端程序、上位机交互、数字验证及构建交付分类展示。</w:t>
      </w:r>
    </w:p>
    <w:p w14:paraId="5C615A5E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ascii="Times New Roman" w:hAnsi="Times New Roman" w:eastAsia="宋体"/>
          <w:sz w:val="24"/>
          <w:color w:val="000000"/>
        </w:rPr>
        <w:t xml:space="preserve">3.2 工程成果</w:t>
      </w:r>
    </w:p>
    <w:p w14:paraId="1DD49E2B">
      <w:pPr>
        <w:pStyle w:val="R10Heading3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  <w:keepNext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3.2.1 机械成果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系统安装关系与功能模块相对应，由采集板、控制平台以及外部供电、信号和通信连接构成。</w:t>
      </w:r>
    </w:p>
    <w:p w14:paraId="00C49F2F">
      <w:pPr>
        <w:pStyle w:val="R10Heading3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  <w:keepNext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3.2.2 电路成果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>已形成的电路与PCB交付物覆盖24V输入电源、16路激励与输入选择、四阶低通、AD8475差分驱动、双AD7768转换，以及独立RTD调理和MCU复用支路。主ADC方案在原理图、PCB器件对象与BOM中可相互对应。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电路资料按主要功能模块组织，形成原理图、PCB对象、器件清单和网络连接的对应关系，便于从输入调理追踪至转换、控制和通信接口。</w:t>
      </w:r>
    </w:p>
    <w:p w14:paraId="121B6D19">
      <w:pPr>
        <w:pStyle w:val="R10Heading3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  <w:keepNext/>
        <w:outlineLvl w:val="2"/>
      </w:pPr>
      <w:r>
        <w:rPr>
          <w:rFonts w:ascii="Times New Roman" w:hAnsi="Times New Roman" w:eastAsia="宋体"/>
          <w:sz w:val="24"/>
          <w:color w:val="000000"/>
          <w:b/>
        </w:rPr>
        <w:t xml:space="preserve">3.2.3 软件成果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L和PS交付物已形成从双ADC接收到UDP上传的程序路径。工程资料包含串行接收与通道映射逻辑、FIFO/AXI写通路、6236A应用、ARM链接结果、PL布线结果、硬件交接文件及启动镜像，各类文件配套保存版本与内容核对记录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PC软件成果包括YE7600 5.6.0.69、daqConfig配置工具及备用Qt程序。操作界面见图2-8，研制阶段传感器响应界面见图3-2、图3-3，配套材料记录了波形显示、保存与导出操作。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>表3-1 软件与启动交付物</w:t>
      </w:r>
    </w:p>
    <w:tbl>
      <w:tblPr>
        <w:tblLayout w:type="fixed"/>
        <w:tblLook w:firstColumn="1" w:firstRow="1" w:lastColumn="0" w:lastRow="0" w:noHBand="0" w:noVBand="1" w:val="04A0"/>
        <w:tblW w:w="8306" w:type="dxa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00"/>
        <w:gridCol w:w="3400"/>
        <w:gridCol w:w="3106"/>
      </w:tblGrid>
      <w:tr>
        <w:trPr>
          <w:cantSplit/>
          <w:tblHeader/>
        </w:trPr>
        <w:tc>
          <w:tcPr>
            <w:tcW w:type="dxa" w:w="18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交付物</w:t>
            </w:r>
          </w:p>
        </w:tc>
        <w:tc>
          <w:tcPr>
            <w:tcW w:type="dxa" w:w="34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工程内容</w:t>
            </w:r>
          </w:p>
        </w:tc>
        <w:tc>
          <w:tcPr>
            <w:tcW w:type="dxa" w:w="3106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资料形式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PL逻辑与PS应用</w:t>
            </w:r>
          </w:p>
        </w:tc>
        <w:tc>
          <w:tcPr>
            <w:tcW w:type="dxa" w:w="34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双ADC接收、映射、FIFO/DDR和UDP路径</w:t>
            </w:r>
          </w:p>
        </w:tc>
        <w:tc>
          <w:tcPr>
            <w:tcW w:type="dxa" w:w="31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Verilog、C源码及构建文件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YE7600 5.6.0.69</w:t>
            </w:r>
          </w:p>
        </w:tc>
        <w:tc>
          <w:tcPr>
            <w:tcW w:type="dxa" w:w="34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主上位机及daqConfig配置工具</w:t>
            </w:r>
          </w:p>
        </w:tc>
        <w:tc>
          <w:tcPr>
            <w:tcW w:type="dxa" w:w="31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发布包、配置及研制阶段操作资料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备用Qt程序</w:t>
            </w:r>
          </w:p>
        </w:tc>
        <w:tc>
          <w:tcPr>
            <w:tcW w:type="dxa" w:w="34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采集操作与数据交互程序</w:t>
            </w:r>
          </w:p>
        </w:tc>
        <w:tc>
          <w:tcPr>
            <w:tcW w:type="dxa" w:w="31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Qt/C++发布包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启动镜像</w:t>
            </w:r>
          </w:p>
        </w:tc>
        <w:tc>
          <w:tcPr>
            <w:tcW w:type="dxa" w:w="34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FSBL、PL配置及应用组合</w:t>
            </w:r>
          </w:p>
        </w:tc>
        <w:tc>
          <w:tcPr>
            <w:tcW w:type="dxa" w:w="31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bit、HDF、ELF、BOOT及内容核对记录</w:t>
            </w:r>
          </w:p>
        </w:tc>
      </w:tr>
    </w:tbl>
    <w:p w14:paraId="2C2E7CEF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ascii="Times New Roman" w:hAnsi="Times New Roman" w:eastAsia="宋体"/>
          <w:sz w:val="24"/>
          <w:color w:val="000000"/>
        </w:rPr>
        <w:t xml:space="preserve">3.3 特性成果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图3-1至图3-4为研制阶段保留的联调记录，量纲、游标和界面信息沿用原图。表3-2汇总主要功能与研制资料，表3-3按设计目标、配置推导和器件标称说明指标。</w:t>
      </w:r>
    </w:p>
    <w:p>
      <w:pPr>
        <w:pStyle w:val="R10Heading3"/>
        <w:ind w:left="420" w:firstLine="0" w:firstLineChars="0"/>
        <w:spacing w:line="360" w:lineRule="auto" w:before="80" w:after="65"/>
        <w:widowControl w:val="1"/>
        <w:keepNext w:val="1"/>
        <w:outlineLvl w:val="2"/>
      </w:pPr>
      <w:r>
        <w:rPr>
          <w:rFonts w:ascii="Times New Roman" w:hAnsi="Times New Roman" w:eastAsia="宋体"/>
          <w:b/>
          <w:sz w:val="24"/>
          <w:color w:val="000000"/>
        </w:rPr>
        <w:t xml:space="preserve">3.3.1 正弦与传感器响应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研制报告5.1记录名义1、5、10、15、20kHz正弦输入，标注采样条件为51.2kHz，并展示NI采集卡与本板的分析界面。图3-1取自本板名义1kHz输入的研制阶段记录，呈现相应时域曲线和频域分析界面。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图中的坐标量纲、游标和软件设置按研制记录保留，用于展示该次输入条件下的软件观察界面。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2859217"/>
            <wp:docPr id="7021" name="Picture 7021" descr="图3-1 名义1kHz输入的研制阶段分析界面" title="名义1kHz输入的研制阶段分析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5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图3-1 名义1kHz输入的研制阶段分析界面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研制报告5.3记录IEPE传感器的敲击、摇晃以及压力传感器的手动按压。图3-2展示报告所述YE7600中的两次敲击响应，图3-3展示与手动按压操作关联的曲线，反映传感器相关信号的接入、联调与显示过程。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1905756"/>
            <wp:docPr id="7022" name="Picture 7022" descr="图3-2 IEPE传感器敲击响应界面" title="IEPE传感器敲击响应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0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图3-2 IEPE传感器敲击响应界面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1897542"/>
            <wp:docPr id="7023" name="Picture 7023" descr="图3-3 压力传感器按压响应界面" title="压力传感器按压响应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9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图3-3 压力传感器按压响应界面</w:t>
      </w:r>
    </w:p>
    <w:p>
      <w:pPr>
        <w:pStyle w:val="R10Heading3"/>
        <w:ind w:left="420" w:firstLine="0" w:firstLineChars="0"/>
        <w:spacing w:line="360" w:lineRule="auto" w:before="80" w:after="65"/>
        <w:widowControl w:val="1"/>
        <w:keepNext w:val="1"/>
        <w:outlineLvl w:val="2"/>
      </w:pPr>
      <w:r>
        <w:rPr>
          <w:rFonts w:ascii="Times New Roman" w:hAnsi="Times New Roman" w:eastAsia="宋体"/>
          <w:b/>
          <w:sz w:val="24"/>
          <w:color w:val="000000"/>
        </w:rPr>
        <w:t xml:space="preserve">3.3.2 网络上传与保存交互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图3-4为研制阶段UDP上传记录，源地址为192.168.100.10，目的地址为192.168.100.100。图中应用载荷Len=1035、帧长度1077，载荷长度与发送代码中的1035B配置相对应。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研制资料包含TDMS保存、CSV导出及连续/间隔保存的操作界面。PC端以波形显示、采集控制、文件存储及分析入口组织交互，使网络数据与文件操作在同一软件界面呈现。</w:t>
      </w:r>
    </w:p>
    <w:p>
      <w:pPr>
        <w:pStyle w:val="12"/>
        <w:widowControl w:val="1"/>
        <w:jc w:val="center"/>
        <w:ind w:left="0" w:firstLine="0" w:firstLineChars="0" w:leftChars="0" w:right="0"/>
        <w:keepNext/>
        <w:spacing w:line="240" w:lineRule="auto" w:after="20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12080" cy="1503599"/>
            <wp:docPr id="7024" name="Picture 7024" descr="图3-4 研制阶段UDP上传记录" title="研制阶段UDP上传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0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widowControl w:val="1"/>
        <w:jc w:val="center"/>
        <w:ind w:left="0" w:firstLine="0" w:firstLineChars="0" w:leftChars="0" w:right="0"/>
        <w:spacing w:line="270" w:lineRule="auto" w:before="0" w:after="100"/>
        <w:outlineLvl w:val="9"/>
      </w:pPr>
      <w:r>
        <w:rPr>
          <w:rFonts w:ascii="Times New Roman" w:hAnsi="Times New Roman" w:eastAsia="宋体"/>
          <w:b w:val="0"/>
          <w:sz w:val="21"/>
          <w:color w:val="000000"/>
        </w:rPr>
        <w:t xml:space="preserve">图3-4 研制阶段UDP上传记录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 xml:space="preserve">表3-2 主要功能与研制记录</w:t>
      </w:r>
    </w:p>
    <w:tbl>
      <w:tblPr>
        <w:tblLayout w:type="fixed"/>
        <w:tblLook w:firstColumn="1" w:firstRow="1" w:lastColumn="0" w:lastRow="0" w:noHBand="0" w:noVBand="1" w:val="04A0"/>
        <w:tblW w:w="8306" w:type="dxa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500"/>
        <w:gridCol w:w="3300"/>
        <w:gridCol w:w="3506"/>
      </w:tblGrid>
      <w:tr>
        <w:trPr>
          <w:cantSplit/>
          <w:tblHeader/>
        </w:trPr>
        <w:tc>
          <w:tcPr>
            <w:tcW w:type="dxa" w:w="15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功能</w:t>
            </w:r>
          </w:p>
        </w:tc>
        <w:tc>
          <w:tcPr>
            <w:tcW w:type="dxa" w:w="33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工程组织</w:t>
            </w:r>
          </w:p>
        </w:tc>
        <w:tc>
          <w:tcPr>
            <w:tcW w:type="dxa" w:w="3506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已有资料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主采集与上传</w:t>
            </w:r>
          </w:p>
        </w:tc>
        <w:tc>
          <w:tcPr>
            <w:tcW w:type="dxa" w:w="33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双ADC、FIFO、DDR和UDP分层处理</w:t>
            </w:r>
          </w:p>
        </w:tc>
        <w:tc>
          <w:tcPr>
            <w:tcW w:type="dxa" w:w="35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原理图、板端代码及信号响应界面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启停及通道属性</w:t>
            </w:r>
          </w:p>
        </w:tc>
        <w:tc>
          <w:tcPr>
            <w:tcW w:type="dxa" w:w="33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GPIO控制与PS命令回调</w:t>
            </w:r>
          </w:p>
        </w:tc>
        <w:tc>
          <w:tcPr>
            <w:tcW w:type="dxa" w:w="35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程序实现、主机程序检查及研制操作记录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IEPE与压力信号</w:t>
            </w:r>
          </w:p>
        </w:tc>
        <w:tc>
          <w:tcPr>
            <w:tcW w:type="dxa" w:w="33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输入选择、传感器接入和PC曲线显示</w:t>
            </w:r>
          </w:p>
        </w:tc>
        <w:tc>
          <w:tcPr>
            <w:tcW w:type="dxa" w:w="35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敲击、摇晃与按压响应界面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采样配置</w:t>
            </w:r>
          </w:p>
        </w:tc>
        <w:tc>
          <w:tcPr>
            <w:tcW w:type="dxa" w:w="33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固定引脚配置与PLL时钟组织</w:t>
            </w:r>
          </w:p>
        </w:tc>
        <w:tc>
          <w:tcPr>
            <w:tcW w:type="dxa" w:w="35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FILTER、MODE、DEC及倍分频参数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保存与导出</w:t>
            </w:r>
          </w:p>
        </w:tc>
        <w:tc>
          <w:tcPr>
            <w:tcW w:type="dxa" w:w="33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PC文件存储与数据导出交互</w:t>
            </w:r>
          </w:p>
        </w:tc>
        <w:tc>
          <w:tcPr>
            <w:tcW w:type="dxa" w:w="35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TDMS保存、CSV导出操作资料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频域分析交互</w:t>
            </w:r>
          </w:p>
        </w:tc>
        <w:tc>
          <w:tcPr>
            <w:tcW w:type="dxa" w:w="33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PC分析入口与频谱界面</w:t>
            </w:r>
          </w:p>
        </w:tc>
        <w:tc>
          <w:tcPr>
            <w:tcW w:type="dxa" w:w="35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研制阶段时域及频域分析图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温度电路</w:t>
            </w:r>
          </w:p>
        </w:tc>
        <w:tc>
          <w:tcPr>
            <w:tcW w:type="dxa" w:w="33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RTD调理、CD4067复用与MCU输入</w:t>
            </w:r>
          </w:p>
        </w:tc>
        <w:tc>
          <w:tcPr>
            <w:tcW w:type="dxa" w:w="35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独立温度支路原理图和网络连接</w:t>
            </w:r>
          </w:p>
        </w:tc>
      </w:tr>
    </w:tbl>
    <w:p>
      <w:pPr>
        <w:pStyle w:val="R10Heading3"/>
        <w:ind w:left="420" w:firstLine="0" w:firstLineChars="0"/>
        <w:spacing w:line="360" w:lineRule="auto" w:before="80" w:after="65"/>
        <w:widowControl w:val="1"/>
        <w:keepNext w:val="1"/>
        <w:outlineLvl w:val="2"/>
      </w:pPr>
      <w:r>
        <w:rPr>
          <w:rFonts w:ascii="Times New Roman" w:hAnsi="Times New Roman" w:eastAsia="宋体"/>
          <w:b/>
          <w:sz w:val="24"/>
          <w:color w:val="000000"/>
        </w:rPr>
        <w:t xml:space="preserve">3.3.3 性能指标及计算依据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表3-3按设计目标、配置推导、器件标称和工程实现列示指标。±10V、整机±1%和峰峰值小于200μV属于设计目标；采样率采用32.768MHz输入条件下的配置计算；模拟低通采用标称元件的理想模型。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24位描述ADC转换码，32位描述缓存字。IEPE激励电流来自电阻配置计算，ADC参考值采用器件标称；这些指标与电路、逻辑及发送布局分别对应。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 xml:space="preserve">表3-3 设计指标与工程参数</w:t>
      </w:r>
    </w:p>
    <w:tbl>
      <w:tblPr>
        <w:tblLayout w:type="fixed"/>
        <w:tblLook w:firstColumn="1" w:firstRow="1" w:lastColumn="0" w:lastRow="0" w:noHBand="0" w:noVBand="1" w:val="04A0"/>
        <w:tblW w:w="8306" w:type="dxa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600"/>
        <w:gridCol w:w="2600"/>
        <w:gridCol w:w="1700"/>
        <w:gridCol w:w="2406"/>
      </w:tblGrid>
      <w:tr>
        <w:trPr>
          <w:cantSplit/>
          <w:tblHeader/>
        </w:trPr>
        <w:tc>
          <w:tcPr>
            <w:tcW w:type="dxa" w:w="16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指标</w:t>
            </w:r>
          </w:p>
        </w:tc>
        <w:tc>
          <w:tcPr>
            <w:tcW w:type="dxa" w:w="26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数值或形式</w:t>
            </w:r>
          </w:p>
        </w:tc>
        <w:tc>
          <w:tcPr>
            <w:tcW w:type="dxa" w:w="17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类别</w:t>
            </w:r>
          </w:p>
        </w:tc>
        <w:tc>
          <w:tcPr>
            <w:tcW w:type="dxa" w:w="2406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主采集通道/码宽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16路；24位码左对齐32位字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电路与逻辑设计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双AD7768及缓存字定义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采样配置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51.2kSPS/通道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配置推导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32.768MHz输入、PLL50/125、fast/64倍抽取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输入范围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±10V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设计目标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系统输入与前端设计口径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整机准确度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±1%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设计目标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研制报告指标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整机噪声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峰峰值＜200μV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设计目标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研制报告指标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模拟低通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四阶，理想截止约25.07kHz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理论计算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标称R/C理想模型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IEPE激励/参考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约4mA；4.096V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设计计算/器件标称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LT3092电阻配置；ADR444参数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UDP复制布局</w:t>
            </w:r>
          </w:p>
        </w:tc>
        <w:tc>
          <w:tcPr>
            <w:tcW w:type="dxa" w:w="26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1035B载荷；8组×16个32位DDR字</w:t>
            </w:r>
          </w:p>
        </w:tc>
        <w:tc>
          <w:tcPr>
            <w:tcW w:type="dxa" w:w="17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代码实现</w:t>
            </w:r>
          </w:p>
        </w:tc>
        <w:tc>
          <w:tcPr>
            <w:tcW w:type="dxa" w:w="24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11B应用头及按组排列的数据槽</w:t>
            </w:r>
          </w:p>
        </w:tc>
      </w:tr>
    </w:tbl>
    <w:p>
      <w:pPr>
        <w:pStyle w:val="R10Heading3"/>
        <w:ind w:left="420" w:firstLine="0" w:firstLineChars="0"/>
        <w:spacing w:line="360" w:lineRule="auto" w:before="80" w:after="65"/>
        <w:widowControl w:val="1"/>
        <w:keepNext w:val="1"/>
        <w:outlineLvl w:val="2"/>
      </w:pPr>
      <w:r>
        <w:rPr>
          <w:rFonts w:ascii="Times New Roman" w:hAnsi="Times New Roman" w:eastAsia="宋体"/>
          <w:b/>
          <w:sz w:val="24"/>
          <w:color w:val="000000"/>
        </w:rPr>
        <w:t xml:space="preserve">3.3.4 PL实现资源与工程构建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工程在Vivado 2018.3中完成综合与布线。表3-4列出该次实现的资源使用量；已设约束内建立裕量为1.692ns，保持裕量为0.036ns。资源、时序和生成文件与相应构建记录配套保存。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 xml:space="preserve">表3-4 PL实现资源占用</w:t>
      </w:r>
    </w:p>
    <w:tbl>
      <w:tblPr>
        <w:tblLayout w:type="fixed"/>
        <w:tblLook w:firstColumn="1" w:firstRow="1" w:lastColumn="0" w:lastRow="0" w:noHBand="0" w:noVBand="1" w:val="04A0"/>
        <w:tblW w:w="8306" w:type="dxa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000"/>
        <w:gridCol w:w="3000"/>
        <w:gridCol w:w="2306"/>
      </w:tblGrid>
      <w:tr>
        <w:trPr>
          <w:cantSplit/>
          <w:tblHeader/>
        </w:trPr>
        <w:tc>
          <w:tcPr>
            <w:tcW w:type="dxa" w:w="30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资源</w:t>
            </w:r>
          </w:p>
        </w:tc>
        <w:tc>
          <w:tcPr>
            <w:tcW w:type="dxa" w:w="3000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使用/可用</w:t>
            </w:r>
          </w:p>
        </w:tc>
        <w:tc>
          <w:tcPr>
            <w:tcW w:type="dxa" w:w="2306"/>
            <w:vAlign w:val="center"/>
            <w:shd w:fill="EDEDED" w:val="clea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  <w:color w:val="000000"/>
              </w:rPr>
              <w:t xml:space="preserve">占用率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LUT</w:t>
            </w:r>
          </w:p>
        </w:tc>
        <w:tc>
          <w:tcPr>
            <w:tcW w:type="dxa" w:w="30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8621 / 53200</w:t>
            </w:r>
          </w:p>
        </w:tc>
        <w:tc>
          <w:tcPr>
            <w:tcW w:type="dxa" w:w="23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16.20%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寄存器</w:t>
            </w:r>
          </w:p>
        </w:tc>
        <w:tc>
          <w:tcPr>
            <w:tcW w:type="dxa" w:w="30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13410 / 106400</w:t>
            </w:r>
          </w:p>
        </w:tc>
        <w:tc>
          <w:tcPr>
            <w:tcW w:type="dxa" w:w="23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12.60%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Block RAM</w:t>
            </w:r>
          </w:p>
        </w:tc>
        <w:tc>
          <w:tcPr>
            <w:tcW w:type="dxa" w:w="3000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136 / 140</w:t>
            </w:r>
          </w:p>
        </w:tc>
        <w:tc>
          <w:tcPr>
            <w:tcW w:type="dxa" w:w="2306"/>
            <w:vAlign w:val="center"/>
          </w:tcPr>
          <w:p>
            <w:pPr>
              <w:ind w:left="0" w:firstLine="0" w:firstLineChars="0" w:leftChars="0" w:right="0"/>
              <w:spacing w:line="275" w:lineRule="auto" w:before="0" w:after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  <w:color w:val="000000"/>
              </w:rPr>
              <w:t xml:space="preserve">97.14%</w:t>
            </w:r>
          </w:p>
        </w:tc>
      </w:tr>
    </w:tbl>
    <w:p>
      <w:pPr>
        <w:pStyle w:val="R10Heading3"/>
        <w:ind w:left="420" w:firstLine="0" w:firstLineChars="0"/>
        <w:spacing w:line="360" w:lineRule="auto" w:before="0" w:after="65"/>
        <w:widowControl w:val="1"/>
        <w:keepNext/>
        <w:outlineLvl w:val="2"/>
      </w:pPr>
      <w:r>
        <w:rPr>
          <w:rFonts w:ascii="Times New Roman" w:hAnsi="Times New Roman" w:eastAsia="宋体"/>
          <w:b w:val="1"/>
          <w:sz w:val="24"/>
          <w:color w:val="000000"/>
        </w:rPr>
        <w:t xml:space="preserve">3.3.5 数字仿真与程序检查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数字链路采用Vivado Simulator 2018.3组织串行接收、FIFO与FDMA的模块检查。激励包括数字ADC事件和AXI握手，按采集字、地址及提交事件记录结果。表3-5列出各类检查对象及其范围。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PS程序检查在Windows主机上使用人工内存和GPIO、缓存、UDP接口替身核对命令与复制行为；ARM应用另使用SDK配套工具编译链接。协议检查采用人工载荷与独立码型，按复制字和符号边界进行对应。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keepNext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 xml:space="preserve">表3-5 数字仿真与程序检查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672"/>
        <w:gridCol w:w="2693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DEDED"/>
          </w:tcPr>
          <w:p>
            <w:pPr>
              <w:spacing w:before="0" w:after="0" w:line="276" w:lineRule="auto"/>
              <w:jc w:val="center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对象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DEDED"/>
          </w:tcPr>
          <w:p>
            <w:pPr>
              <w:spacing w:before="0" w:after="0" w:line="276" w:lineRule="auto"/>
              <w:jc w:val="center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执行内容</w:t>
            </w:r>
          </w:p>
        </w:tc>
        <w:tc>
          <w:tcPr>
            <w:tcW w:type="dxa" w:w="269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DEDED"/>
          </w:tcPr>
          <w:p>
            <w:pPr>
              <w:spacing w:before="0" w:after="0" w:line="276" w:lineRule="auto"/>
              <w:jc w:val="center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资料范围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FIFO与AXI写通路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15组共同激励；整环800请求、819200字逐字对应</w:t>
            </w:r>
          </w:p>
        </w:tc>
        <w:tc>
          <w:tcPr>
            <w:tcW w:type="dxa" w:w="269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数字模型中的数据、握手、地址与提交事件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启停状态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10组独立场景覆盖请求、AXI传输和通知阶段</w:t>
            </w:r>
          </w:p>
        </w:tc>
        <w:tc>
          <w:tcPr>
            <w:tcW w:type="dxa" w:w="269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接收、请求提交及启停状态关系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ADC串行接收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40次输出检查；3次启停RESET状态均64拍</w:t>
            </w:r>
          </w:p>
        </w:tc>
        <w:tc>
          <w:tcPr>
            <w:tcW w:type="dxa" w:w="269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数字帧与24位左对齐输出格式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PS状态与命令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25条主机行为断言</w:t>
            </w:r>
          </w:p>
        </w:tc>
        <w:tc>
          <w:tcPr>
            <w:tcW w:type="dxa" w:w="269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人工内存及接口替身下的程序行为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载荷与码字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14条人工载荷检查、2176个复制字复算</w:t>
            </w:r>
          </w:p>
        </w:tc>
        <w:tc>
          <w:tcPr>
            <w:tcW w:type="dxa" w:w="269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发送布局、整数码型及正负边界</w:t>
            </w:r>
          </w:p>
        </w:tc>
      </w:tr>
    </w:tbl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工程检查资料按源文件、构建输入、命令记录、数字激励和输出结果归档，使模块说明、程序产物与检查范围相互对应。</w:t>
      </w:r>
    </w:p>
    <w:p>
      <w:pPr>
        <w:pStyle w:val="R10Heading3"/>
        <w:ind w:left="420" w:firstLine="0" w:firstLineChars="0"/>
        <w:spacing w:line="360" w:lineRule="auto" w:before="0" w:after="65"/>
        <w:widowControl w:val="1"/>
        <w:keepNext/>
        <w:outlineLvl w:val="2"/>
      </w:pPr>
      <w:r>
        <w:rPr>
          <w:rFonts w:ascii="Times New Roman" w:hAnsi="Times New Roman" w:eastAsia="宋体"/>
          <w:b w:val="0"/>
          <w:sz w:val="24"/>
          <w:color w:val="000000"/>
          <w:b w:val="1"/>
        </w:rPr>
        <w:t xml:space="preserve">3.3.6 工程文件与启动交付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工程按模拟前端、ADC接收、FIFO与AXI写入、PS命令与上传、PC交互分模块组织。软件接口明确采集字格式、块大小、半区地址及UDP布局，构建交付包括PL配置、硬件描述、ARM应用和启动镜像。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各类交付文件保存身份与内容核对记录。硬件交接包内的PL配置与bit对应，BOOT按FSBL、PL配置和应用程序组织；构建交付见表3-6。</w:t>
      </w:r>
    </w:p>
    <w:p>
      <w:pPr>
        <w:pStyle w:val="12"/>
        <w:ind w:left="420" w:firstLine="0" w:firstLineChars="0"/>
        <w:spacing w:line="360" w:lineRule="auto" w:before="80" w:after="65"/>
        <w:widowControl w:val="1"/>
        <w:keepNext w:val="1"/>
        <w:keepNext/>
        <w:keepNext/>
        <w:outlineLvl w:val="9"/>
      </w:pPr>
      <w:r>
        <w:rPr>
          <w:rFonts w:ascii="Times New Roman" w:hAnsi="Times New Roman" w:eastAsia="宋体"/>
          <w:b/>
          <w:sz w:val="24"/>
          <w:color w:val="000000"/>
        </w:rPr>
        <w:t xml:space="preserve">表3-6 工程构建与交付内容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032"/>
        <w:gridCol w:w="2765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DEDED"/>
          </w:tcPr>
          <w:p>
            <w:pPr>
              <w:spacing w:before="0" w:after="0" w:line="276" w:lineRule="auto"/>
              <w:jc w:val="center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交付类别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DEDED"/>
          </w:tcPr>
          <w:p>
            <w:pPr>
              <w:spacing w:before="0" w:after="0" w:line="276" w:lineRule="auto"/>
              <w:jc w:val="center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形成内容</w:t>
            </w:r>
          </w:p>
        </w:tc>
        <w:tc>
          <w:tcPr>
            <w:tcW w:type="dxa" w:w="2765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DEDED"/>
          </w:tcPr>
          <w:p>
            <w:pPr>
              <w:spacing w:before="0" w:after="0" w:line="276" w:lineRule="auto"/>
              <w:jc w:val="center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工程关系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PL配置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Vivado综合布线结果、bit文件</w:t>
            </w:r>
          </w:p>
        </w:tc>
        <w:tc>
          <w:tcPr>
            <w:tcW w:type="dxa" w:w="2765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对应ADC接收、FIFO和AXI写通路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硬件交接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HDF及PS初始化文件</w:t>
            </w:r>
          </w:p>
        </w:tc>
        <w:tc>
          <w:tcPr>
            <w:tcW w:type="dxa" w:w="2765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包含硬件描述与937项PS参数对应记录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PS应用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10个C文件编译链接形成ARM ELF</w:t>
            </w:r>
          </w:p>
        </w:tc>
        <w:tc>
          <w:tcPr>
            <w:tcW w:type="dxa" w:w="2765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沿用standalone BSP与库，应用独立构建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启动镜像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BOOT及分区内容核对记录</w:t>
            </w:r>
          </w:p>
        </w:tc>
        <w:tc>
          <w:tcPr>
            <w:tcW w:type="dxa" w:w="2765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before="0" w:after="0" w:line="276" w:lineRule="auto"/>
              <w:jc w:val="left"/>
              <w:ind w:firstLine="0" w:firstLineChars="0"/>
              <w:outlineLvl w:val="9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复用原FSBL，组合PL配置和ARM应用</w:t>
            </w:r>
          </w:p>
        </w:tc>
      </w:tr>
    </w:tbl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PS应用的10个C文件使用SDK 2018.3配套工具编译链接，沿用standalone BSP与库。链接文件配套保存代码、静态内存区和DMA半区的地址组织，便于按模块管理程序与采集缓存。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PL实现使用LUT8621/53200、寄存器13410/106400、BRAM136/140。资源和时序报告、路由检查点及生成文件共同构成该次工程构建记录。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bit、HDF、ELF及BOOT按对应关系归档。硬件交接文件保存PS参数与初始化内容，启动镜像沿用原FSBL和BSP相关配置，应用程序独立重建；启动分区与源产物的内容核对记录随工程保存。</w:t>
      </w:r>
    </w:p>
    <w:p w14:paraId="37BA305C">
      <w:pPr>
        <w:pStyle w:val="R10Heading1"/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outlineLvl w:val="0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08F59B7F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4.1  可扩展之处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在现有模块化架构上，可进一步拓展采样配置、传感器类型和PC数据分析功能，围绕多通道输入建立更丰富的实验应用。数据组织可扩展通道、采样配置、单位和操作信息等元数据，便于将采集记录与后续分析连接起来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独立RTD电路可继续向温度信息处理与综合显示方向扩展；硬件平台可结合具体应用组织供电、接口防护、安装结构及人机交互。扩展过程沿用电路、逻辑、程序和数据记录的模块化组织方式。</w:t>
      </w:r>
    </w:p>
    <w:p w14:paraId="2F847A3F">
      <w:pPr>
        <w:pStyle w:val="R10Heading2"/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outlineLvl w:val="1"/>
      </w:pPr>
      <w:r>
        <w:rPr>
          <w:rFonts w:hint="eastAsia" w:ascii="Times New Roman" w:hAnsi="Times New Roman" w:eastAsia="宋体" w:cs="Times New Roman"/>
          <w:sz w:val="24"/>
        </w:rPr>
        <w:t xml:space="preserve">4.2  心得体会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多通道采集系统把模拟电路、数字逻辑和软件连接为一条完整的数据通路。器件选型确定设计基础，输入调理、参考电压、采样控制、缓存时序、网络解析和单位换算共同决定数据的含义。电路、PL、PS与上位机的自主开发，使这些接口能够在统一工程中统筹组织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本作品带来的一个认识是，数据格式和接口定义应贯穿整个设计。24位转换码、32位缓存字、通道顺序及UDP字节位置分别承担明确作用。将码字、通道、单位和输入条件连接起来，能够使波形与频谱分析具有清晰的工程语义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PL设计侧重并行接收、时序组织与缓存管理，PS程序侧重命令处理和网络上传，两者通过采集块、半区地址和控制状态建立联系。串行接收、FIFO读取、AXI握手和半区处理按模块划分，有利于在数字仿真与程序检查中逐级观察数据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上位机同时承担操作交互和数据呈现。通道设置、采样配置、单位换算、文件组织及分析入口具有相互关联的作用。把这些信息与数据一并组织，便于从采集操作延伸到文件保存、波形观察和后续研究。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工程开发还需要将电路资料、模块源码、构建产物与研制记录配套保存。相同的数据格式和接口约定能够帮助不同模块协同工作，版本与内容记录则便于复现工程过程。由电路、逻辑、处理器和PC共同形成的系统视角，是本作品在多通道采集设计中的主要体会。</w:t>
      </w:r>
    </w:p>
    <w:p w14:paraId="06C04D7F">
      <w:pPr>
        <w:pStyle w:val="R10Heading1"/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outlineLvl w:val="0"/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>
      <w:pPr>
        <w:pStyle w:val="12"/>
        <w:ind w:left="420" w:firstLine="0" w:firstLineChars="0"/>
        <w:spacing w:line="360" w:lineRule="auto" w:before="0" w:after="65"/>
        <w:widowControl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  <w:t xml:space="preserve">本文参考的平台、器件、软件库和接口协议资料如下。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[1] ADVANCED MICRO DEVICES. Zynq 7000 SoC Technical Reference Manual: UG585, 1.15[EB/OL]. (2026-02-06)[2026-10-22]. </w:t>
      </w:r>
      <w:hyperlink r:id="rId21">
        <w:r>
          <w:rPr>
            <w:rFonts w:ascii="Times New Roman" w:hAnsi="Times New Roman" w:eastAsia="宋体"/>
            <w:sz w:val="24"/>
            <w:color w:val="000000"/>
            <w:u w:val="single"/>
          </w:rPr>
          <w:t>https://docs.amd.com/r/en-US/ug585-zynq-7000-SoC-TRM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[2] ANALOG DEVICES. AD7768/AD7768-4: 8-/4-Channel, 24-Bit, Simultaneous Sampling ADCs with Power Scaling, 110.8 kHz Bandwidth, Rev. D[EB/OL]. (2025-04)[2026-10-22]. </w:t>
      </w:r>
      <w:hyperlink r:id="rId22">
        <w:r>
          <w:rPr>
            <w:rFonts w:ascii="Times New Roman" w:hAnsi="Times New Roman" w:eastAsia="宋体"/>
            <w:sz w:val="24"/>
            <w:color w:val="000000"/>
            <w:u w:val="single"/>
          </w:rPr>
          <w:t>https://www.analog.com/media/en/technical-documentation/data-sheets/AD7768-7768-4.pdf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[3] ANALOG DEVICES. ADR440/ADR441/ADR443/ADR444/ADR445: Ultralow Noise, LDO XFET Voltage References with Current Sink and Source, Rev. G[EB/OL]. (2018-04)[2026-10-22]. </w:t>
      </w:r>
      <w:hyperlink r:id="rId23">
        <w:r>
          <w:rPr>
            <w:rFonts w:ascii="Times New Roman" w:hAnsi="Times New Roman" w:eastAsia="宋体"/>
            <w:sz w:val="24"/>
            <w:color w:val="000000"/>
            <w:u w:val="single"/>
          </w:rPr>
          <w:t>https://www.analog.com/media/en/technical-documentation/data-sheets/ADR440_441_443_444_445.pdf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[4] ANALOG DEVICES. LT3092: 200mA 2-Terminal Programmable Current Source, Rev. D[EB/OL]. (2020-08)[2026-10-22]. </w:t>
      </w:r>
      <w:hyperlink r:id="rId24">
        <w:r>
          <w:rPr>
            <w:rFonts w:ascii="Times New Roman" w:hAnsi="Times New Roman" w:eastAsia="宋体"/>
            <w:sz w:val="24"/>
            <w:color w:val="000000"/>
            <w:u w:val="single"/>
          </w:rPr>
          <w:t>https://www.analog.com/media/en/technical-documentation/data-sheets/lt3092.pdf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[5] KARKI J. Analysis of the Sallen-Key Architecture: SLOA024B, Rev. B[EB/OL]. Texas Instruments, (2002-09)[2026-10-22]. </w:t>
      </w:r>
      <w:hyperlink r:id="rId25">
        <w:r>
          <w:rPr>
            <w:rFonts w:ascii="Times New Roman" w:hAnsi="Times New Roman" w:eastAsia="宋体"/>
            <w:sz w:val="24"/>
            <w:color w:val="000000"/>
            <w:u w:val="single"/>
          </w:rPr>
          <w:t>https://www.ti.com/lit/an/sloa024b/sloa024b.pdf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[6] ANALOG DEVICES. AD8475: Precision, Selectable Gain, Fully Differential Funnel Amplifier, Rev. D[EB/OL]. (2017-03)[2026-10-22]. </w:t>
      </w:r>
      <w:hyperlink r:id="rId26">
        <w:r>
          <w:rPr>
            <w:rFonts w:ascii="Times New Roman" w:hAnsi="Times New Roman" w:eastAsia="宋体"/>
            <w:sz w:val="24"/>
            <w:color w:val="000000"/>
            <w:u w:val="single"/>
          </w:rPr>
          <w:t>https://www.analog.com/media/en/technical-documentation/data-sheets/AD8475.pdf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[7] XILINX. OS and Libraries Document Collection: UG643, 2018.3[EB/OL]. (2018-12-05)[2026-10-22]. </w:t>
      </w:r>
      <w:hyperlink r:id="rId27">
        <w:r>
          <w:rPr>
            <w:rFonts w:ascii="Times New Roman" w:hAnsi="Times New Roman" w:eastAsia="宋体"/>
            <w:sz w:val="24"/>
            <w:color w:val="000000"/>
            <w:u w:val="single"/>
          </w:rPr>
          <w:t>https://docs.amd.com/v/u/2018.3-English/oslib_rm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[8] XILINX. FIFO Generator v13.2 LogiCORE IP Product Guide: PG057[EB/OL]. (2017-10-04)[2026-10-22]. </w:t>
      </w:r>
      <w:hyperlink r:id="rId28">
        <w:r>
          <w:rPr>
            <w:rFonts w:ascii="Times New Roman" w:hAnsi="Times New Roman" w:eastAsia="宋体"/>
            <w:sz w:val="24"/>
            <w:color w:val="000000"/>
            <w:u w:val="single"/>
          </w:rPr>
          <w:t>https://docs.amd.com/v/u/en-US/pg057-fifo-generator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p>
      <w:pPr>
        <w:pStyle w:val="12"/>
        <w:widowControl w:val="1"/>
        <w:jc w:val="left"/>
        <w:ind w:left="420" w:leftChars="200" w:hanging="420" w:hangingChars="200" w:firstLineChars="0" w:right="0"/>
        <w:spacing w:line="276" w:lineRule="auto" w:before="0" w:after="100"/>
        <w:keepLines w:val="1"/>
        <w:outlineLvl w:val="9"/>
      </w:pPr>
      <w:r>
        <w:rPr>
          <w:rFonts w:ascii="Times New Roman" w:hAnsi="Times New Roman" w:eastAsia="宋体"/>
          <w:b w:val="0"/>
          <w:sz w:val="24"/>
          <w:color w:val="000000"/>
        </w:rPr>
      </w:r>
      <w:r>
        <w:rPr>
          <w:rFonts w:ascii="Times New Roman" w:hAnsi="Times New Roman" w:eastAsia="宋体"/>
          <w:b w:val="0"/>
          <w:sz w:val="24"/>
          <w:color w:val="000000"/>
        </w:rPr>
        <w:t xml:space="preserve">[9] ARM. AMBA AXI and ACE Protocol Specification: ARM IHI 0022H.c, Issue H.c[EB/OL]. (2021-01-26)[2026-10-22]. </w:t>
      </w:r>
      <w:hyperlink r:id="rId29">
        <w:r>
          <w:rPr>
            <w:rFonts w:ascii="Times New Roman" w:hAnsi="Times New Roman" w:eastAsia="宋体"/>
            <w:sz w:val="24"/>
            <w:color w:val="000000"/>
            <w:u w:val="single"/>
          </w:rPr>
          <w:t>https://documentation-service.arm.com/static/602a9df190ee6824a1e02b98</w:t>
        </w:r>
      </w:hyperlink>
      <w:r>
        <w:rPr>
          <w:rFonts w:ascii="Times New Roman" w:hAnsi="Times New Roman" w:eastAsia="宋体"/>
          <w:b w:val="0"/>
          <w:sz w:val="24"/>
          <w:color w:val="000000"/>
        </w:rPr>
        <w:t>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paragraph" w:styleId="R10Heading1">
    <w:name w:val="参赛标题 1"/>
    <w:basedOn w:val="1"/>
    <w:next w:val="1"/>
    <w:qFormat/>
    <w:pPr>
      <w:keepNext/>
      <w:keepLines/>
      <w:outlineLvl w:val="0"/>
    </w:pPr>
    <w:rPr>
      <w:color w:val="000000"/>
    </w:rPr>
  </w:style>
  <w:style w:type="paragraph" w:styleId="R10Heading2">
    <w:name w:val="参赛标题 2"/>
    <w:basedOn w:val="1"/>
    <w:next w:val="1"/>
    <w:qFormat/>
    <w:pPr>
      <w:keepNext/>
      <w:keepLines/>
      <w:outlineLvl w:val="1"/>
    </w:pPr>
    <w:rPr>
      <w:color w:val="000000"/>
    </w:rPr>
  </w:style>
  <w:style w:type="paragraph" w:styleId="R10Heading3">
    <w:name w:val="参赛标题 3"/>
    <w:basedOn w:val="1"/>
    <w:next w:val="1"/>
    <w:qFormat/>
    <w:pPr>
      <w:keepNext/>
      <w:keepLines/>
      <w:outlineLvl w:val="2"/>
    </w:pPr>
    <w:rPr>
      <w:color w:val="000000"/>
    </w:rPr>
  </w:style>
  <w:style w:type="paragraph" w:styleId="R10Heading4">
    <w:name w:val="参赛标题 4"/>
    <w:basedOn w:val="1"/>
    <w:next w:val="1"/>
    <w:qFormat/>
    <w:pPr>
      <w:keepNext/>
      <w:keepLines/>
      <w:outlineLvl w:val="3"/>
    </w:pPr>
    <w:rPr>
      <w:color w:val="000000"/>
    </w:rPr>
  </w:style>
  <w:style w:type="paragraph" w:styleId="Title">
    <w:name w:val="Title"/>
    <w:basedOn w:val="1"/>
    <w:next w:val="1"/>
    <w:qFormat/>
    <w:pPr>
      <w:outlineLvl w:val="9"/>
    </w:pPr>
    <w:rPr>
      <w:b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Round3Image1" Type="http://schemas.openxmlformats.org/officeDocument/2006/relationships/image" Target="media/round3_1.png"/><Relationship Id="rIdRound3Image2" Type="http://schemas.openxmlformats.org/officeDocument/2006/relationships/image" Target="media/round3_2.png"/><Relationship Id="rIdRound3Image3" Type="http://schemas.openxmlformats.org/officeDocument/2006/relationships/image" Target="media/round3_3.png"/><Relationship Id="rIdRound3Image4" Type="http://schemas.openxmlformats.org/officeDocument/2006/relationships/image" Target="media/round3_4.png"/><Relationship Id="rIdRound3Image5" Type="http://schemas.openxmlformats.org/officeDocument/2006/relationships/image" Target="media/round3_5.png"/><Relationship Id="rIdRound3Image6" Type="http://schemas.openxmlformats.org/officeDocument/2006/relationships/image" Target="media/round3_6.png"/><Relationship Id="rIdRound3Image7" Type="http://schemas.openxmlformats.org/officeDocument/2006/relationships/image" Target="media/round3_7.png"/><Relationship Id="rId12" Type="http://schemas.openxmlformats.org/officeDocument/2006/relationships/image" Target="media/image2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https://docs.amd.com/r/en-US/ug585-zynq-7000-SoC-TRM" TargetMode="External"/><Relationship Id="rId22" Type="http://schemas.openxmlformats.org/officeDocument/2006/relationships/hyperlink" Target="https://www.analog.com/media/en/technical-documentation/data-sheets/AD7768-7768-4.pdf" TargetMode="External"/><Relationship Id="rId23" Type="http://schemas.openxmlformats.org/officeDocument/2006/relationships/hyperlink" Target="https://www.analog.com/media/en/technical-documentation/data-sheets/ADR440_441_443_444_445.pdf" TargetMode="External"/><Relationship Id="rId24" Type="http://schemas.openxmlformats.org/officeDocument/2006/relationships/hyperlink" Target="https://www.analog.com/media/en/technical-documentation/data-sheets/lt3092.pdf" TargetMode="External"/><Relationship Id="rId25" Type="http://schemas.openxmlformats.org/officeDocument/2006/relationships/hyperlink" Target="https://www.ti.com/lit/an/sloa024b/sloa024b.pdf" TargetMode="External"/><Relationship Id="rId26" Type="http://schemas.openxmlformats.org/officeDocument/2006/relationships/hyperlink" Target="https://www.analog.com/media/en/technical-documentation/data-sheets/AD8475.pdf" TargetMode="External"/><Relationship Id="rId27" Type="http://schemas.openxmlformats.org/officeDocument/2006/relationships/hyperlink" Target="https://docs.amd.com/v/u/2018.3-English/oslib_rm" TargetMode="External"/><Relationship Id="rId28" Type="http://schemas.openxmlformats.org/officeDocument/2006/relationships/hyperlink" Target="https://docs.amd.com/v/u/en-US/pg057-fifo-generator" TargetMode="External"/><Relationship Id="rId29" Type="http://schemas.openxmlformats.org/officeDocument/2006/relationships/hyperlink" Target="https://documentation-service.arm.com/static/602a9df190ee6824a1e02b98" TargetMode="External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/>
  <cp:lastModifiedBy/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