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微软雅黑" w:hAnsi="微软雅黑" w:eastAsia="微软雅黑"/>
          <w:b/>
          <w:color w:val="176A8A"/>
          <w:sz w:val="52"/>
        </w:rPr>
        <w:t>超临界水-CO2-n-C16</w:t>
      </w:r>
    </w:p>
    <w:p>
      <w:pPr>
        <w:jc w:val="center"/>
      </w:pPr>
      <w:r>
        <w:rPr>
          <w:rFonts w:ascii="微软雅黑" w:hAnsi="微软雅黑" w:eastAsia="微软雅黑"/>
          <w:b/>
          <w:color w:val="243746"/>
          <w:sz w:val="46"/>
        </w:rPr>
        <w:t>一维砂管可复现数值算例报告</w:t>
      </w:r>
    </w:p>
    <w:p>
      <w:pPr>
        <w:spacing w:before="280"/>
        <w:jc w:val="center"/>
      </w:pPr>
      <w:r>
        <w:rPr>
          <w:rFonts w:ascii="微软雅黑" w:hAnsi="微软雅黑" w:eastAsia="微软雅黑"/>
          <w:b w:val="0"/>
          <w:color w:val="D55E00"/>
          <w:sz w:val="26"/>
        </w:rPr>
        <w:t>压力 × 组分 × 流量解耦设计</w:t>
      </w:r>
    </w:p>
    <w:p>
      <w:pPr>
        <w:spacing w:before="800"/>
        <w:jc w:val="center"/>
      </w:pPr>
      <w:r>
        <w:rPr>
          <w:rFonts w:ascii="微软雅黑" w:hAnsi="微软雅黑" w:eastAsia="微软雅黑"/>
          <w:b w:val="0"/>
          <w:sz w:val="20"/>
        </w:rPr>
        <w:t>基于 Sun et al. (2024) 物理砂管工况与 MPMC_SCW_UNIFIED 项目代码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EAF4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color w:val="176A8A"/>
                <w:sz w:val="20"/>
              </w:rPr>
              <w:t>报告定位</w:t>
              <w:br/>
            </w:r>
            <w:r>
              <w:rPr>
                <w:rFonts w:ascii="微软雅黑" w:hAnsi="微软雅黑" w:eastAsia="微软雅黑"/>
                <w:b w:val="0"/>
                <w:sz w:val="18"/>
              </w:rPr>
              <w:t>这是一个公开输入驱动、可重复运行、带数值收敛检查的等温流动基线。它不是完整热采历史拟合，也不把论文中已有数值模拟结果作为输入。</w:t>
            </w:r>
          </w:p>
        </w:tc>
      </w:tr>
    </w:tbl>
    <w:p>
      <w:pPr>
        <w:spacing w:after="0"/>
      </w:pPr>
    </w:p>
    <w:p>
      <w:pPr>
        <w:spacing w:before="1100"/>
        <w:jc w:val="center"/>
      </w:pPr>
      <w:r>
        <w:rPr>
          <w:rFonts w:ascii="微软雅黑" w:hAnsi="微软雅黑" w:eastAsia="微软雅黑"/>
          <w:b w:val="0"/>
          <w:color w:val="52606D"/>
          <w:sz w:val="18"/>
        </w:rPr>
        <w:t>版本日期：2026-09-15</w:t>
        <w:br/>
        <w:t>代码基线：2e4be8098077</w:t>
        <w:br/>
        <w:t>流量解释：in_situ_volume</w:t>
      </w:r>
    </w:p>
    <w:p>
      <w:r>
        <w:br w:type="page"/>
      </w:r>
    </w:p>
    <w:p>
      <w:pPr>
        <w:pStyle w:val="Heading1"/>
        <w:keepNext/>
      </w:pPr>
      <w:r>
        <w:rPr>
          <w:rFonts w:ascii="微软雅黑" w:hAnsi="微软雅黑" w:eastAsia="微软雅黑"/>
          <w:b/>
          <w:color w:val="176A8A"/>
        </w:rPr>
        <w:t>执行摘要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FFF3E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color w:val="176A8A"/>
                <w:sz w:val="20"/>
              </w:rPr>
              <w:t>主要结论</w:t>
              <w:br/>
            </w:r>
            <w:r>
              <w:rPr>
                <w:rFonts w:ascii="微软雅黑" w:hAnsi="微软雅黑" w:eastAsia="微软雅黑"/>
                <w:b w:val="0"/>
                <w:sz w:val="18"/>
              </w:rPr>
              <w:t>六组正式算例均稳定推进到4 PVI；最大组分相对质量闭合误差为7.02e-10。当前模型的4 PVI采收率集中在87.2079%–87.2325%。等储层体积流量下，加入CO2的独立组成效应仅为0.001147和0.001201个百分点。含CO2工况在4 PVI内均未达到1%突破阈值，最大出口/入口质量率比为5.98e-06。</w:t>
            </w:r>
          </w:p>
        </w:tc>
      </w:tr>
    </w:tbl>
    <w:p>
      <w:pPr>
        <w:spacing w:after="0"/>
      </w:pPr>
    </w:p>
    <w:p>
      <w:pPr>
        <w:pStyle w:val="正文"/>
      </w:pPr>
      <w:r>
        <w:rPr>
          <w:rFonts w:ascii="微软雅黑" w:hAnsi="微软雅黑" w:eastAsia="微软雅黑"/>
          <w:b w:val="0"/>
        </w:rPr>
        <w:t>最重要的科学结论不是“CO2无效”，而是：在当前等温、独立SCW相、n-C16代理油、无扩散/弥散、无反应的模型闭合下，CO2只在入口附近形成高组分区，无法复现物理实验中约7.8个百分点的增产幅度。该差异直接指出下一阶段需要加入的物理机制，而不是相对渗透率的简单调参问题。</w:t>
      </w:r>
    </w:p>
    <w:p>
      <w:pPr>
        <w:pStyle w:val="正文"/>
      </w:pPr>
      <w:r>
        <w:rPr>
          <w:rFonts w:ascii="微软雅黑" w:hAnsi="微软雅黑" w:eastAsia="微软雅黑"/>
          <w:b w:val="0"/>
        </w:rPr>
        <w:t>PPT提出的目标模型把H2O视为可在水、油、气三相间分配的热力学组分，并以逸度相等、状态方程和三相闪蒸完成相平衡。当前砂管算例只验证其中的流动、守恒、井控和CO2-n-C16相态子集，因此应定位为完整模型之前的第一层基线。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243746"/>
        </w:rPr>
        <w:t>建议如何使用本算例</w:t>
      </w:r>
    </w:p>
    <w:p>
      <w:pPr>
        <w:pStyle w:val="ListNumber"/>
        <w:spacing w:before="0" w:after="40" w:line="276" w:lineRule="auto"/>
      </w:pPr>
      <w:r>
        <w:rPr>
          <w:rFonts w:ascii="微软雅黑" w:hAnsi="微软雅黑" w:eastAsia="微软雅黑"/>
          <w:b w:val="0"/>
        </w:rPr>
        <w:t>先用本算例锁定质量守恒、注采边界、PVI终点和网格/时间步。</w:t>
      </w:r>
    </w:p>
    <w:p>
      <w:pPr>
        <w:pStyle w:val="ListNumber"/>
        <w:spacing w:before="0" w:after="40" w:line="276" w:lineRule="auto"/>
      </w:pPr>
      <w:r>
        <w:rPr>
          <w:rFonts w:ascii="微软雅黑" w:hAnsi="微软雅黑" w:eastAsia="微软雅黑"/>
          <w:b w:val="0"/>
        </w:rPr>
        <w:t>取得泵和中间容器的计量状态密度后，切换reference_density模式完成严格流量换算。</w:t>
      </w:r>
    </w:p>
    <w:p>
      <w:pPr>
        <w:pStyle w:val="ListNumber"/>
        <w:spacing w:before="0" w:after="40" w:line="276" w:lineRule="auto"/>
      </w:pPr>
      <w:r>
        <w:rPr>
          <w:rFonts w:ascii="微软雅黑" w:hAnsi="微软雅黑" w:eastAsia="微软雅黑"/>
          <w:b w:val="0"/>
        </w:rPr>
        <w:t>再依次加入能量方程、真实重油伪组分、H2O跨相分配与反应，逐层比较增量贡献。</w:t>
      </w:r>
    </w:p>
    <w:p>
      <w:pPr>
        <w:pStyle w:val="Heading1"/>
        <w:keepNext/>
      </w:pPr>
      <w:r>
        <w:rPr>
          <w:rFonts w:ascii="微软雅黑" w:hAnsi="微软雅黑" w:eastAsia="微软雅黑"/>
          <w:b/>
          <w:color w:val="176A8A"/>
        </w:rPr>
        <w:t>1 研究问题与证据边界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243746"/>
        </w:rPr>
        <w:t>1.1 研究问题</w:t>
      </w:r>
    </w:p>
    <w:p>
      <w:pPr>
        <w:pStyle w:val="正文"/>
      </w:pPr>
      <w:r>
        <w:rPr>
          <w:rFonts w:ascii="微软雅黑" w:hAnsi="微软雅黑" w:eastAsia="微软雅黑"/>
          <w:b w:val="0"/>
        </w:rPr>
        <w:t>本研究回答三个可区分的问题：压力由23 MPa提高至24 MPa如何改变一维驱替；在总原位体积流量相同的条件下，CO2组分本身有多大影响；原实验中由10 mL/min水变为10 mL/min水+2 mL/min CO2时，增流量和组分变化各贡献多少。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243746"/>
        </w:rPr>
        <w:t>1.2 证据层级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1701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证据层</w:t>
            </w:r>
          </w:p>
        </w:tc>
        <w:tc>
          <w:tcPr>
            <w:tcW w:type="dxa" w:w="3685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本报告用途</w:t>
            </w:r>
          </w:p>
        </w:tc>
        <w:tc>
          <w:tcPr>
            <w:tcW w:type="dxa" w:w="3402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明确排除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原论文物理实验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几何、初始条件、温压流量、4 PV端点；用于外部面对比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不读取论文已有数值模拟曲线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项目PPT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定义目标：H2O作为组分参与三相平衡；PR/SW/CPA热力学路线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不把PPT中的闪蒸结果当作本砂管结果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项目代码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控制方程实现、边界条件、物性和输出字段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不读取仓库既有数值实验数据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本轮新计算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六工况正式矩阵与R12收敛组；所有图表的唯一数值来源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不进行事后参数标定</w:t>
            </w:r>
          </w:p>
        </w:tc>
      </w:tr>
    </w:tbl>
    <w:p>
      <w:pPr>
        <w:spacing w:after="0"/>
      </w:pPr>
    </w:p>
    <w:p>
      <w:pPr>
        <w:pStyle w:val="正文"/>
      </w:pPr>
      <w:r>
        <w:rPr>
          <w:rFonts w:ascii="微软雅黑" w:hAnsi="微软雅黑" w:eastAsia="微软雅黑"/>
          <w:b w:val="0"/>
        </w:rPr>
        <w:t>原论文没有唯一说明水和CO2体积流量的计量温度、压力或密度；文中还并存“温度稳定”“2 h”和“4 PV”三种终止描述。因此，本报告将4 PVI作为共同报告终点，并把表2体积率透明地解释为400 °C和对应背压下的原位体积率。该设定可重复，但不是严格实验复现。</w:t>
      </w:r>
    </w:p>
    <w:p>
      <w:pPr>
        <w:pStyle w:val="Heading1"/>
        <w:keepNext/>
      </w:pPr>
      <w:r>
        <w:rPr>
          <w:rFonts w:ascii="微软雅黑" w:hAnsi="微软雅黑" w:eastAsia="微软雅黑"/>
          <w:b/>
          <w:color w:val="176A8A"/>
        </w:rPr>
        <w:t>2 模型与物理假设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243746"/>
        </w:rPr>
        <w:t>2.1 几何、初始与边界条件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134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2268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2268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取值</w:t>
            </w:r>
          </w:p>
        </w:tc>
        <w:tc>
          <w:tcPr>
            <w:tcW w:type="dxa" w:w="3118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来源/处理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几何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长度 / 内径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0.48 m / 0.039 m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Sun et al. 图1与方法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岩心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孔隙度 / 渗透率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0.39 / 2000 mD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原论文输入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初始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So / Sg / Sw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0.935 / 0 / 0.065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算例锁定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热力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温度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673.15 K (400 °C)，等温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表2工况；无能量方程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井控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生产端BHP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23或24 MPa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出口BPR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井控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注入端压力上限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35 MPa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设备工作上限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终点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累计注入量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 PVI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共同报告终点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243746"/>
        </w:rPr>
        <w:t>2.2 当前实现</w:t>
      </w:r>
    </w:p>
    <w:p>
      <w:pPr>
        <w:pStyle w:val="ListBullet"/>
        <w:spacing w:before="0" w:after="40" w:line="276" w:lineRule="auto"/>
      </w:pPr>
      <w:r>
        <w:rPr>
          <w:rFonts w:ascii="微软雅黑" w:hAnsi="微软雅黑" w:eastAsia="微软雅黑"/>
          <w:b w:val="0"/>
        </w:rPr>
        <w:t>H2O作为独立守恒SCW相；密度采用IAPWS-IF97，黏度采用McBride-Wright关联式。</w:t>
      </w:r>
    </w:p>
    <w:p>
      <w:pPr>
        <w:pStyle w:val="ListBullet"/>
        <w:spacing w:before="0" w:after="40" w:line="276" w:lineRule="auto"/>
      </w:pPr>
      <w:r>
        <w:rPr>
          <w:rFonts w:ascii="微软雅黑" w:hAnsi="微软雅黑" w:eastAsia="微软雅黑"/>
          <w:b w:val="0"/>
        </w:rPr>
        <w:t>CO2-n-C16采用PR78状态方程，二元作用系数kij=0.09。</w:t>
      </w:r>
    </w:p>
    <w:p>
      <w:pPr>
        <w:pStyle w:val="ListBullet"/>
        <w:spacing w:before="0" w:after="40" w:line="276" w:lineRule="auto"/>
      </w:pPr>
      <w:r>
        <w:rPr>
          <w:rFonts w:ascii="微软雅黑" w:hAnsi="微软雅黑" w:eastAsia="微软雅黑"/>
          <w:b w:val="0"/>
        </w:rPr>
        <w:t>各相流动由达西定律控制，组分由守恒方程推进；生产端定压、注入端定储层体积率。</w:t>
      </w:r>
    </w:p>
    <w:p>
      <w:pPr>
        <w:pStyle w:val="ListBullet"/>
        <w:spacing w:before="0" w:after="40" w:line="276" w:lineRule="auto"/>
      </w:pPr>
      <w:r>
        <w:rPr>
          <w:rFonts w:ascii="微软雅黑" w:hAnsi="微软雅黑" w:eastAsia="微软雅黑"/>
          <w:b w:val="0"/>
        </w:rPr>
        <w:t>不包含能量方程、热损失、毛管压力、分子扩散、机械弥散、有限速率相间传质与反应。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243746"/>
        </w:rPr>
        <w:t>2.3 与PPT目标模型的关系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304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494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PPT目标</w:t>
            </w:r>
          </w:p>
        </w:tc>
        <w:tc>
          <w:tcPr>
            <w:tcW w:type="dxa" w:w="2268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本算例状态</w:t>
            </w:r>
          </w:p>
        </w:tc>
        <w:tc>
          <w:tcPr>
            <w:tcW w:type="dxa" w:w="2721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解释后果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H2O角色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H2O在水/油/气三相分配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独立SCW相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不能评估水烃真实互溶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相平衡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三相逸度相等与稳定性测试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CO2-n-C16子体系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不能复现完整三相分配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状态方程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PR、SW、CPA可比较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PR78 + 独立水物性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适合流动基线，不足以筛选EoS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热过程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超临界邻域P-T相态转换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固定673.15 K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没有50–400 °C热前缘</w:t>
            </w:r>
          </w:p>
        </w:tc>
      </w:tr>
      <w:tr>
        <w:trPr>
          <w:cantSplit/>
        </w:trP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原油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H2O-CO2-BSB伪组分油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单一n-C16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无重油宽馏分与改质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微软雅黑" w:hAnsi="微软雅黑" w:eastAsia="微软雅黑"/>
          <w:b/>
          <w:color w:val="176A8A"/>
        </w:rPr>
        <w:t>3 可辨识的实验矩阵</w:t>
      </w:r>
    </w:p>
    <w:p>
      <w:pPr>
        <w:pStyle w:val="正文"/>
      </w:pPr>
      <w:r>
        <w:rPr>
          <w:rFonts w:ascii="微软雅黑" w:hAnsi="微软雅黑" w:eastAsia="微软雅黑"/>
          <w:b w:val="0"/>
        </w:rPr>
        <w:t>原四组物理工况形成压力（23/24 MPa）× CO2加入量（0/2 mL/min）的2×2结构，但含CO2时总报告体积率由10升至12 mL/min。为避免混杂，新增C23/C24纯SCW对照，使其储层总原位体积率与R10/R12完全相同。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  <w:cantSplit/>
        </w:trPr>
        <w:tc>
          <w:tcPr>
            <w:tcW w:type="dxa" w:w="850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ID</w:t>
            </w:r>
          </w:p>
        </w:tc>
        <w:tc>
          <w:tcPr>
            <w:tcW w:type="dxa" w:w="1361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背压 MPa</w:t>
            </w:r>
          </w:p>
        </w:tc>
        <w:tc>
          <w:tcPr>
            <w:tcW w:type="dxa" w:w="1417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水 mL/min</w:t>
            </w:r>
          </w:p>
        </w:tc>
        <w:tc>
          <w:tcPr>
            <w:tcW w:type="dxa" w:w="1417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CO2 mL/min</w:t>
            </w:r>
          </w:p>
        </w:tc>
        <w:tc>
          <w:tcPr>
            <w:tcW w:type="dxa" w:w="1928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储层总流量 m3/s</w:t>
            </w:r>
          </w:p>
        </w:tc>
        <w:tc>
          <w:tcPr>
            <w:tcW w:type="dxa" w:w="1701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角色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R04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23.0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1.667e-07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物理工况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R06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24.0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1.667e-07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物理工况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R10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23.0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2.000e-07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物理工况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R12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24.0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2.000e-07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物理工况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C23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23.0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2.000e-07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等流量对照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C24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24.0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2.000e-07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等流量对照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243746"/>
        </w:rPr>
        <w:t>3.1 预先定义的效应</w:t>
      </w:r>
    </w:p>
    <w:p>
      <w:pPr>
        <w:pStyle w:val="ListBullet"/>
        <w:spacing w:before="0" w:after="40" w:line="276" w:lineRule="auto"/>
      </w:pPr>
      <w:r>
        <w:rPr>
          <w:rFonts w:ascii="微软雅黑" w:hAnsi="微软雅黑" w:eastAsia="微软雅黑"/>
          <w:b w:val="0"/>
        </w:rPr>
        <w:t>压力效应：R06−R04（纯SCW）和R12−R10（SCW+CO2）。</w:t>
      </w:r>
    </w:p>
    <w:p>
      <w:pPr>
        <w:pStyle w:val="ListBullet"/>
        <w:spacing w:before="0" w:after="40" w:line="276" w:lineRule="auto"/>
      </w:pPr>
      <w:r>
        <w:rPr>
          <w:rFonts w:ascii="微软雅黑" w:hAnsi="微软雅黑" w:eastAsia="微软雅黑"/>
          <w:b w:val="0"/>
        </w:rPr>
        <w:t>纯增流量效应：C23−R04和C24−R06。</w:t>
      </w:r>
    </w:p>
    <w:p>
      <w:pPr>
        <w:pStyle w:val="ListBullet"/>
        <w:spacing w:before="0" w:after="40" w:line="276" w:lineRule="auto"/>
      </w:pPr>
      <w:r>
        <w:rPr>
          <w:rFonts w:ascii="微软雅黑" w:hAnsi="微软雅黑" w:eastAsia="微软雅黑"/>
          <w:b w:val="0"/>
        </w:rPr>
        <w:t>等储层体积流量CO2组分效应：R10−C23和R12−C24。</w:t>
      </w:r>
    </w:p>
    <w:p>
      <w:pPr>
        <w:pStyle w:val="ListBullet"/>
        <w:spacing w:before="0" w:after="40" w:line="276" w:lineRule="auto"/>
      </w:pPr>
      <w:r>
        <w:rPr>
          <w:rFonts w:ascii="微软雅黑" w:hAnsi="微软雅黑" w:eastAsia="微软雅黑"/>
          <w:b w:val="0"/>
        </w:rPr>
        <w:t>合并变化：R10−R04和R12−R06；只用于描述原始工况差，不能解释为纯CO2效应。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243746"/>
        </w:rPr>
        <w:t>3.2 输出与判据</w:t>
      </w:r>
    </w:p>
    <w:p>
      <w:pPr>
        <w:pStyle w:val="正文"/>
      </w:pPr>
      <w:r>
        <w:rPr>
          <w:rFonts w:ascii="微软雅黑" w:hAnsi="微软雅黑" w:eastAsia="微软雅黑"/>
          <w:b w:val="0"/>
        </w:rPr>
        <w:t>主要输出为n-C16累计采收率、注采压差、组分质量闭合、沿程饱和度/组成/压力，以及CO2突破。CO2突破定义为离散输出区间内“出口CO2组分质量率/入口CO2质量率”首次达到1%。所有曲线按原始离散点绘制，不插值平滑；确定性模拟不伪造重复样本或误差条。</w:t>
      </w:r>
    </w:p>
    <w:p>
      <w:pPr>
        <w:pStyle w:val="Heading1"/>
        <w:keepNext/>
      </w:pPr>
      <w:r>
        <w:rPr>
          <w:rFonts w:ascii="微软雅黑" w:hAnsi="微软雅黑" w:eastAsia="微软雅黑"/>
          <w:b/>
          <w:color w:val="176A8A"/>
        </w:rPr>
        <w:t>4 数值可接受性</w:t>
      </w:r>
    </w:p>
    <w:p>
      <w:pPr>
        <w:pStyle w:val="正文"/>
      </w:pPr>
      <w:r>
        <w:rPr>
          <w:rFonts w:ascii="微软雅黑" w:hAnsi="微软雅黑" w:eastAsia="微软雅黑"/>
          <w:b w:val="0"/>
        </w:rPr>
        <w:t>正式矩阵采用nx=96、ΔPVI=0.01；R12另做网格与时间步独立收敛组。非线性求解绝对容差设置为1e-12，避免默认绝对残差阈值造成零迭代接受和状态冻结。质量闭合以初始库存、当前库存、累计注入和累计产出的最大值归一化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52000" cy="25077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numerical_converg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507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注"/>
        <w:keepNext w:val="0"/>
        <w:jc w:val="center"/>
      </w:pPr>
      <w:r>
        <w:rPr>
          <w:rFonts w:ascii="微软雅黑" w:hAnsi="微软雅黑" w:eastAsia="微软雅黑"/>
          <w:b w:val="0"/>
          <w:sz w:val="17"/>
        </w:rPr>
        <w:t>图1  R12网格与时间步收敛性。右图明确保留“4 PVI内未达到1% CO2突破阈值”的阴性结果。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/>
        </w:trPr>
        <w:tc>
          <w:tcPr>
            <w:tcW w:type="dxa" w:w="1134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检查</w:t>
            </w:r>
          </w:p>
        </w:tc>
        <w:tc>
          <w:tcPr>
            <w:tcW w:type="dxa" w:w="2948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中/细设置</w:t>
            </w:r>
          </w:p>
        </w:tc>
        <w:tc>
          <w:tcPr>
            <w:tcW w:type="dxa" w:w="1814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4 PVI采收率差</w:t>
            </w:r>
          </w:p>
        </w:tc>
        <w:tc>
          <w:tcPr>
            <w:tcW w:type="dxa" w:w="1701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质量闭合</w:t>
            </w:r>
          </w:p>
        </w:tc>
        <w:tc>
          <w:tcPr>
            <w:tcW w:type="dxa" w:w="1134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判定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网格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nx=96 / 192，ΔPVI=0.005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0.04997 个百分点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≤2.38e-10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时间步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ΔPVI=0.01 / 0.005，nx=192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0.01230 个百分点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≤2.55e-10</w:t>
            </w:r>
          </w:p>
        </w:tc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通过</w:t>
            </w:r>
          </w:p>
        </w:tc>
      </w:tr>
    </w:tbl>
    <w:p>
      <w:pPr>
        <w:spacing w:after="0"/>
      </w:pPr>
    </w:p>
    <w:p>
      <w:pPr>
        <w:pStyle w:val="正文"/>
      </w:pPr>
      <w:r>
        <w:rPr>
          <w:rFonts w:ascii="微软雅黑" w:hAnsi="微软雅黑" w:eastAsia="微软雅黑"/>
          <w:b w:val="0"/>
        </w:rPr>
        <w:t>六组正式算例的最大组分相对质量闭合误差为7.02e-10，远低于1e-6验收阈值；所有算例均到达4 PVI，且未触发35 MPa注入压力上限。</w:t>
      </w:r>
    </w:p>
    <w:p>
      <w:pPr>
        <w:pStyle w:val="Heading1"/>
        <w:keepNext/>
      </w:pPr>
      <w:r>
        <w:rPr>
          <w:rFonts w:ascii="微软雅黑" w:hAnsi="微软雅黑" w:eastAsia="微软雅黑"/>
          <w:b/>
          <w:color w:val="176A8A"/>
        </w:rPr>
        <w:t>5 结果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243746"/>
        </w:rPr>
        <w:t>5.1 采收曲线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52000" cy="23388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recovery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338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注"/>
        <w:keepNext w:val="0"/>
        <w:jc w:val="center"/>
      </w:pPr>
      <w:r>
        <w:rPr>
          <w:rFonts w:ascii="微软雅黑" w:hAnsi="微软雅黑" w:eastAsia="微软雅黑"/>
          <w:b w:val="0"/>
          <w:sz w:val="17"/>
        </w:rPr>
        <w:t>图2  六工况n-C16累计采收率。每个压力水平下分别比较基准SCW、等流量SCW和SCW+CO2。</w:t>
      </w:r>
    </w:p>
    <w:p>
      <w:pPr>
        <w:pStyle w:val="正文"/>
      </w:pPr>
      <w:r>
        <w:rPr>
          <w:rFonts w:ascii="微软雅黑" w:hAnsi="微软雅黑" w:eastAsia="微软雅黑"/>
          <w:b w:val="0"/>
        </w:rPr>
        <w:t>六组曲线在约0.8 PVI前快速上升，随后缓慢接近平台；4 PVI采收率仅跨越87.2079%–87.2325%的窄区间。压力由23升至24 MPa时，纯SCW与含CO2工况的4 PVI采收率分别变化-0.0234和-0.0233个百分点，方向均为轻微下降。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243746"/>
        </w:rPr>
        <w:t>5.2 压力响应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52000" cy="23388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pressure_drop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338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注"/>
        <w:keepNext w:val="0"/>
        <w:jc w:val="center"/>
      </w:pPr>
      <w:r>
        <w:rPr>
          <w:rFonts w:ascii="微软雅黑" w:hAnsi="微软雅黑" w:eastAsia="微软雅黑"/>
          <w:b w:val="0"/>
          <w:sz w:val="17"/>
        </w:rPr>
        <w:t>图3  六工况注采压差。等流量对照与含CO2工况几乎重合，显示该闭合下压差主要受总流量控制。</w:t>
      </w:r>
    </w:p>
    <w:p>
      <w:pPr>
        <w:pStyle w:val="正文"/>
      </w:pPr>
      <w:r>
        <w:rPr>
          <w:rFonts w:ascii="微软雅黑" w:hAnsi="微软雅黑" w:eastAsia="微软雅黑"/>
          <w:b w:val="0"/>
        </w:rPr>
        <w:t>10 mL/min纯SCW工况的末端压差约为7.458 kPa；把储层总原位体积率提高20%后，C23末端压差升至8.950 kPa，增加20.01%。同一总流量下，R10与C23、R12与C24几乎重合，说明当前参数范围内CO2组成对整体流动阻力的影响远小于流量影响。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243746"/>
        </w:rPr>
        <w:t>5.3 效应分解与物理端点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52000" cy="25871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endpoint_validation_and_effe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587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注"/>
        <w:keepNext w:val="0"/>
        <w:jc w:val="center"/>
      </w:pPr>
      <w:r>
        <w:rPr>
          <w:rFonts w:ascii="微软雅黑" w:hAnsi="微软雅黑" w:eastAsia="微软雅黑"/>
          <w:b w:val="0"/>
          <w:sz w:val="17"/>
        </w:rPr>
        <w:t>图4  左：当前模型与原论文物理实验4 PV端点的外部面对比（不参与标定）；右：流量、等流量CO2组分及合并效应。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/>
        </w:trPr>
        <w:tc>
          <w:tcPr>
            <w:tcW w:type="dxa" w:w="2268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效应</w:t>
            </w:r>
          </w:p>
        </w:tc>
        <w:tc>
          <w:tcPr>
            <w:tcW w:type="dxa" w:w="1701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23 MPa定义</w:t>
            </w:r>
          </w:p>
        </w:tc>
        <w:tc>
          <w:tcPr>
            <w:tcW w:type="dxa" w:w="1417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百分点</w:t>
            </w:r>
          </w:p>
        </w:tc>
        <w:tc>
          <w:tcPr>
            <w:tcW w:type="dxa" w:w="1701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24 MPa定义</w:t>
            </w:r>
          </w:p>
        </w:tc>
        <w:tc>
          <w:tcPr>
            <w:tcW w:type="dxa" w:w="1417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百分点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纯SCW增流量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C23-R04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0.000085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C24-R06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0.000100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等流量CO2组分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R10-C23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0.001147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R12-C24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0.001201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CO2+增流量合并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R10-R04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0.001232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R12-R06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0.001301</w:t>
            </w:r>
          </w:p>
        </w:tc>
      </w:tr>
    </w:tbl>
    <w:p>
      <w:pPr>
        <w:spacing w:after="0"/>
      </w:pPr>
    </w:p>
    <w:p>
      <w:pPr>
        <w:pStyle w:val="正文"/>
      </w:pPr>
      <w:r>
        <w:rPr>
          <w:rFonts w:ascii="微软雅黑" w:hAnsi="微软雅黑" w:eastAsia="微软雅黑"/>
          <w:b w:val="0"/>
        </w:rPr>
        <w:t>等流量CO2组分效应约为0.00115–0.00120个百分点；纯增流量效应约为0.00008–0.00010个百分点。数量级都非常小，且合并效应不能解释原论文中加入CO2后约7.8个百分点的提升。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/>
        </w:trPr>
        <w:tc>
          <w:tcPr>
            <w:tcW w:type="dxa" w:w="850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ID</w:t>
            </w:r>
          </w:p>
        </w:tc>
        <w:tc>
          <w:tcPr>
            <w:tcW w:type="dxa" w:w="1417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模型 %</w:t>
            </w:r>
          </w:p>
        </w:tc>
        <w:tc>
          <w:tcPr>
            <w:tcW w:type="dxa" w:w="1587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物理实验 %</w:t>
            </w:r>
          </w:p>
        </w:tc>
        <w:tc>
          <w:tcPr>
            <w:tcW w:type="dxa" w:w="1701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模型−实验 pp</w:t>
            </w:r>
          </w:p>
        </w:tc>
        <w:tc>
          <w:tcPr>
            <w:tcW w:type="dxa" w:w="3005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R04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87.2313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73.48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13.7513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外部面对比，非标定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R06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87.2079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75.03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12.1779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外部面对比，非标定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R10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87.2325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81.25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5.9825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外部面对比，非标定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R12</w:t>
            </w:r>
          </w:p>
        </w:tc>
        <w:tc>
          <w:tcPr>
            <w:tcW w:type="dxa" w:w="14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87.2092</w:t>
            </w:r>
          </w:p>
        </w:tc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82.96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4.2492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外部面对比，非标定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FFF3E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color w:val="176A8A"/>
                <w:sz w:val="20"/>
              </w:rPr>
              <w:t>解释警戒</w:t>
              <w:br/>
            </w:r>
            <w:r>
              <w:rPr>
                <w:rFonts w:ascii="微软雅黑" w:hAnsi="微软雅黑" w:eastAsia="微软雅黑"/>
                <w:b w:val="0"/>
                <w:sz w:val="18"/>
              </w:rPr>
              <w:t>模型与物理端点差异同时包含流量计量状态不明、等温替代、油品替代、H2O独立相、缺少弥散/传质/反应等多项结构误差。不能把差异全部归因于相对渗透率，更不能直接调参使4个终点贴合。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243746"/>
        </w:rPr>
        <w:t>5.4 R12沿程状态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52000" cy="42422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R12_spatial_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242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图注"/>
        <w:keepNext w:val="0"/>
        <w:jc w:val="center"/>
      </w:pPr>
      <w:r>
        <w:rPr>
          <w:rFonts w:ascii="微软雅黑" w:hAnsi="微软雅黑" w:eastAsia="微软雅黑"/>
          <w:b w:val="0"/>
          <w:sz w:val="17"/>
        </w:rPr>
        <w:t>图5  R12在0.5、1、2和4 PVI的沿程状态。坐标原点为注入口；压力表示高于24 MPa出口背压的增量。</w:t>
      </w:r>
    </w:p>
    <w:p>
      <w:pPr>
        <w:pStyle w:val="正文"/>
      </w:pPr>
      <w:r>
        <w:rPr>
          <w:rFonts w:ascii="微软雅黑" w:hAnsi="微软雅黑" w:eastAsia="微软雅黑"/>
          <w:b w:val="0"/>
        </w:rPr>
        <w:t>0.5 PVI时SCW前缘位于砂管中后段，随后全管水相饱和度继续提高、油相饱和度降低。CO2液相摩尔分数在入口单元较高，但在极短距离内迅速衰减；出口CO2质量率始终远低于1%阈值。这一形态与“CO2组成效应极小”相互印证，但也暴露了缺少弥散、完整水烃互溶和热相态转换的局限。</w:t>
      </w:r>
    </w:p>
    <w:p>
      <w:pPr>
        <w:pStyle w:val="Heading1"/>
        <w:keepNext/>
      </w:pPr>
      <w:r>
        <w:rPr>
          <w:rFonts w:ascii="微软雅黑" w:hAnsi="微软雅黑" w:eastAsia="微软雅黑"/>
          <w:b/>
          <w:color w:val="176A8A"/>
        </w:rPr>
        <w:t>6 物理解释与不确定性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243746"/>
        </w:rPr>
        <w:t>6.1 当前模型能支持的结论</w:t>
      </w:r>
    </w:p>
    <w:p>
      <w:pPr>
        <w:pStyle w:val="ListBullet"/>
        <w:spacing w:before="0" w:after="40" w:line="276" w:lineRule="auto"/>
      </w:pPr>
      <w:r>
        <w:rPr>
          <w:rFonts w:ascii="微软雅黑" w:hAnsi="微软雅黑" w:eastAsia="微软雅黑"/>
          <w:b w:val="0"/>
        </w:rPr>
        <w:t>在已声明的in_situ_volume边界下，注采压差对总流量的响应近似成比例，井控稳定且远低于35 MPa上限。</w:t>
      </w:r>
    </w:p>
    <w:p>
      <w:pPr>
        <w:pStyle w:val="ListBullet"/>
        <w:spacing w:before="0" w:after="40" w:line="276" w:lineRule="auto"/>
      </w:pPr>
      <w:r>
        <w:rPr>
          <w:rFonts w:ascii="微软雅黑" w:hAnsi="微软雅黑" w:eastAsia="微软雅黑"/>
          <w:b w:val="0"/>
        </w:rPr>
        <w:t>网格、时间步和组分质量闭合满足预设数值门槛，因此“组分效应很小”不是明显离散误差或求解器假收敛造成的。</w:t>
      </w:r>
    </w:p>
    <w:p>
      <w:pPr>
        <w:pStyle w:val="ListBullet"/>
        <w:spacing w:before="0" w:after="40" w:line="276" w:lineRule="auto"/>
      </w:pPr>
      <w:r>
        <w:rPr>
          <w:rFonts w:ascii="微软雅黑" w:hAnsi="微软雅黑" w:eastAsia="微软雅黑"/>
          <w:b w:val="0"/>
        </w:rPr>
        <w:t>在4 PVI窗口内，CO2主要滞留于注入口附近，未形成可检测的出口突破。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243746"/>
        </w:rPr>
        <w:t>6.2 当前模型不能支持的结论</w:t>
      </w:r>
    </w:p>
    <w:p>
      <w:pPr>
        <w:pStyle w:val="ListBullet"/>
        <w:spacing w:before="0" w:after="40" w:line="276" w:lineRule="auto"/>
      </w:pPr>
      <w:r>
        <w:rPr>
          <w:rFonts w:ascii="微软雅黑" w:hAnsi="微软雅黑" w:eastAsia="微软雅黑"/>
          <w:b w:val="0"/>
        </w:rPr>
        <w:t>不能据此断言实验中的CO2增产机制不存在；当前模型没有包含能产生该机制的全部物理。</w:t>
      </w:r>
    </w:p>
    <w:p>
      <w:pPr>
        <w:pStyle w:val="ListBullet"/>
        <w:spacing w:before="0" w:after="40" w:line="276" w:lineRule="auto"/>
      </w:pPr>
      <w:r>
        <w:rPr>
          <w:rFonts w:ascii="微软雅黑" w:hAnsi="微软雅黑" w:eastAsia="微软雅黑"/>
          <w:b w:val="0"/>
        </w:rPr>
        <w:t>不能评价热利用率，因为没有能量方程、热损失和50–400 °C热前缘。</w:t>
      </w:r>
    </w:p>
    <w:p>
      <w:pPr>
        <w:pStyle w:val="ListBullet"/>
        <w:spacing w:before="0" w:after="40" w:line="276" w:lineRule="auto"/>
      </w:pPr>
      <w:r>
        <w:rPr>
          <w:rFonts w:ascii="微软雅黑" w:hAnsi="微软雅黑" w:eastAsia="微软雅黑"/>
          <w:b w:val="0"/>
        </w:rPr>
        <w:t>不能把n-C16结果外推为真实BSB重油的黏度降低、萃取、膨胀或改质幅度。</w:t>
      </w:r>
    </w:p>
    <w:p>
      <w:pPr>
        <w:pStyle w:val="ListBullet"/>
        <w:spacing w:before="0" w:after="40" w:line="276" w:lineRule="auto"/>
      </w:pPr>
      <w:r>
        <w:rPr>
          <w:rFonts w:ascii="微软雅黑" w:hAnsi="微软雅黑" w:eastAsia="微软雅黑"/>
          <w:b w:val="0"/>
        </w:rPr>
        <w:t>不能完成PPT中PR/SW/CPA的公平比较，因为H2O尚未作为跨三相分配的热力学组分。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243746"/>
        </w:rPr>
        <w:t>6.3 关键不确定性优先级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850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098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不确定性</w:t>
            </w:r>
          </w:p>
        </w:tc>
        <w:tc>
          <w:tcPr>
            <w:tcW w:type="dxa" w:w="2835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为什么重要</w:t>
            </w:r>
          </w:p>
        </w:tc>
        <w:tc>
          <w:tcPr>
            <w:tcW w:type="dxa" w:w="2948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解决方式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P0</w:t>
            </w:r>
          </w:p>
        </w:tc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体积流量计量状态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决定实际质量率和储层PVI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取得泵/中间容器T、P、密度，改用reference_density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P0</w:t>
            </w:r>
          </w:p>
        </w:tc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能量与热损失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原实验从50 °C升至400 °C，热前缘主导黏度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加入岩石/流体能量方程和外壁换热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P1</w:t>
            </w:r>
          </w:p>
        </w:tc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H2O跨相分配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PPT核心科学问题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实现SW/CPA或一致的水组分逸度模型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P1</w:t>
            </w:r>
          </w:p>
        </w:tc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真实重油伪组分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控制溶解、膨胀、黏度与残余油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用BSB或实验油PVT/黏温数据表征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P2</w:t>
            </w:r>
          </w:p>
        </w:tc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弥散与有限速率传质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决定CO2前缘展宽和突破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用示踪/突破曲线反演纵向弥散度与传质系数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P2</w:t>
            </w:r>
          </w:p>
        </w:tc>
        <w:tc>
          <w:tcPr>
            <w:tcW w:type="dxa" w:w="209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反应/改质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可能解释高温增产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先用产物组成与黏度变化证实，再加入动力学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微软雅黑" w:hAnsi="微软雅黑" w:eastAsia="微软雅黑"/>
          <w:b/>
          <w:color w:val="176A8A"/>
        </w:rPr>
        <w:t>7 下一阶段可复现实验方案</w:t>
      </w:r>
    </w:p>
    <w:p>
      <w:pPr>
        <w:pStyle w:val="正文"/>
      </w:pPr>
      <w:r>
        <w:rPr>
          <w:rFonts w:ascii="微软雅黑" w:hAnsi="微软雅黑" w:eastAsia="微软雅黑"/>
          <w:b w:val="0"/>
        </w:rPr>
        <w:t>建议采用“验证阶梯”而不是一次性扩展：每一级只新增一类机制，并沿用本算例的冻结矩阵、元数据和验收门槛。这样才能知道结果变化来自哪一项物理，而不是来自同时变化的输入与数值设置。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1247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721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体系与新增机制</w:t>
            </w:r>
          </w:p>
        </w:tc>
        <w:tc>
          <w:tcPr>
            <w:tcW w:type="dxa" w:w="2665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核心矩阵</w:t>
            </w:r>
          </w:p>
        </w:tc>
        <w:tc>
          <w:tcPr>
            <w:tcW w:type="dxa" w:w="2268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验收输出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A 计量闭环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当前SCW-CO2-n-C16；流量改为质量换算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6工况×2流量基准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PVI、质量率、压差一致性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B 非等温流动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加入能量方程、岩石热容和外壁换热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50 °C初始；400 °C注入；23/24 MPa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温度前缘、热利用率、压差、采收率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C 统一热力学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H2O-CO2-BSB；PR/SW/CPA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650–673 K，23–39 MPa，固定总组成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相数、相分率、逸度残差、组分分配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D 流动-相态耦合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C的模型进入1D砂管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CO2 0/5/10/20 mol%，等总质量率；两压力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前缘速度、突破、采收率、相态路径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E 机理确认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按数据证据增加弥散、传质或反应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5"/>
              </w:rPr>
              <w:t>单因子增量+留出工况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5"/>
              </w:rPr>
              <w:t>预测而非拟合的端点与全过程曲线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微软雅黑" w:hAnsi="微软雅黑" w:eastAsia="微软雅黑"/>
          <w:b/>
          <w:color w:val="243746"/>
        </w:rPr>
        <w:t>7.1 推荐的首个完整体系</w:t>
      </w:r>
    </w:p>
    <w:p>
      <w:pPr>
        <w:pStyle w:val="正文"/>
      </w:pPr>
      <w:r>
        <w:rPr>
          <w:rFonts w:ascii="微软雅黑" w:hAnsi="微软雅黑" w:eastAsia="微软雅黑"/>
          <w:b w:val="0"/>
        </w:rPr>
        <w:t>与PPT衔接最自然的体系是H2O-CO2-BSB伪组分油。先在0D闪蒸中复现PPT的653.15 K、28 MPa两液相工况及650 K、39 MPa三相工况，再进入一维非等温砂管。这样既能检验水作为组分的价值，也能与当前n-C16基线形成清晰对照。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243746"/>
        </w:rPr>
        <w:t>7.2 建议的最小辨识矩阵</w:t>
      </w:r>
    </w:p>
    <w:p>
      <w:pPr>
        <w:pStyle w:val="ListBullet"/>
        <w:spacing w:before="0" w:after="40" w:line="276" w:lineRule="auto"/>
      </w:pPr>
      <w:r>
        <w:rPr>
          <w:rFonts w:ascii="微软雅黑" w:hAnsi="微软雅黑" w:eastAsia="微软雅黑"/>
          <w:b w:val="0"/>
        </w:rPr>
        <w:t>压力：23、24、28 MPa；温度：620、647、653、673 K，用于跨越水临界邻域。</w:t>
      </w:r>
    </w:p>
    <w:p>
      <w:pPr>
        <w:pStyle w:val="ListBullet"/>
        <w:spacing w:before="0" w:after="40" w:line="276" w:lineRule="auto"/>
      </w:pPr>
      <w:r>
        <w:rPr>
          <w:rFonts w:ascii="微软雅黑" w:hAnsi="微软雅黑" w:eastAsia="微软雅黑"/>
          <w:b w:val="0"/>
        </w:rPr>
        <w:t>CO2：0、5、10、20 mol%，保持总注入质量率或总PVI一致；另保留等焓对照，避免把热量与组成混杂。</w:t>
      </w:r>
    </w:p>
    <w:p>
      <w:pPr>
        <w:pStyle w:val="ListBullet"/>
        <w:spacing w:before="0" w:after="40" w:line="276" w:lineRule="auto"/>
      </w:pPr>
      <w:r>
        <w:rPr>
          <w:rFonts w:ascii="微软雅黑" w:hAnsi="微软雅黑" w:eastAsia="微软雅黑"/>
          <w:b w:val="0"/>
        </w:rPr>
        <w:t>状态方程：PR、SW、CPA；先以逸度残差和相数为门槛，再比较流动输出。</w:t>
      </w:r>
    </w:p>
    <w:p>
      <w:pPr>
        <w:pStyle w:val="ListBullet"/>
        <w:spacing w:before="0" w:after="40" w:line="276" w:lineRule="auto"/>
      </w:pPr>
      <w:r>
        <w:rPr>
          <w:rFonts w:ascii="微软雅黑" w:hAnsi="微软雅黑" w:eastAsia="微软雅黑"/>
          <w:b w:val="0"/>
        </w:rPr>
        <w:t>每个主工况至少做nx和ΔPVI两级确认；只在需要量化随机实验误差时设置物理重复。</w:t>
      </w:r>
    </w:p>
    <w:p>
      <w:pPr>
        <w:pStyle w:val="Heading1"/>
        <w:keepNext/>
      </w:pPr>
      <w:r>
        <w:rPr>
          <w:rFonts w:ascii="微软雅黑" w:hAnsi="微软雅黑" w:eastAsia="微软雅黑"/>
          <w:b/>
          <w:color w:val="176A8A"/>
        </w:rPr>
        <w:t>8 结论</w:t>
      </w:r>
    </w:p>
    <w:p>
      <w:pPr>
        <w:spacing w:before="0" w:after="60" w:line="283" w:lineRule="auto"/>
        <w:ind w:left="397" w:hanging="397"/>
      </w:pPr>
      <w:r>
        <w:rPr>
          <w:rFonts w:ascii="微软雅黑" w:hAnsi="微软雅黑" w:eastAsia="微软雅黑"/>
          <w:b w:val="0"/>
        </w:rPr>
        <w:t>1.  已建立一个由公开物理输入驱动、包含六个工况和两类收敛检查的一维可复现数值算例。</w:t>
      </w:r>
    </w:p>
    <w:p>
      <w:pPr>
        <w:spacing w:before="0" w:after="60" w:line="283" w:lineRule="auto"/>
        <w:ind w:left="397" w:hanging="397"/>
      </w:pPr>
      <w:r>
        <w:rPr>
          <w:rFonts w:ascii="微软雅黑" w:hAnsi="微软雅黑" w:eastAsia="微软雅黑"/>
          <w:b w:val="0"/>
        </w:rPr>
        <w:t>2.  在当前闭合下，4 PVI采收率为87.2079%–87.2325%，等流量CO2独立组成效应只有约0.0012个百分点。</w:t>
      </w:r>
    </w:p>
    <w:p>
      <w:pPr>
        <w:spacing w:before="0" w:after="60" w:line="283" w:lineRule="auto"/>
        <w:ind w:left="397" w:hanging="397"/>
      </w:pPr>
      <w:r>
        <w:rPr>
          <w:rFonts w:ascii="微软雅黑" w:hAnsi="微软雅黑" w:eastAsia="微软雅黑"/>
          <w:b w:val="0"/>
        </w:rPr>
        <w:t>3.  含CO2工况未在4 PVI内达到1%突破阈值，最大出口/入口质量率比为5.98e-06；CO2主要局限在入口附近。</w:t>
      </w:r>
    </w:p>
    <w:p>
      <w:pPr>
        <w:spacing w:before="0" w:after="60" w:line="283" w:lineRule="auto"/>
        <w:ind w:left="397" w:hanging="397"/>
      </w:pPr>
      <w:r>
        <w:rPr>
          <w:rFonts w:ascii="微软雅黑" w:hAnsi="微软雅黑" w:eastAsia="微软雅黑"/>
          <w:b w:val="0"/>
        </w:rPr>
        <w:t>4.  模型无法复现物理实验中CO2带来的约7.8个百分点提升，证明当前基线不足以支撑机理结论，但为下一阶段模型增量提供了明确诊断。</w:t>
      </w:r>
    </w:p>
    <w:p>
      <w:pPr>
        <w:spacing w:before="0" w:after="60" w:line="283" w:lineRule="auto"/>
        <w:ind w:left="397" w:hanging="397"/>
      </w:pPr>
      <w:r>
        <w:rPr>
          <w:rFonts w:ascii="微软雅黑" w:hAnsi="微软雅黑" w:eastAsia="微软雅黑"/>
          <w:b w:val="0"/>
        </w:rPr>
        <w:t>5.  下一步应优先解决流量计量状态与能量方程，随后实现PPT提出的H2O跨三相热力学分配，并以H2O-CO2-BSB体系完成0D到1D的阶梯验证。</w:t>
      </w:r>
    </w:p>
    <w:p>
      <w:pPr>
        <w:pStyle w:val="Heading1"/>
        <w:keepNext/>
      </w:pPr>
      <w:r>
        <w:rPr>
          <w:rFonts w:ascii="微软雅黑" w:hAnsi="微软雅黑" w:eastAsia="微软雅黑"/>
          <w:b/>
          <w:color w:val="176A8A"/>
        </w:rPr>
        <w:t>参考资料</w:t>
      </w:r>
    </w:p>
    <w:p>
      <w:pPr>
        <w:spacing w:after="80"/>
        <w:ind w:left="397" w:hanging="397"/>
      </w:pPr>
      <w:r>
        <w:rPr>
          <w:rFonts w:ascii="微软雅黑" w:hAnsi="微软雅黑" w:eastAsia="微软雅黑"/>
          <w:b w:val="0"/>
          <w:sz w:val="17"/>
        </w:rPr>
        <w:t>[1] Sun Y, Zhang L, Bai Y, et al. Analysis of Adaptability and Application Potential of Supercritical Multi-Source Multi-Component Thermal Fluid Technology for Offshore Heavy Oil in China. Applied Sciences, 2024, 14: 3588. DOI: 10.3390/app14093588.</w:t>
      </w:r>
    </w:p>
    <w:p>
      <w:pPr>
        <w:spacing w:after="80"/>
        <w:ind w:left="397" w:hanging="397"/>
      </w:pPr>
      <w:r>
        <w:rPr>
          <w:rFonts w:ascii="微软雅黑" w:hAnsi="微软雅黑" w:eastAsia="微软雅黑"/>
          <w:b w:val="0"/>
          <w:sz w:val="17"/>
        </w:rPr>
        <w:t>[2] 《超临界水渗流多相多组分模型9》项目内部演示文稿，12页，用户提供。</w:t>
      </w:r>
    </w:p>
    <w:p>
      <w:pPr>
        <w:spacing w:after="80"/>
        <w:ind w:left="397" w:hanging="397"/>
      </w:pPr>
      <w:r>
        <w:rPr>
          <w:rFonts w:ascii="微软雅黑" w:hAnsi="微软雅黑" w:eastAsia="微软雅黑"/>
          <w:b w:val="0"/>
          <w:sz w:val="17"/>
        </w:rPr>
        <w:t>[3] MPMC_SCW_UNIFIED项目源代码及case/sun2024_scw_co2_nc16_factorial_1d算例；本报告代码基线见封面。</w:t>
      </w:r>
    </w:p>
    <w:p>
      <w:pPr>
        <w:pStyle w:val="Heading1"/>
        <w:keepNext/>
      </w:pPr>
      <w:r>
        <w:rPr>
          <w:rFonts w:ascii="微软雅黑" w:hAnsi="微软雅黑" w:eastAsia="微软雅黑"/>
          <w:b/>
          <w:color w:val="176A8A"/>
        </w:rPr>
        <w:t>附录A 复现步骤与数据清单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243746"/>
        </w:rPr>
        <w:t>A.1 最小复现步骤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7F7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Consolas" w:hAnsi="Consolas" w:eastAsia="Consolas"/>
                <w:sz w:val="15"/>
              </w:rPr>
              <w:t>RATE_BASIS=in_situ_volume bash case/sun2024_scw_co2_nc16_factorial_1d/scripts/run_matrix.sh grid</w:t>
              <w:br/>
            </w:r>
            <w:r>
              <w:rPr>
                <w:rFonts w:ascii="Consolas" w:hAnsi="Consolas" w:eastAsia="Consolas"/>
                <w:sz w:val="15"/>
              </w:rPr>
              <w:t>RATE_BASIS=in_situ_volume bash case/sun2024_scw_co2_nc16_factorial_1d/scripts/run_matrix.sh time</w:t>
              <w:br/>
            </w:r>
            <w:r>
              <w:rPr>
                <w:rFonts w:ascii="Consolas" w:hAnsi="Consolas" w:eastAsia="Consolas"/>
                <w:sz w:val="15"/>
              </w:rPr>
              <w:t>RATE_BASIS=in_situ_volume bash case/sun2024_scw_co2_nc16_factorial_1d/scripts/run_matrix.sh formal</w:t>
              <w:br/>
            </w:r>
            <w:r>
              <w:rPr>
                <w:rFonts w:ascii="Consolas" w:hAnsi="Consolas" w:eastAsia="Consolas"/>
                <w:sz w:val="15"/>
              </w:rPr>
              <w:t>python case/sun2024_scw_co2_nc16_factorial_1d/scripts/generate_report_artifacts.py [路径参数见README]</w:t>
            </w:r>
          </w:p>
        </w:tc>
      </w:tr>
    </w:tbl>
    <w:p>
      <w:pPr>
        <w:pStyle w:val="Heading2"/>
        <w:keepNext/>
      </w:pPr>
      <w:r>
        <w:rPr>
          <w:rFonts w:ascii="微软雅黑" w:hAnsi="微软雅黑" w:eastAsia="微软雅黑"/>
          <w:b/>
          <w:color w:val="243746"/>
        </w:rPr>
        <w:t>A.2 机器可读输出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3402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5386"/>
            <w:shd w:fill="176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data/endpoint_summary.csv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六工况端点、压差、守恒与突破指标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data/effect_decomposition.csv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流量、等流量CO2组分、合并效应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data/recovery_curves.csv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六工况全过程采收曲线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data/pressure_drop_curves.csv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六工况全过程注采压差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data/R12_spatial_profiles.csv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0.5/1/2/4 PVI沿程状态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data/grid_convergence_summary.csv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网格收敛结果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data/time_convergence_summary.csv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时间步收敛结果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data/figure_provenance.json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4F5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6"/>
              </w:rPr>
              <w:t>数据源、变换、绘图软件与模型限制</w:t>
            </w:r>
          </w:p>
        </w:tc>
      </w:tr>
    </w:tbl>
    <w:p>
      <w:pPr>
        <w:spacing w:after="0"/>
      </w:pPr>
    </w:p>
    <w:p>
      <w:pPr>
        <w:pStyle w:val="正文"/>
      </w:pPr>
      <w:r>
        <w:rPr>
          <w:rFonts w:ascii="微软雅黑" w:hAnsi="微软雅黑" w:eastAsia="微软雅黑"/>
          <w:b w:val="0"/>
        </w:rPr>
        <w:t>图件由Matplotlib 3.10.0生成，同时提供600 dpi PNG与矢量PDF；无平滑处理，使用色盲友好配色并以线型和标记冗余编码。</w:t>
      </w:r>
    </w:p>
    <w:p>
      <w:pPr>
        <w:pStyle w:val="Heading2"/>
        <w:keepNext/>
      </w:pPr>
      <w:r>
        <w:rPr>
          <w:rFonts w:ascii="微软雅黑" w:hAnsi="微软雅黑" w:eastAsia="微软雅黑"/>
          <w:b/>
          <w:color w:val="243746"/>
        </w:rPr>
        <w:t>A.3 复现声明</w:t>
      </w:r>
    </w:p>
    <w:p>
      <w:pPr>
        <w:pStyle w:val="正文"/>
      </w:pPr>
      <w:r>
        <w:rPr>
          <w:rFonts w:ascii="微软雅黑" w:hAnsi="微软雅黑" w:eastAsia="微软雅黑"/>
          <w:b w:val="0"/>
        </w:rPr>
        <w:t>本报告所有数值图表来自本轮明确指定的新结果目录。绘图脚本不搜索其他results目录；物理实验值仅来自case-local physical_validation_targets.csv，并只作外部面对比。正式算例元数据记录nx=96、ΔPVI=0.01、4 PVI、单进程与in_situ_volume流量解释。</w:t>
      </w:r>
    </w:p>
    <w:sectPr w:rsidR="00FC693F" w:rsidRPr="0006063C" w:rsidSect="00034616">
      <w:headerReference w:type="default" r:id="rId14"/>
      <w:footerReference w:type="default" r:id="rId15"/>
      <w:pgSz w:w="11906" w:h="16838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B7280"/>
        <w:sz w:val="16"/>
      </w:rPr>
      <w:t xml:space="preserve">— </w:t>
    </w:r>
    <w:r>
      <w:rPr>
        <w:rFonts w:ascii="微软雅黑" w:hAnsi="微软雅黑" w:eastAsia="微软雅黑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b w:val="0"/>
        <w:color w:val="6B7280"/>
        <w:sz w:val="1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color w:val="6B7280"/>
        <w:sz w:val="16"/>
      </w:rPr>
      <w:t>MPMC_SCW_UNIFIED  |  可复现数值算例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6A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4374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4374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">
    <w:name w:val="正文"/>
    <w:basedOn w:val="Normal"/>
    <w:pPr>
      <w:spacing w:line="307" w:lineRule="auto" w:after="100"/>
      <w:ind w:firstLine="420"/>
    </w:pPr>
    <w:rPr>
      <w:rFonts w:ascii="微软雅黑" w:hAnsi="微软雅黑" w:eastAsia="微软雅黑"/>
      <w:sz w:val="19"/>
    </w:rPr>
  </w:style>
  <w:style w:type="paragraph" w:customStyle="1" w:styleId="图注">
    <w:name w:val="图注"/>
    <w:basedOn w:val="Normal"/>
    <w:pPr>
      <w:spacing w:after="160"/>
    </w:pPr>
    <w:rPr>
      <w:rFonts w:ascii="微软雅黑" w:hAnsi="微软雅黑" w:eastAsia="微软雅黑"/>
      <w:i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超临界水-CO2-n-C16一维砂管可复现数值算例报告</dc:title>
  <dc:subject>压力×组分×流量解耦；新计算结果；可复现数值实验</dc:subject>
  <dc:creator>python-docx</dc:creator>
  <cp:keywords>超临界水, CO2, 多相多组分, 数值实验, 可复现</cp:keywords>
  <dc:description>Numerical results generated in this work only; no existing numerical experiment data used.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