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876DA">
      <w:pPr>
        <w:pStyle w:val="14"/>
      </w:pPr>
      <w:r>
        <w:t>AI 审计管理办法</w:t>
      </w:r>
    </w:p>
    <w:p w14:paraId="504BA3A5">
      <w:pPr>
        <w:pStyle w:val="12"/>
        <w:spacing w:after="120"/>
        <w:rPr>
          <w:rFonts w:hint="eastAsia"/>
        </w:rPr>
      </w:pPr>
    </w:p>
    <w:p w14:paraId="01D03B21">
      <w:pPr>
        <w:pStyle w:val="2"/>
        <w:spacing w:before="160" w:after="80"/>
      </w:pPr>
      <w:r>
        <w:rPr>
          <w:rFonts w:ascii="微软雅黑" w:hAnsi="微软雅黑" w:eastAsia="微软雅黑"/>
        </w:rPr>
        <w:t>1. 总则</w:t>
      </w:r>
    </w:p>
    <w:p w14:paraId="6F95FCF3">
      <w:pPr>
        <w:pStyle w:val="12"/>
        <w:spacing w:after="120"/>
        <w:rPr>
          <w:rFonts w:hint="eastAsia"/>
        </w:rPr>
      </w:pPr>
    </w:p>
    <w:p w14:paraId="7012FEBA">
      <w:pPr>
        <w:pStyle w:val="3"/>
        <w:spacing w:before="160" w:after="80"/>
      </w:pPr>
      <w:r>
        <w:rPr>
          <w:rFonts w:ascii="微软雅黑" w:hAnsi="微软雅黑" w:eastAsia="微软雅黑"/>
        </w:rPr>
        <w:t>1.1 目的</w:t>
      </w:r>
    </w:p>
    <w:p w14:paraId="49DD04CD">
      <w:pPr>
        <w:pStyle w:val="12"/>
        <w:spacing w:after="120"/>
        <w:rPr>
          <w:rFonts w:hint="eastAsia"/>
        </w:rPr>
      </w:pPr>
    </w:p>
    <w:p w14:paraId="4357904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为规范使用 AI 对软件项目开展代码审计、质量审计、安全审计和交付审计的工作过程，保证审计结论基于证据、规则一致、可复核、可追踪、可整改，制定本办法。</w:t>
      </w:r>
    </w:p>
    <w:p w14:paraId="79A53834">
      <w:pPr>
        <w:pStyle w:val="12"/>
        <w:spacing w:after="120"/>
        <w:rPr>
          <w:rFonts w:hint="eastAsia"/>
        </w:rPr>
      </w:pPr>
    </w:p>
    <w:p w14:paraId="69E1C9B6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本办法依据 `code-audit-report` skill 的审计原则、审计流程、评分体系、报告结构、误报与基线管理规则整理，适用于以 AI 辅助人工审计的代码仓库、交付版本、增量变更、CI 门禁和外部交付前质量评估。</w:t>
      </w:r>
    </w:p>
    <w:p w14:paraId="376972A0">
      <w:pPr>
        <w:pStyle w:val="12"/>
        <w:spacing w:after="120"/>
        <w:rPr>
          <w:rFonts w:hint="eastAsia"/>
        </w:rPr>
      </w:pPr>
    </w:p>
    <w:p w14:paraId="4AA92C7A">
      <w:pPr>
        <w:pStyle w:val="3"/>
        <w:spacing w:before="160" w:after="80"/>
      </w:pPr>
      <w:r>
        <w:rPr>
          <w:rFonts w:ascii="微软雅黑" w:hAnsi="微软雅黑" w:eastAsia="微软雅黑"/>
        </w:rPr>
        <w:t>1.2 适用范围</w:t>
      </w:r>
    </w:p>
    <w:p w14:paraId="686EAE43">
      <w:pPr>
        <w:pStyle w:val="12"/>
        <w:spacing w:after="120"/>
        <w:rPr>
          <w:rFonts w:hint="eastAsia"/>
        </w:rPr>
      </w:pPr>
    </w:p>
    <w:p w14:paraId="4314F52F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本办法适用于以下审计场景：</w:t>
      </w:r>
    </w:p>
    <w:p w14:paraId="56B22AE3">
      <w:pPr>
        <w:pStyle w:val="12"/>
        <w:spacing w:after="120"/>
        <w:rPr>
          <w:rFonts w:hint="eastAsia"/>
        </w:rPr>
      </w:pPr>
    </w:p>
    <w:p w14:paraId="23610D65">
      <w:pPr>
        <w:pStyle w:val="11"/>
        <w:numPr>
          <w:ilvl w:val="0"/>
          <w:numId w:val="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全量代码仓库审计。</w:t>
      </w:r>
    </w:p>
    <w:p w14:paraId="05AC6003">
      <w:pPr>
        <w:pStyle w:val="11"/>
        <w:numPr>
          <w:ilvl w:val="0"/>
          <w:numId w:val="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指定分支、提交范围或 Pull Request 的增量审计。</w:t>
      </w:r>
    </w:p>
    <w:p w14:paraId="2AFAC8AE">
      <w:pPr>
        <w:pStyle w:val="11"/>
        <w:numPr>
          <w:ilvl w:val="0"/>
          <w:numId w:val="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发布前质量、安全和交付准备度审计。</w:t>
      </w:r>
    </w:p>
    <w:p w14:paraId="64DBE396">
      <w:pPr>
        <w:pStyle w:val="11"/>
        <w:numPr>
          <w:ilvl w:val="0"/>
          <w:numId w:val="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研发过程中的专项审计，例如安全专项、架构专项、可靠性专项、供应链专项。</w:t>
      </w:r>
    </w:p>
    <w:p w14:paraId="4E053FC0">
      <w:pPr>
        <w:pStyle w:val="11"/>
        <w:numPr>
          <w:ilvl w:val="0"/>
          <w:numId w:val="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已有工具结果的复核审计，例如 SARIF、Semgrep、Gitleaks、依赖漏洞扫描、SBOM 结果导入后的人工确认。</w:t>
      </w:r>
    </w:p>
    <w:p w14:paraId="025615FE">
      <w:pPr>
        <w:pStyle w:val="12"/>
        <w:spacing w:after="120"/>
        <w:rPr>
          <w:rFonts w:hint="eastAsia"/>
        </w:rPr>
      </w:pPr>
    </w:p>
    <w:p w14:paraId="5D053FA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本办法覆盖 Java、C/C++、C、Shell、BAT/CMD、Kotlin、Blazor、XAML/WPF、CSS、Lua、PHP、Python、Go、JavaScript/TypeScript、SQL、配置文件、CI 文件、容器文件及混合语言项目。</w:t>
      </w:r>
    </w:p>
    <w:p w14:paraId="09F531FD">
      <w:pPr>
        <w:pStyle w:val="12"/>
        <w:spacing w:after="120"/>
        <w:rPr>
          <w:rFonts w:hint="eastAsia"/>
        </w:rPr>
      </w:pPr>
    </w:p>
    <w:p w14:paraId="62A5E004">
      <w:pPr>
        <w:pStyle w:val="3"/>
        <w:spacing w:before="160" w:after="80"/>
      </w:pPr>
      <w:r>
        <w:rPr>
          <w:rFonts w:ascii="微软雅黑" w:hAnsi="微软雅黑" w:eastAsia="微软雅黑"/>
        </w:rPr>
        <w:t>1.3 审计原则</w:t>
      </w:r>
    </w:p>
    <w:p w14:paraId="7835A93F">
      <w:pPr>
        <w:pStyle w:val="12"/>
        <w:spacing w:after="120"/>
        <w:rPr>
          <w:rFonts w:hint="eastAsia"/>
        </w:rPr>
      </w:pPr>
    </w:p>
    <w:p w14:paraId="157AA6CC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证据优先。每一项问题必须基于源代码、配置、依赖清单、工具输出、提交记录、设计资料或可复现行为。</w:t>
      </w:r>
    </w:p>
    <w:p w14:paraId="5312F0AA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禁止编造。AI 不得在缺少证据的情况下推断为确定问题；证据不足但存在合理怀疑的，应标记为“待复核”。</w:t>
      </w:r>
    </w:p>
    <w:p w14:paraId="7686AABD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定位明确。优先提供文件路径和行号；无法提供行号时，应提供类、方法、函数、配置键、命令或依赖坐标。</w:t>
      </w:r>
    </w:p>
    <w:p w14:paraId="4D203A06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风险优先。安全、功能正确性、可靠性和架构风险优先于纯风格问题。</w:t>
      </w:r>
    </w:p>
    <w:p w14:paraId="7D9145FD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根因归并。重复问题应按根因合并，不按每个重复位置机械堆叠。</w:t>
      </w:r>
    </w:p>
    <w:p w14:paraId="27992762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可追踪。问题应具有稳定的规则 ID、指纹、状态、责任人、整改建议和复核记录。</w:t>
      </w:r>
    </w:p>
    <w:p w14:paraId="1D790F32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不静默修改。审计过程中不得擅自修改被审计项目源码、生产配置、依赖版本或 CI 文件，除非用户明确要求修复。</w:t>
      </w:r>
    </w:p>
    <w:p w14:paraId="44522E7C">
      <w:pPr>
        <w:pStyle w:val="11"/>
        <w:numPr>
          <w:ilvl w:val="0"/>
          <w:numId w:val="2"/>
        </w:numPr>
        <w:spacing w:after="120"/>
        <w:ind w:left="425" w:leftChars="0" w:hanging="425" w:firstLineChars="0"/>
        <w:rPr>
          <w:rFonts w:ascii="微软雅黑" w:hAnsi="微软雅黑" w:eastAsia="微软雅黑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工具输出需复核。静态扫描、漏洞扫描和 AI 判断均不得直接等同于最终结论，必须结合上下文复核。</w:t>
      </w:r>
    </w:p>
    <w:p w14:paraId="2B4EEE6F">
      <w:pPr>
        <w:pStyle w:val="12"/>
        <w:spacing w:after="120"/>
        <w:rPr>
          <w:rFonts w:hint="eastAsia"/>
        </w:rPr>
      </w:pPr>
    </w:p>
    <w:p w14:paraId="517DABC6">
      <w:pPr>
        <w:pStyle w:val="2"/>
        <w:spacing w:before="160" w:after="80"/>
      </w:pPr>
      <w:r>
        <w:rPr>
          <w:rFonts w:ascii="微软雅黑" w:hAnsi="微软雅黑" w:eastAsia="微软雅黑"/>
        </w:rPr>
        <w:t>2. 角色职责</w:t>
      </w:r>
    </w:p>
    <w:p w14:paraId="489AAE1D">
      <w:pPr>
        <w:pStyle w:val="12"/>
        <w:spacing w:after="120"/>
        <w:rPr>
          <w:rFonts w:hint="eastAsia"/>
        </w:rPr>
      </w:pPr>
    </w:p>
    <w:p w14:paraId="50C2B551">
      <w:pPr>
        <w:pStyle w:val="3"/>
        <w:spacing w:before="160" w:after="80"/>
      </w:pPr>
      <w:r>
        <w:rPr>
          <w:rFonts w:ascii="微软雅黑" w:hAnsi="微软雅黑" w:eastAsia="微软雅黑"/>
        </w:rPr>
        <w:t>2.1 审计发起人</w:t>
      </w:r>
    </w:p>
    <w:p w14:paraId="63627CE5">
      <w:pPr>
        <w:pStyle w:val="12"/>
        <w:spacing w:after="120"/>
        <w:rPr>
          <w:rFonts w:hint="eastAsia"/>
        </w:rPr>
      </w:pPr>
    </w:p>
    <w:p w14:paraId="74A7C5B6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审计发起人负责明确审计目标、范围、版本、交付时间和验收标准，提供必要的业务背景、权限模型、运行环境、构建方式和已知风险。</w:t>
      </w:r>
    </w:p>
    <w:p w14:paraId="6091449D">
      <w:pPr>
        <w:pStyle w:val="12"/>
        <w:spacing w:after="120"/>
        <w:rPr>
          <w:rFonts w:hint="eastAsia"/>
        </w:rPr>
      </w:pPr>
    </w:p>
    <w:p w14:paraId="062D7654">
      <w:pPr>
        <w:pStyle w:val="3"/>
        <w:spacing w:before="160" w:after="80"/>
      </w:pPr>
      <w:r>
        <w:rPr>
          <w:rFonts w:ascii="微软雅黑" w:hAnsi="微软雅黑" w:eastAsia="微软雅黑"/>
        </w:rPr>
        <w:t>2.2 AI 审计执行者</w:t>
      </w:r>
    </w:p>
    <w:p w14:paraId="3D2D8B2C">
      <w:pPr>
        <w:pStyle w:val="12"/>
        <w:spacing w:after="120"/>
        <w:rPr>
          <w:rFonts w:hint="eastAsia"/>
        </w:rPr>
      </w:pPr>
    </w:p>
    <w:p w14:paraId="168C8E2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审计执行者负责执行项目盘点、规则匹配、工具调用、结果分析、人工复核辅助、报告生成和整改建议整理。AI 审计执行者必须标明证据来源、置信度、限制项和待复核项。</w:t>
      </w:r>
    </w:p>
    <w:p w14:paraId="2C140F4A">
      <w:pPr>
        <w:pStyle w:val="12"/>
        <w:spacing w:after="120"/>
        <w:rPr>
          <w:rFonts w:hint="eastAsia"/>
        </w:rPr>
      </w:pPr>
    </w:p>
    <w:p w14:paraId="5FD8B7D4">
      <w:pPr>
        <w:pStyle w:val="3"/>
        <w:spacing w:before="160" w:after="80"/>
      </w:pPr>
      <w:r>
        <w:rPr>
          <w:rFonts w:ascii="微软雅黑" w:hAnsi="微软雅黑" w:eastAsia="微软雅黑"/>
        </w:rPr>
        <w:t>2.3 技术负责人</w:t>
      </w:r>
    </w:p>
    <w:p w14:paraId="1F0E72B7">
      <w:pPr>
        <w:pStyle w:val="12"/>
        <w:spacing w:after="120"/>
        <w:rPr>
          <w:rFonts w:hint="eastAsia"/>
        </w:rPr>
      </w:pPr>
    </w:p>
    <w:p w14:paraId="6CEA9FE9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技术负责人负责确认架构、核心业务逻辑、数据一致性、运行环境约束和整改可行性，对高风险和中风险问题给出处理意见。</w:t>
      </w:r>
    </w:p>
    <w:p w14:paraId="352F8BC7">
      <w:pPr>
        <w:pStyle w:val="12"/>
        <w:spacing w:after="120"/>
        <w:rPr>
          <w:rFonts w:hint="eastAsia"/>
        </w:rPr>
      </w:pPr>
    </w:p>
    <w:p w14:paraId="287EF09F">
      <w:pPr>
        <w:pStyle w:val="3"/>
        <w:spacing w:before="160" w:after="80"/>
      </w:pPr>
      <w:r>
        <w:rPr>
          <w:rFonts w:ascii="微软雅黑" w:hAnsi="微软雅黑" w:eastAsia="微软雅黑"/>
        </w:rPr>
        <w:t>2.4 安全负责人</w:t>
      </w:r>
    </w:p>
    <w:p w14:paraId="2E43A731">
      <w:pPr>
        <w:pStyle w:val="12"/>
        <w:spacing w:after="120"/>
        <w:rPr>
          <w:rFonts w:hint="eastAsia"/>
        </w:rPr>
      </w:pPr>
    </w:p>
    <w:p w14:paraId="3B61AA3F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安全负责人负责确认漏洞等级、可利用性、CWE/OWASP 映射、补偿控制、风险接受期限和发布门禁策略。</w:t>
      </w:r>
    </w:p>
    <w:p w14:paraId="78D8670D">
      <w:pPr>
        <w:pStyle w:val="12"/>
        <w:spacing w:after="120"/>
        <w:rPr>
          <w:rFonts w:hint="eastAsia"/>
        </w:rPr>
      </w:pPr>
    </w:p>
    <w:p w14:paraId="2F7D79C2">
      <w:pPr>
        <w:pStyle w:val="3"/>
        <w:spacing w:before="160" w:after="80"/>
      </w:pPr>
      <w:r>
        <w:rPr>
          <w:rFonts w:ascii="微软雅黑" w:hAnsi="微软雅黑" w:eastAsia="微软雅黑"/>
        </w:rPr>
        <w:t>2.5 整改责任人</w:t>
      </w:r>
    </w:p>
    <w:p w14:paraId="267432EE">
      <w:pPr>
        <w:pStyle w:val="12"/>
        <w:spacing w:after="120"/>
        <w:rPr>
          <w:rFonts w:hint="eastAsia"/>
        </w:rPr>
      </w:pPr>
    </w:p>
    <w:p w14:paraId="1195757B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整改责任人负责按优先级修复问题、补充测试、提交复测材料，并在风险接受时说明业务理由、缓解措施和有效期限。</w:t>
      </w:r>
    </w:p>
    <w:p w14:paraId="7B4DFB6E">
      <w:pPr>
        <w:pStyle w:val="12"/>
        <w:spacing w:after="120"/>
        <w:rPr>
          <w:rFonts w:hint="eastAsia"/>
        </w:rPr>
      </w:pPr>
    </w:p>
    <w:p w14:paraId="7573AC47">
      <w:pPr>
        <w:pStyle w:val="2"/>
        <w:spacing w:before="160" w:after="80"/>
      </w:pPr>
      <w:r>
        <w:rPr>
          <w:rFonts w:ascii="微软雅黑" w:hAnsi="微软雅黑" w:eastAsia="微软雅黑"/>
        </w:rPr>
        <w:t>3. 审计流程</w:t>
      </w:r>
    </w:p>
    <w:p w14:paraId="1031DB38">
      <w:pPr>
        <w:pStyle w:val="12"/>
        <w:spacing w:after="120"/>
        <w:rPr>
          <w:rFonts w:hint="eastAsia"/>
        </w:rPr>
      </w:pPr>
    </w:p>
    <w:p w14:paraId="1425405D">
      <w:pPr>
        <w:pStyle w:val="3"/>
        <w:spacing w:before="160" w:after="80"/>
      </w:pPr>
      <w:r>
        <w:rPr>
          <w:rFonts w:ascii="微软雅黑" w:hAnsi="微软雅黑" w:eastAsia="微软雅黑"/>
        </w:rPr>
        <w:t>3.1 范围确认</w:t>
      </w:r>
    </w:p>
    <w:p w14:paraId="3503CC61">
      <w:pPr>
        <w:pStyle w:val="12"/>
        <w:spacing w:after="120"/>
        <w:rPr>
          <w:rFonts w:hint="eastAsia"/>
        </w:rPr>
      </w:pPr>
    </w:p>
    <w:p w14:paraId="03EA4118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审计开始前应确认以下信息：</w:t>
      </w:r>
    </w:p>
    <w:p w14:paraId="15A94A97">
      <w:pPr>
        <w:pStyle w:val="12"/>
        <w:spacing w:after="120"/>
        <w:rPr>
          <w:rFonts w:hint="eastAsia"/>
        </w:rPr>
      </w:pPr>
    </w:p>
    <w:p w14:paraId="11A93919">
      <w:pPr>
        <w:pStyle w:val="11"/>
        <w:numPr>
          <w:ilvl w:val="0"/>
          <w:numId w:val="3"/>
        </w:numPr>
        <w:spacing w:after="120" w:afterLines="0"/>
        <w:ind w:left="425" w:leftChars="0" w:hanging="425" w:firstLineChars="0"/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ascii="微软雅黑" w:hAnsi="微软雅黑" w:eastAsia="微软雅黑" w:cs="Times New Roman"/>
          <w:kern w:val="2"/>
          <w:sz w:val="24"/>
          <w:szCs w:val="24"/>
          <w:lang w:bidi="ar-SA"/>
        </w:rPr>
        <w:t>仓库路径、分支、提交范围或变更基线。</w:t>
      </w:r>
    </w:p>
    <w:p w14:paraId="37145081">
      <w:pPr>
        <w:pStyle w:val="11"/>
        <w:numPr>
          <w:ilvl w:val="0"/>
          <w:numId w:val="3"/>
        </w:numPr>
        <w:spacing w:after="120" w:afterLines="0"/>
        <w:ind w:left="425" w:leftChars="0" w:hanging="425" w:firstLineChars="0"/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ascii="微软雅黑" w:hAnsi="微软雅黑" w:eastAsia="微软雅黑" w:cs="Times New Roman"/>
          <w:kern w:val="2"/>
          <w:sz w:val="24"/>
          <w:szCs w:val="24"/>
          <w:lang w:bidi="ar-SA"/>
        </w:rPr>
        <w:t>主要语言、框架、构建系统和运行平台。</w:t>
      </w:r>
    </w:p>
    <w:p w14:paraId="1CF98CFA">
      <w:pPr>
        <w:pStyle w:val="11"/>
        <w:numPr>
          <w:ilvl w:val="0"/>
          <w:numId w:val="3"/>
        </w:numPr>
        <w:spacing w:after="120" w:afterLines="0"/>
        <w:ind w:left="425" w:leftChars="0" w:hanging="425" w:firstLineChars="0"/>
        <w:rPr>
          <w:rFonts w:ascii="Times New Roman" w:hAnsi="Times New Roman" w:eastAsia="宋体" w:cs="Times New Roman"/>
          <w:b w:val="0"/>
          <w:kern w:val="2"/>
          <w:sz w:val="24"/>
          <w:szCs w:val="24"/>
          <w:lang w:bidi="ar-SA"/>
        </w:rPr>
      </w:pPr>
      <w:r>
        <w:rPr>
          <w:rFonts w:ascii="微软雅黑" w:hAnsi="微软雅黑" w:eastAsia="微软雅黑" w:cs="Times New Roman"/>
          <w:kern w:val="2"/>
          <w:sz w:val="24"/>
          <w:szCs w:val="24"/>
          <w:lang w:bidi="ar-SA"/>
        </w:rPr>
        <w:t>审计范围和排除范围，例如生成代码、第三方 vendored 代码、测试夹具、历史归档目录。</w:t>
      </w:r>
    </w:p>
    <w:p w14:paraId="247F379C">
      <w:pPr>
        <w:pStyle w:val="11"/>
        <w:numPr>
          <w:ilvl w:val="0"/>
          <w:numId w:val="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审计重点，例如安全、架构、可靠性、发布准备度、供应链。</w:t>
      </w:r>
    </w:p>
    <w:p w14:paraId="123A8ACC">
      <w:pPr>
        <w:pStyle w:val="11"/>
        <w:numPr>
          <w:ilvl w:val="0"/>
          <w:numId w:val="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交付形式，例如结构化 JSON、离线 HTML 报告、整改清单、CI 门禁结果。</w:t>
      </w:r>
    </w:p>
    <w:p w14:paraId="3C20BDFA">
      <w:pPr>
        <w:pStyle w:val="11"/>
        <w:numPr>
          <w:ilvl w:val="0"/>
          <w:numId w:val="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是否启用增量审计、基线管理、SBOM、脱敏报告和 CI 门禁。</w:t>
      </w:r>
    </w:p>
    <w:p w14:paraId="6A6636C1">
      <w:pPr>
        <w:pStyle w:val="12"/>
        <w:spacing w:after="120"/>
        <w:rPr>
          <w:rFonts w:hint="eastAsia"/>
        </w:rPr>
      </w:pPr>
    </w:p>
    <w:p w14:paraId="4ED4E33F">
      <w:pPr>
        <w:pStyle w:val="3"/>
        <w:spacing w:before="160" w:after="80"/>
      </w:pPr>
      <w:r>
        <w:rPr>
          <w:rFonts w:ascii="微软雅黑" w:hAnsi="微软雅黑" w:eastAsia="微软雅黑"/>
        </w:rPr>
        <w:t>3.2 项目盘点</w:t>
      </w:r>
    </w:p>
    <w:p w14:paraId="2AD2EC54">
      <w:pPr>
        <w:pStyle w:val="12"/>
        <w:spacing w:after="120"/>
        <w:rPr>
          <w:rFonts w:hint="eastAsia"/>
        </w:rPr>
      </w:pPr>
    </w:p>
    <w:p w14:paraId="3A257046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项目盘点应至少记录：</w:t>
      </w:r>
    </w:p>
    <w:p w14:paraId="125E3F85">
      <w:pPr>
        <w:pStyle w:val="12"/>
        <w:spacing w:after="120"/>
        <w:rPr>
          <w:rFonts w:hint="eastAsia"/>
        </w:rPr>
      </w:pPr>
    </w:p>
    <w:p w14:paraId="11DD2AF4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文件总数、源码文件数、被排除文件数、源码行数。</w:t>
      </w:r>
    </w:p>
    <w:p w14:paraId="3BA83F7B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语言分布、扩展名分布、核心目录和入口点。</w:t>
      </w:r>
    </w:p>
    <w:p w14:paraId="16344232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构建系统、依赖清单、锁文件、容器文件、CI 文件。</w:t>
      </w:r>
    </w:p>
    <w:p w14:paraId="3DC4874B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测试目录、测试文件数量、测试框架。</w:t>
      </w:r>
    </w:p>
    <w:p w14:paraId="1D1AC2B2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配置文件、密钥风险提示、外部接口、数据访问点、命令执行点。</w:t>
      </w:r>
    </w:p>
    <w:p w14:paraId="1E33BB24">
      <w:pPr>
        <w:pStyle w:val="11"/>
        <w:numPr>
          <w:ilvl w:val="0"/>
          <w:numId w:val="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已有工具配置，例如 `.editorconfig`、静态分析配置、测试配置、安全扫描配置。</w:t>
      </w:r>
    </w:p>
    <w:p w14:paraId="01A8C5E5">
      <w:pPr>
        <w:pStyle w:val="12"/>
        <w:spacing w:after="120"/>
        <w:rPr>
          <w:rFonts w:hint="eastAsia"/>
        </w:rPr>
      </w:pPr>
    </w:p>
    <w:p w14:paraId="2F5BBEE8">
      <w:pPr>
        <w:pStyle w:val="3"/>
        <w:spacing w:before="160" w:after="80"/>
      </w:pPr>
      <w:r>
        <w:rPr>
          <w:rFonts w:ascii="微软雅黑" w:hAnsi="微软雅黑" w:eastAsia="微软雅黑"/>
        </w:rPr>
        <w:t>3.3 工具审计</w:t>
      </w:r>
    </w:p>
    <w:p w14:paraId="0C4CF8E7">
      <w:pPr>
        <w:pStyle w:val="12"/>
        <w:spacing w:after="120"/>
        <w:rPr>
          <w:rFonts w:hint="eastAsia"/>
        </w:rPr>
      </w:pPr>
    </w:p>
    <w:p w14:paraId="0A316D6D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工具审计按以下顺序优先执行：</w:t>
      </w:r>
    </w:p>
    <w:p w14:paraId="23235D14">
      <w:pPr>
        <w:pStyle w:val="12"/>
        <w:spacing w:after="120"/>
        <w:rPr>
          <w:rFonts w:hint="eastAsia"/>
        </w:rPr>
      </w:pPr>
    </w:p>
    <w:p w14:paraId="007EDD7F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构建或编译检查。</w:t>
      </w:r>
    </w:p>
    <w:p w14:paraId="6E3821D3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单元测试和集成测试。</w:t>
      </w:r>
    </w:p>
    <w:p w14:paraId="7B919F1F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语言静态分析、代码规范检查、类型检查。</w:t>
      </w:r>
    </w:p>
    <w:p w14:paraId="7D2E60ED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依赖漏洞、许可证、SBOM 和容器镜像扫描。</w:t>
      </w:r>
    </w:p>
    <w:p w14:paraId="1E4FEBB2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密钥扫描。</w:t>
      </w:r>
    </w:p>
    <w:p w14:paraId="58EE58EB">
      <w:pPr>
        <w:pStyle w:val="11"/>
        <w:numPr>
          <w:ilvl w:val="0"/>
          <w:numId w:val="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安全规则和高风险模式扫描。</w:t>
      </w:r>
    </w:p>
    <w:p w14:paraId="0B20314E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工具记录应包含工具名称、版本、命令、退出码、耗时、输出文件、成功或失败状态、失败原因和跳过原因。</w:t>
      </w:r>
    </w:p>
    <w:p w14:paraId="4DFD3C21">
      <w:pPr>
        <w:pStyle w:val="12"/>
        <w:spacing w:after="120"/>
        <w:rPr>
          <w:rFonts w:hint="eastAsia"/>
        </w:rPr>
      </w:pPr>
    </w:p>
    <w:p w14:paraId="2FB50D1B">
      <w:pPr>
        <w:pStyle w:val="3"/>
        <w:spacing w:before="160" w:after="80"/>
      </w:pPr>
      <w:r>
        <w:rPr>
          <w:rFonts w:ascii="微软雅黑" w:hAnsi="微软雅黑" w:eastAsia="微软雅黑"/>
        </w:rPr>
        <w:t>3.4 AI 复核与人工确认</w:t>
      </w:r>
    </w:p>
    <w:p w14:paraId="6E782FB6">
      <w:pPr>
        <w:pStyle w:val="12"/>
        <w:spacing w:after="120"/>
        <w:rPr>
          <w:rFonts w:hint="eastAsia"/>
        </w:rPr>
      </w:pPr>
    </w:p>
    <w:p w14:paraId="120E30A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应重点复核以下区域：</w:t>
      </w:r>
    </w:p>
    <w:p w14:paraId="32699079">
      <w:pPr>
        <w:pStyle w:val="12"/>
        <w:spacing w:after="120"/>
        <w:rPr>
          <w:rFonts w:hint="eastAsia"/>
        </w:rPr>
      </w:pPr>
    </w:p>
    <w:p w14:paraId="6A660E1B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控制器、处理器、命令行入口、定时任务、消息消费者等公开入口。</w:t>
      </w:r>
    </w:p>
    <w:p w14:paraId="6254933D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认证、授权、权限边界、租户隔离和越权风险。</w:t>
      </w:r>
    </w:p>
    <w:p w14:paraId="761E2FEC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输入校验、输出编码、序列化、反序列化、SQL、ORM、文件、进程、网络和 Shell 操作。</w:t>
      </w:r>
    </w:p>
    <w:p w14:paraId="2B700189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事务边界、重试、降级、回滚、幂等和数据一致性。</w:t>
      </w:r>
    </w:p>
    <w:p w14:paraId="620A79A7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业务状态转换、默认值、fallback、异常分支和边界条件。</w:t>
      </w:r>
    </w:p>
    <w:p w14:paraId="0007D1EC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日志、指标、错误码、审计日志、健康检查和告警。</w:t>
      </w:r>
    </w:p>
    <w:p w14:paraId="668259E0">
      <w:pPr>
        <w:pStyle w:val="11"/>
        <w:numPr>
          <w:ilvl w:val="0"/>
          <w:numId w:val="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依赖清单、锁文件、构建插件、容器镜像、下载脚本和工具链信任。</w:t>
      </w:r>
    </w:p>
    <w:p w14:paraId="0595EC53">
      <w:pPr>
        <w:pStyle w:val="12"/>
        <w:spacing w:after="120"/>
        <w:rPr>
          <w:rFonts w:hint="eastAsia"/>
        </w:rPr>
      </w:pPr>
    </w:p>
    <w:p w14:paraId="76881566">
      <w:pPr>
        <w:pStyle w:val="3"/>
        <w:spacing w:before="160" w:after="80"/>
      </w:pPr>
      <w:r>
        <w:rPr>
          <w:rFonts w:ascii="微软雅黑" w:hAnsi="微软雅黑" w:eastAsia="微软雅黑"/>
        </w:rPr>
        <w:t>3.5 问题分类</w:t>
      </w:r>
    </w:p>
    <w:p w14:paraId="46765F1D">
      <w:pPr>
        <w:pStyle w:val="12"/>
        <w:spacing w:after="120"/>
        <w:rPr>
          <w:rFonts w:hint="eastAsia"/>
        </w:rPr>
      </w:pPr>
    </w:p>
    <w:p w14:paraId="21E0EE12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每个问题应包含：</w:t>
      </w:r>
    </w:p>
    <w:p w14:paraId="7C3FC4E4">
      <w:pPr>
        <w:pStyle w:val="12"/>
        <w:spacing w:after="120"/>
        <w:rPr>
          <w:rFonts w:hint="eastAsia"/>
        </w:rPr>
      </w:pPr>
    </w:p>
    <w:p w14:paraId="08469206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标题。</w:t>
      </w:r>
    </w:p>
    <w:p w14:paraId="2640D8CB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严重等级。</w:t>
      </w:r>
    </w:p>
    <w:p w14:paraId="7B76B172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审计维度。</w:t>
      </w:r>
    </w:p>
    <w:p w14:paraId="7E5E703C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优先级。</w:t>
      </w:r>
    </w:p>
    <w:p w14:paraId="0EE6CB6B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置信度及置信度理由。</w:t>
      </w:r>
    </w:p>
    <w:p w14:paraId="0A78B517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位置和证据。</w:t>
      </w:r>
    </w:p>
    <w:p w14:paraId="7872D95C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影响说明。</w:t>
      </w:r>
    </w:p>
    <w:p w14:paraId="3382BA4C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整改建议。</w:t>
      </w:r>
    </w:p>
    <w:p w14:paraId="027D33B0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规则 ID、来源、指纹、状态。</w:t>
      </w:r>
    </w:p>
    <w:p w14:paraId="523481B5">
      <w:pPr>
        <w:pStyle w:val="11"/>
        <w:numPr>
          <w:ilvl w:val="0"/>
          <w:numId w:val="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影响组件、修复工作量、可选 CWE/OWASP 映射和修复示例。</w:t>
      </w:r>
    </w:p>
    <w:p w14:paraId="14B7A46F">
      <w:pPr>
        <w:pStyle w:val="12"/>
        <w:spacing w:after="120"/>
        <w:rPr>
          <w:rFonts w:hint="eastAsia"/>
        </w:rPr>
      </w:pPr>
    </w:p>
    <w:p w14:paraId="42B4EC80">
      <w:pPr>
        <w:pStyle w:val="3"/>
        <w:spacing w:before="160" w:after="80"/>
      </w:pPr>
      <w:r>
        <w:rPr>
          <w:rFonts w:ascii="微软雅黑" w:hAnsi="微软雅黑" w:eastAsia="微软雅黑"/>
        </w:rPr>
        <w:t>3.6 报告交付</w:t>
      </w:r>
    </w:p>
    <w:p w14:paraId="303CDC0A">
      <w:pPr>
        <w:pStyle w:val="12"/>
        <w:spacing w:after="120"/>
        <w:rPr>
          <w:rFonts w:hint="eastAsia"/>
        </w:rPr>
      </w:pPr>
    </w:p>
    <w:p w14:paraId="7432029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审计报告应包含：</w:t>
      </w:r>
    </w:p>
    <w:p w14:paraId="79F89A50">
      <w:pPr>
        <w:pStyle w:val="12"/>
        <w:spacing w:after="120"/>
        <w:rPr>
          <w:rFonts w:hint="eastAsia"/>
        </w:rPr>
      </w:pPr>
    </w:p>
    <w:p w14:paraId="54E6B58F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审计概况。</w:t>
      </w:r>
    </w:p>
    <w:p w14:paraId="7082853E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总体结论。</w:t>
      </w:r>
    </w:p>
    <w:p w14:paraId="7D69DEEB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审计配置与交付选项。</w:t>
      </w:r>
    </w:p>
    <w:p w14:paraId="66052F16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项目盘点。</w:t>
      </w:r>
    </w:p>
    <w:p w14:paraId="45142B2F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增量审计信息。</w:t>
      </w:r>
    </w:p>
    <w:p w14:paraId="10E1B7C2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误报与基线管理。</w:t>
      </w:r>
    </w:p>
    <w:p w14:paraId="54A86691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供应链与 SBOM。</w:t>
      </w:r>
    </w:p>
    <w:p w14:paraId="64672AA7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风险与问题统计。</w:t>
      </w:r>
    </w:p>
    <w:p w14:paraId="18B2FD93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维度评分明细。</w:t>
      </w:r>
    </w:p>
    <w:p w14:paraId="3E107993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高风险问题、中风险问题、低风险问题与优化建议。</w:t>
      </w:r>
    </w:p>
    <w:p w14:paraId="04F53973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待复核项。</w:t>
      </w:r>
    </w:p>
    <w:p w14:paraId="6C58F271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整改优先级与路线图。</w:t>
      </w:r>
    </w:p>
    <w:p w14:paraId="13CE8C93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工具与命令记录。</w:t>
      </w:r>
    </w:p>
    <w:p w14:paraId="0B6B4E08">
      <w:pPr>
        <w:pStyle w:val="11"/>
        <w:numPr>
          <w:ilvl w:val="0"/>
          <w:numId w:val="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未覆盖范围与限制项。</w:t>
      </w:r>
    </w:p>
    <w:p w14:paraId="3565D694">
      <w:pPr>
        <w:pStyle w:val="12"/>
        <w:spacing w:after="120"/>
        <w:rPr>
          <w:rFonts w:hint="eastAsia"/>
        </w:rPr>
      </w:pPr>
    </w:p>
    <w:p w14:paraId="72EC34A0">
      <w:pPr>
        <w:pStyle w:val="2"/>
        <w:spacing w:before="160" w:after="80"/>
      </w:pPr>
      <w:r>
        <w:rPr>
          <w:rFonts w:ascii="微软雅黑" w:hAnsi="微软雅黑" w:eastAsia="微软雅黑"/>
        </w:rPr>
        <w:t>4. 评分与门禁管理</w:t>
      </w:r>
    </w:p>
    <w:p w14:paraId="2C00A79A">
      <w:pPr>
        <w:pStyle w:val="12"/>
        <w:spacing w:after="120"/>
        <w:rPr>
          <w:rFonts w:hint="eastAsia"/>
        </w:rPr>
      </w:pPr>
    </w:p>
    <w:p w14:paraId="0458D088">
      <w:pPr>
        <w:pStyle w:val="3"/>
        <w:spacing w:before="160" w:after="80"/>
      </w:pPr>
      <w:r>
        <w:rPr>
          <w:rFonts w:ascii="微软雅黑" w:hAnsi="微软雅黑" w:eastAsia="微软雅黑"/>
        </w:rPr>
        <w:t>4.1 默认权重</w:t>
      </w:r>
    </w:p>
    <w:p w14:paraId="63E6218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审计采用 100 分制，默认权重如下：</w:t>
      </w:r>
    </w:p>
    <w:p w14:paraId="6822E81F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5"/>
        <w:gridCol w:w="3663"/>
      </w:tblGrid>
      <w:tr w14:paraId="5E63B32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97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3669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366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E22E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权重</w:t>
            </w:r>
          </w:p>
        </w:tc>
      </w:tr>
      <w:tr w14:paraId="3F0D400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B4AF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EB67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</w:tr>
      <w:tr w14:paraId="67DDB03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AE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功能正确性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BFE46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 w14:paraId="5617A034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EEDC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可靠性与健壮性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5D948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 w14:paraId="0D8A929B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72A7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架构合理性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9E84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 w14:paraId="0A12542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CC99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编码规范性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968F0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 w14:paraId="000B9B80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6EC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可维护性与可演进性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9717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 w14:paraId="54F288F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3BDD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测试质量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87BA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 w14:paraId="608E465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7D59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性能与资源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A5214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 w14:paraId="540F127B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7CE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依赖与供应链风险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A1BC7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 w14:paraId="79714F7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9ECB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可观测性与运维性</w:t>
            </w:r>
          </w:p>
        </w:tc>
        <w:tc>
          <w:tcPr>
            <w:tcW w:w="36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5CA3D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 w14:paraId="51853F31">
      <w:pPr>
        <w:pStyle w:val="12"/>
        <w:spacing w:after="120"/>
        <w:rPr>
          <w:rFonts w:hint="eastAsia"/>
        </w:rPr>
      </w:pPr>
    </w:p>
    <w:p w14:paraId="76727A5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如项目领域特殊，可调整权重，但必须在报告中记录调整原因。例如，嵌入式、网关、守护进程、设备控制系统可提高可靠性、可观测性和性能权重；互联网外部暴露系统可提高安全性、供应链和可观测性权重。</w:t>
      </w:r>
    </w:p>
    <w:p w14:paraId="58AB1280">
      <w:pPr>
        <w:pStyle w:val="12"/>
        <w:spacing w:after="120"/>
        <w:rPr>
          <w:rFonts w:hint="eastAsia"/>
        </w:rPr>
      </w:pPr>
    </w:p>
    <w:p w14:paraId="76610587">
      <w:pPr>
        <w:pStyle w:val="3"/>
        <w:spacing w:before="160" w:after="80"/>
      </w:pPr>
      <w:r>
        <w:rPr>
          <w:rFonts w:ascii="微软雅黑" w:hAnsi="微软雅黑" w:eastAsia="微软雅黑"/>
        </w:rPr>
        <w:t>4.2 严重等级</w:t>
      </w:r>
    </w:p>
    <w:p w14:paraId="1B73275E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518"/>
      </w:tblGrid>
      <w:tr w14:paraId="0EFFB98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83F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等级</w:t>
            </w:r>
          </w:p>
        </w:tc>
        <w:tc>
          <w:tcPr>
            <w:tcW w:w="75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11C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判定标准</w:t>
            </w:r>
          </w:p>
        </w:tc>
      </w:tr>
      <w:tr w14:paraId="1F5FE64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B9C4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983E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可被利用的安全漏洞、数据丢失或损坏、鉴权绕过、重大可用性风险、严重业务结果错误、生产事故高概率触发点。</w:t>
            </w:r>
          </w:p>
        </w:tc>
      </w:tr>
      <w:tr w14:paraId="2B54FC5B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1B3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1F37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有明确用户影响的正确性或可靠性问题，阻碍安全演进的维护性问题，中等安全加固缺口，关键运维信号缺失。</w:t>
            </w:r>
          </w:p>
        </w:tc>
      </w:tr>
      <w:tr w14:paraId="50E0F33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2EC7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22B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局部可维护性、风格、文档、测试补强、可观测性或小型性能问题，影响范围有限。</w:t>
            </w:r>
          </w:p>
        </w:tc>
      </w:tr>
      <w:tr w14:paraId="0738894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FB61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9073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存在合理怀疑但证据不足，需要运行环境、业务约束、权限模型或数据样本进一步确认。</w:t>
            </w:r>
          </w:p>
        </w:tc>
      </w:tr>
    </w:tbl>
    <w:p w14:paraId="52999E17">
      <w:pPr>
        <w:pStyle w:val="12"/>
        <w:spacing w:after="120"/>
        <w:rPr>
          <w:rFonts w:hint="eastAsia"/>
        </w:rPr>
      </w:pPr>
    </w:p>
    <w:p w14:paraId="183A45A9">
      <w:pPr>
        <w:pStyle w:val="3"/>
        <w:spacing w:before="160" w:after="80"/>
      </w:pPr>
      <w:r>
        <w:rPr>
          <w:rFonts w:ascii="微软雅黑" w:hAnsi="微软雅黑" w:eastAsia="微软雅黑"/>
        </w:rPr>
        <w:t>4.3 优先级</w:t>
      </w:r>
    </w:p>
    <w:p w14:paraId="6C867446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518"/>
      </w:tblGrid>
      <w:tr w14:paraId="4023A73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4FE5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w="75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D468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处理要求</w:t>
            </w:r>
          </w:p>
        </w:tc>
      </w:tr>
      <w:tr w14:paraId="24A5372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3516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6FA6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必须在发布或上线前修复。</w:t>
            </w:r>
          </w:p>
        </w:tc>
      </w:tr>
      <w:tr w14:paraId="185EE93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7D83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D39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应在最近一个修复窗口内处理。</w:t>
            </w:r>
          </w:p>
        </w:tc>
      </w:tr>
      <w:tr w14:paraId="0282AF3F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9EAE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0292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应进入迭代计划并指定责任人。</w:t>
            </w:r>
          </w:p>
        </w:tc>
      </w:tr>
      <w:tr w14:paraId="13E6138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8C82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308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可作为持续改进项处理。</w:t>
            </w:r>
          </w:p>
        </w:tc>
      </w:tr>
    </w:tbl>
    <w:p w14:paraId="20F718F2">
      <w:pPr>
        <w:pStyle w:val="12"/>
        <w:spacing w:after="120"/>
        <w:rPr>
          <w:rFonts w:hint="eastAsia"/>
        </w:rPr>
      </w:pPr>
    </w:p>
    <w:p w14:paraId="23459F09">
      <w:pPr>
        <w:pStyle w:val="3"/>
        <w:spacing w:before="160" w:after="80"/>
      </w:pPr>
      <w:r>
        <w:rPr>
          <w:rFonts w:ascii="微软雅黑" w:hAnsi="微软雅黑" w:eastAsia="微软雅黑"/>
        </w:rPr>
        <w:t>4.4 置信度</w:t>
      </w:r>
    </w:p>
    <w:p w14:paraId="374970AA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518"/>
      </w:tblGrid>
      <w:tr w14:paraId="6DD7186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382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置信度</w:t>
            </w:r>
          </w:p>
        </w:tc>
        <w:tc>
          <w:tcPr>
            <w:tcW w:w="75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693B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判定标准</w:t>
            </w:r>
          </w:p>
        </w:tc>
      </w:tr>
      <w:tr w14:paraId="5EDF1FE4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A5F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A357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证据直接来自源代码、配置、依赖清单或可复现工具输出。</w:t>
            </w:r>
          </w:p>
        </w:tc>
      </w:tr>
      <w:tr w14:paraId="4292698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7EFD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E48E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证据明确，但最终影响依赖运行配置、输入来源、数据样本或部署拓扑。</w:t>
            </w:r>
          </w:p>
        </w:tc>
      </w:tr>
      <w:tr w14:paraId="10256CE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DEFB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w="75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935C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属于风险提示，需要进一步复核。</w:t>
            </w:r>
          </w:p>
        </w:tc>
      </w:tr>
    </w:tbl>
    <w:p w14:paraId="1F0E5800">
      <w:pPr>
        <w:pStyle w:val="12"/>
        <w:spacing w:after="120"/>
        <w:rPr>
          <w:rFonts w:hint="eastAsia"/>
        </w:rPr>
      </w:pPr>
    </w:p>
    <w:p w14:paraId="1E305101">
      <w:pPr>
        <w:pStyle w:val="3"/>
        <w:spacing w:before="160" w:after="80"/>
      </w:pPr>
      <w:r>
        <w:rPr>
          <w:rFonts w:ascii="微软雅黑" w:hAnsi="微软雅黑" w:eastAsia="微软雅黑"/>
        </w:rPr>
        <w:t>4.5 扣分规则</w:t>
      </w:r>
    </w:p>
    <w:p w14:paraId="0A660E8A">
      <w:pPr>
        <w:pStyle w:val="12"/>
        <w:spacing w:after="120"/>
        <w:rPr>
          <w:rFonts w:hint="eastAsia"/>
        </w:rPr>
      </w:pPr>
    </w:p>
    <w:p w14:paraId="6CF44878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从各维度满分开始扣分。</w:t>
      </w:r>
    </w:p>
    <w:p w14:paraId="63220221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按根因扣分，不按重复出现次数机械扣分。</w:t>
      </w:r>
    </w:p>
    <w:p w14:paraId="6CC82608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高风险问题通常在对应维度扣 5 至 8 分。</w:t>
      </w:r>
    </w:p>
    <w:p w14:paraId="389058D5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中风险问题通常在对应维度扣 2 至 4 分。</w:t>
      </w:r>
    </w:p>
    <w:p w14:paraId="776AE09B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低风险问题通常在对应维度扣 0.5 至 1.5 分。</w:t>
      </w:r>
    </w:p>
    <w:p w14:paraId="34828032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待复核项通常扣 0 至 1 分，视证据强度决定。</w:t>
      </w:r>
    </w:p>
    <w:p w14:paraId="0471AB35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单一维度扣分不得超过该维度权重。</w:t>
      </w:r>
    </w:p>
    <w:p w14:paraId="24B002AB">
      <w:pPr>
        <w:pStyle w:val="11"/>
        <w:numPr>
          <w:ilvl w:val="0"/>
          <w:numId w:val="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因环境缺失导致工具无法运行时，应记录为限制项，不得编造工具发现。</w:t>
      </w:r>
    </w:p>
    <w:p w14:paraId="7FDC3ED8">
      <w:pPr>
        <w:pStyle w:val="12"/>
        <w:spacing w:after="120"/>
        <w:rPr>
          <w:rFonts w:hint="eastAsia"/>
        </w:rPr>
      </w:pPr>
    </w:p>
    <w:p w14:paraId="4854666E">
      <w:pPr>
        <w:pStyle w:val="3"/>
        <w:spacing w:before="160" w:after="80"/>
      </w:pPr>
      <w:r>
        <w:rPr>
          <w:rFonts w:ascii="微软雅黑" w:hAnsi="微软雅黑" w:eastAsia="微软雅黑"/>
        </w:rPr>
        <w:t>4.6 总体评级</w:t>
      </w:r>
    </w:p>
    <w:p w14:paraId="7840C9F8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1927"/>
        <w:gridCol w:w="5784"/>
      </w:tblGrid>
      <w:tr w14:paraId="009AEAA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2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B168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分数</w:t>
            </w:r>
          </w:p>
        </w:tc>
        <w:tc>
          <w:tcPr>
            <w:tcW w:w="192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DD06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评级</w:t>
            </w:r>
          </w:p>
        </w:tc>
        <w:tc>
          <w:tcPr>
            <w:tcW w:w="578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3C9C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管理含义</w:t>
            </w:r>
          </w:p>
        </w:tc>
      </w:tr>
      <w:tr w14:paraId="662F91A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6FE2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90-100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751B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优秀</w:t>
            </w:r>
          </w:p>
        </w:tc>
        <w:tc>
          <w:tcPr>
            <w:tcW w:w="57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4DC9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仅存在少量低风险优化项。</w:t>
            </w:r>
          </w:p>
        </w:tc>
      </w:tr>
      <w:tr w14:paraId="4DBF5A61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3D5E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80-89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17B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良好</w:t>
            </w:r>
          </w:p>
        </w:tc>
        <w:tc>
          <w:tcPr>
            <w:tcW w:w="57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26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存在明确改进项，但整体风险可控。</w:t>
            </w:r>
          </w:p>
        </w:tc>
      </w:tr>
      <w:tr w14:paraId="1FBBAA6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4746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70-79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D96C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一般</w:t>
            </w:r>
          </w:p>
        </w:tc>
        <w:tc>
          <w:tcPr>
            <w:tcW w:w="57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E28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存在中风险问题或工程质量短板。</w:t>
            </w:r>
          </w:p>
        </w:tc>
      </w:tr>
      <w:tr w14:paraId="1CEAE34D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7174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60-69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33CD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较差</w:t>
            </w:r>
          </w:p>
        </w:tc>
        <w:tc>
          <w:tcPr>
            <w:tcW w:w="57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796C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存在多项中高风险问题，需要集中整改。</w:t>
            </w:r>
          </w:p>
        </w:tc>
      </w:tr>
      <w:tr w14:paraId="68B2C65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13E6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 以下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1EE5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高风险</w:t>
            </w:r>
          </w:p>
        </w:tc>
        <w:tc>
          <w:tcPr>
            <w:tcW w:w="57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9EE2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不建议在未整改前发布或对外交付。</w:t>
            </w:r>
          </w:p>
        </w:tc>
      </w:tr>
    </w:tbl>
    <w:p w14:paraId="7B0E1ECE">
      <w:pPr>
        <w:pStyle w:val="12"/>
        <w:spacing w:after="120"/>
        <w:rPr>
          <w:rFonts w:hint="eastAsia"/>
        </w:rPr>
      </w:pPr>
    </w:p>
    <w:p w14:paraId="5D78B084">
      <w:pPr>
        <w:pStyle w:val="2"/>
        <w:spacing w:before="160" w:after="80"/>
      </w:pPr>
      <w:r>
        <w:rPr>
          <w:rFonts w:ascii="微软雅黑" w:hAnsi="微软雅黑" w:eastAsia="微软雅黑"/>
        </w:rPr>
        <w:t>5. 10 个维度审计规则</w:t>
      </w:r>
    </w:p>
    <w:p w14:paraId="47923BA6">
      <w:pPr>
        <w:pStyle w:val="12"/>
        <w:spacing w:after="120"/>
        <w:rPr>
          <w:rFonts w:hint="eastAsia"/>
        </w:rPr>
      </w:pPr>
    </w:p>
    <w:p w14:paraId="068EE299">
      <w:pPr>
        <w:pStyle w:val="3"/>
        <w:spacing w:before="160" w:after="80"/>
      </w:pPr>
      <w:r>
        <w:rPr>
          <w:rFonts w:ascii="微软雅黑" w:hAnsi="微软雅黑" w:eastAsia="微软雅黑"/>
        </w:rPr>
        <w:t>5.1 架构合理性</w:t>
      </w:r>
    </w:p>
    <w:p w14:paraId="6620A632">
      <w:pPr>
        <w:pStyle w:val="12"/>
        <w:spacing w:after="120"/>
        <w:rPr>
          <w:rFonts w:hint="eastAsia"/>
        </w:rPr>
      </w:pPr>
    </w:p>
    <w:p w14:paraId="2CA55B61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7680AF16">
      <w:pPr>
        <w:pStyle w:val="12"/>
        <w:spacing w:after="120"/>
        <w:rPr>
          <w:rFonts w:hint="eastAsia"/>
        </w:rPr>
      </w:pPr>
    </w:p>
    <w:p w14:paraId="48C07352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确保系统分层清晰、模块边界稳定、依赖方向合理、事务和状态边界明确，能够支撑当前业务和后续演进，避免架构问题引发连锁质量风险。</w:t>
      </w:r>
    </w:p>
    <w:p w14:paraId="1956D753">
      <w:pPr>
        <w:pStyle w:val="12"/>
        <w:spacing w:after="120"/>
        <w:rPr>
          <w:rFonts w:hint="eastAsia"/>
        </w:rPr>
      </w:pPr>
    </w:p>
    <w:p w14:paraId="56391DC1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72D9D1BF">
      <w:pPr>
        <w:pStyle w:val="12"/>
        <w:spacing w:after="120"/>
        <w:rPr>
          <w:rFonts w:hint="eastAsia"/>
        </w:rPr>
      </w:pPr>
    </w:p>
    <w:p w14:paraId="303F43DB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分层规则。表现层、应用层、领域层、基础设施层、数据访问层等边界应清晰，不应出现跨层直接调用、底层依赖上层或业务逻辑散落在基础设施代码中的情况。</w:t>
      </w:r>
    </w:p>
    <w:p w14:paraId="2E916AC1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依赖方向规则。依赖应从高层策略流向低层实现或通过接口反转，禁止形成不必要的循环依赖。</w:t>
      </w:r>
    </w:p>
    <w:p w14:paraId="336D7652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模块边界规则。模块职责应单一，公开接口应稳定，内部实现不得被外部模块直接依赖。</w:t>
      </w:r>
    </w:p>
    <w:p w14:paraId="3BB97854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事务边界规则。涉及数据库、消息、缓存、外部调用的业务流程，应明确事务范围、提交时机、回滚策略和失败补偿。</w:t>
      </w:r>
    </w:p>
    <w:p w14:paraId="00629894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状态边界规则。跨模块共享状态应有明确所有者和同步策略，禁止隐式全局状态驱动核心流程。</w:t>
      </w:r>
    </w:p>
    <w:p w14:paraId="56A5CFAE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缓存设计规则。缓存键、失效策略、一致性策略、穿透保护、雪崩保护和降级行为应有明确设计。</w:t>
      </w:r>
    </w:p>
    <w:p w14:paraId="47CB5BE1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分布式失败规则。跨服务调用应考虑超时、重试、限流、熔断、幂等、补偿和链路追踪。</w:t>
      </w:r>
    </w:p>
    <w:p w14:paraId="234B294E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配置设计规则。配置应集中管理、类型明确、默认值安全，生产敏感配置不得硬编码。</w:t>
      </w:r>
    </w:p>
    <w:p w14:paraId="56DC61A5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扩展点规则。插件、策略、回调和接口扩展应有清晰契约，避免通过反射、字符串或隐式约定造成不可控耦合。</w:t>
      </w:r>
    </w:p>
    <w:p w14:paraId="30769337">
      <w:pPr>
        <w:pStyle w:val="11"/>
        <w:numPr>
          <w:ilvl w:val="0"/>
          <w:numId w:val="1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演进兼容规则。公共 API、数据库结构、消息格式、配置格式变更应考虑兼容性和迁移路径。</w:t>
      </w:r>
    </w:p>
    <w:p w14:paraId="35629DB0">
      <w:pPr>
        <w:pStyle w:val="12"/>
        <w:spacing w:after="120"/>
        <w:rPr>
          <w:rFonts w:hint="eastAsia"/>
        </w:rPr>
      </w:pPr>
    </w:p>
    <w:p w14:paraId="7E902078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1CB5A079">
      <w:pPr>
        <w:pStyle w:val="12"/>
        <w:spacing w:after="120"/>
        <w:rPr>
          <w:rFonts w:hint="eastAsia"/>
        </w:rPr>
      </w:pPr>
    </w:p>
    <w:p w14:paraId="79D14FB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应收集架构图、目录结构、依赖关系、核心模块接口、配置文件、事务代码、缓存代码、服务调用代码、数据库迁移脚本、提交记录和相关设计说明。</w:t>
      </w:r>
    </w:p>
    <w:p w14:paraId="40EC70A1">
      <w:pPr>
        <w:pStyle w:val="12"/>
        <w:spacing w:after="120"/>
        <w:rPr>
          <w:rFonts w:hint="eastAsia"/>
        </w:rPr>
      </w:pPr>
    </w:p>
    <w:p w14:paraId="3B717A13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079BDC9A">
      <w:pPr>
        <w:pStyle w:val="12"/>
        <w:spacing w:after="120"/>
        <w:rPr>
          <w:rFonts w:hint="eastAsia"/>
        </w:rPr>
      </w:pPr>
    </w:p>
    <w:p w14:paraId="46A955A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优先识别循环依赖、跨层调用、业务逻辑错位、全局状态、事务范围过大或过小、缓存与数据源不一致、配置分散和公共接口不稳定等问题。缺少业务设计材料时，应标记为“待复核”，不得仅凭命名风格判定架构不合理。</w:t>
      </w:r>
    </w:p>
    <w:p w14:paraId="275D1072">
      <w:pPr>
        <w:pStyle w:val="12"/>
        <w:spacing w:after="120"/>
        <w:rPr>
          <w:rFonts w:hint="eastAsia"/>
        </w:rPr>
      </w:pPr>
    </w:p>
    <w:p w14:paraId="2DDD9B25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4AD068D9">
      <w:pPr>
        <w:pStyle w:val="12"/>
        <w:spacing w:after="120"/>
        <w:rPr>
          <w:rFonts w:hint="eastAsia"/>
        </w:rPr>
      </w:pPr>
    </w:p>
    <w:p w14:paraId="4D93E1D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高风险架构问题应在发布前形成整改方案或风险接受记录；中风险问题应纳入迭代计划；低风险问题可作为架构治理项持续改进。涉及模块拆分、事务重构和接口调整的，应补充回归测试和迁移方案。</w:t>
      </w:r>
    </w:p>
    <w:p w14:paraId="0B1FC654">
      <w:pPr>
        <w:pStyle w:val="12"/>
        <w:spacing w:after="120"/>
        <w:rPr>
          <w:rFonts w:hint="eastAsia"/>
        </w:rPr>
      </w:pPr>
    </w:p>
    <w:p w14:paraId="550DA133">
      <w:pPr>
        <w:pStyle w:val="3"/>
        <w:spacing w:before="160" w:after="80"/>
      </w:pPr>
      <w:r>
        <w:rPr>
          <w:rFonts w:ascii="微软雅黑" w:hAnsi="微软雅黑" w:eastAsia="微软雅黑"/>
        </w:rPr>
        <w:t>5.2 功能正确性</w:t>
      </w:r>
    </w:p>
    <w:p w14:paraId="54ADFBCA">
      <w:pPr>
        <w:pStyle w:val="12"/>
        <w:spacing w:after="120"/>
        <w:rPr>
          <w:rFonts w:hint="eastAsia"/>
        </w:rPr>
      </w:pPr>
    </w:p>
    <w:p w14:paraId="24F9DC3E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1CDFB1BE">
      <w:pPr>
        <w:pStyle w:val="12"/>
        <w:spacing w:after="120"/>
        <w:rPr>
          <w:rFonts w:hint="eastAsia"/>
        </w:rPr>
      </w:pPr>
    </w:p>
    <w:p w14:paraId="6079EAD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确保代码实现符合业务规则，状态转换、边界条件、异常分支、默认值和 fallback 行为不会导致错误业务结果、数据不一致或用户权益受损。</w:t>
      </w:r>
    </w:p>
    <w:p w14:paraId="08D0EF88">
      <w:pPr>
        <w:pStyle w:val="12"/>
        <w:spacing w:after="120"/>
        <w:rPr>
          <w:rFonts w:hint="eastAsia"/>
        </w:rPr>
      </w:pPr>
    </w:p>
    <w:p w14:paraId="008AFB18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0D871C1F">
      <w:pPr>
        <w:pStyle w:val="12"/>
        <w:spacing w:after="120"/>
        <w:rPr>
          <w:rFonts w:hint="eastAsia"/>
        </w:rPr>
      </w:pPr>
    </w:p>
    <w:p w14:paraId="38CE4993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业务规则规则。核心业务规则应在代码中明确表达，并有对应测试或业务文档支撑。</w:t>
      </w:r>
    </w:p>
    <w:p w14:paraId="4C7BD6C8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状态转换规则。订单、任务、审批、支付、设备状态等核心状态应有合法迁移约束，禁止任意跳转或遗漏终态。</w:t>
      </w:r>
    </w:p>
    <w:p w14:paraId="44B733B1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边界条件规则。空值、零值、最大值、最小值、重复输入、过期数据、分页边界和时间边界应被覆盖。</w:t>
      </w:r>
    </w:p>
    <w:p w14:paraId="4260665A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默认值规则。默认值必须业务安全，未知输入优先进入 unknown、error 或 reject 状态，不应默认为正常业务值。</w:t>
      </w:r>
    </w:p>
    <w:p w14:paraId="7B8AAD49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fallback 规则。降级和 fallback 应明确触发条件、影响范围、日志和告警，禁止静默返回误导性成功结果。</w:t>
      </w:r>
    </w:p>
    <w:p w14:paraId="0AD2E8B7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数据一致性规则。跨表、跨服务、跨缓存、跨消息的数据变更应保证一致性或具备补偿机制。</w:t>
      </w:r>
    </w:p>
    <w:p w14:paraId="63241B3D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异常分支规则。异常处理不得吞掉错误，不得在失败时继续执行后续关键业务步骤。</w:t>
      </w:r>
    </w:p>
    <w:p w14:paraId="711664FA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时间规则。时区、夏令时、日期截断、超时、定时任务和有效期计算应明确。</w:t>
      </w:r>
    </w:p>
    <w:p w14:paraId="4D26FCFA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并发业务规则。重复提交、并发修改、幂等请求和竞态条件应有明确处理。</w:t>
      </w:r>
    </w:p>
    <w:p w14:paraId="3499FDF2">
      <w:pPr>
        <w:pStyle w:val="11"/>
        <w:numPr>
          <w:ilvl w:val="0"/>
          <w:numId w:val="1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回归规则。历史缺陷对应路径应有回归测试或明确复测记录。</w:t>
      </w:r>
    </w:p>
    <w:p w14:paraId="7385D69C">
      <w:pPr>
        <w:pStyle w:val="12"/>
        <w:spacing w:after="120"/>
        <w:rPr>
          <w:rFonts w:hint="eastAsia"/>
        </w:rPr>
      </w:pPr>
    </w:p>
    <w:p w14:paraId="4A300A2B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50C4DE81">
      <w:pPr>
        <w:pStyle w:val="12"/>
        <w:spacing w:after="120"/>
        <w:rPr>
          <w:rFonts w:hint="eastAsia"/>
        </w:rPr>
      </w:pPr>
    </w:p>
    <w:p w14:paraId="599CC522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应收集业务规则文档、状态定义、状态迁移代码、核心算法、边界判断、异常分支、数据库约束、测试用例、缺陷记录和生产问题复盘。</w:t>
      </w:r>
    </w:p>
    <w:p w14:paraId="23840F17">
      <w:pPr>
        <w:pStyle w:val="12"/>
        <w:spacing w:after="120"/>
        <w:rPr>
          <w:rFonts w:hint="eastAsia"/>
        </w:rPr>
      </w:pPr>
    </w:p>
    <w:p w14:paraId="304451AE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34E695DF">
      <w:pPr>
        <w:pStyle w:val="12"/>
        <w:spacing w:after="120"/>
        <w:rPr>
          <w:rFonts w:hint="eastAsia"/>
        </w:rPr>
      </w:pPr>
    </w:p>
    <w:p w14:paraId="430D75B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重点检查状态机缺失、条件判断遗漏、默认值不安全、错误分支返回成功、异常被吞掉、数据写入顺序不合理、重复请求导致重复扣款或重复执行等问题。业务规则不明确时，应列为“待复核”并说明需要补充的业务证据。</w:t>
      </w:r>
    </w:p>
    <w:p w14:paraId="55658050">
      <w:pPr>
        <w:pStyle w:val="12"/>
        <w:spacing w:after="120"/>
        <w:rPr>
          <w:rFonts w:hint="eastAsia"/>
        </w:rPr>
      </w:pPr>
    </w:p>
    <w:p w14:paraId="0CDBE195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4C68B339">
      <w:pPr>
        <w:pStyle w:val="12"/>
        <w:spacing w:after="120"/>
        <w:rPr>
          <w:rFonts w:hint="eastAsia"/>
        </w:rPr>
      </w:pPr>
    </w:p>
    <w:p w14:paraId="51E49C09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涉及资金、权限、库存、审批、设备控制、数据删除和用户权益的正确性问题应优先处理。整改应补充边界测试、异常测试、并发测试和回归测试。</w:t>
      </w:r>
    </w:p>
    <w:p w14:paraId="0EEB5133">
      <w:pPr>
        <w:pStyle w:val="12"/>
        <w:spacing w:after="120"/>
        <w:rPr>
          <w:rFonts w:hint="eastAsia"/>
        </w:rPr>
      </w:pPr>
    </w:p>
    <w:p w14:paraId="7524D00F">
      <w:pPr>
        <w:pStyle w:val="3"/>
        <w:spacing w:before="160" w:after="80"/>
      </w:pPr>
      <w:r>
        <w:rPr>
          <w:rFonts w:ascii="微软雅黑" w:hAnsi="微软雅黑" w:eastAsia="微软雅黑"/>
        </w:rPr>
        <w:t>5.3 编码规范性</w:t>
      </w:r>
    </w:p>
    <w:p w14:paraId="2A15481A">
      <w:pPr>
        <w:pStyle w:val="12"/>
        <w:spacing w:after="120"/>
        <w:rPr>
          <w:rFonts w:hint="eastAsia"/>
        </w:rPr>
      </w:pPr>
    </w:p>
    <w:p w14:paraId="05F0392C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12D9B189">
      <w:pPr>
        <w:pStyle w:val="12"/>
        <w:spacing w:after="120"/>
        <w:rPr>
          <w:rFonts w:hint="eastAsia"/>
        </w:rPr>
      </w:pPr>
    </w:p>
    <w:p w14:paraId="1CA3F4AF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确保代码符合语言规范、团队规范和通用工程实践，降低阅读成本、误用风险和长期维护成本。</w:t>
      </w:r>
    </w:p>
    <w:p w14:paraId="3C894EE6">
      <w:pPr>
        <w:pStyle w:val="12"/>
        <w:spacing w:after="120"/>
        <w:rPr>
          <w:rFonts w:hint="eastAsia"/>
        </w:rPr>
      </w:pPr>
    </w:p>
    <w:p w14:paraId="78573F54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4D9B8DF4">
      <w:pPr>
        <w:pStyle w:val="12"/>
        <w:spacing w:after="120"/>
        <w:rPr>
          <w:rFonts w:hint="eastAsia"/>
        </w:rPr>
      </w:pPr>
    </w:p>
    <w:p w14:paraId="2D55A55D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命名规则。类、方法、变量、常量、配置键和文件命名应清晰表达含义并符合语言习惯。</w:t>
      </w:r>
    </w:p>
    <w:p w14:paraId="77E11A7C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注释规则。注释应解释业务意图、约束和复杂逻辑，不应重复代码表面含义。</w:t>
      </w:r>
    </w:p>
    <w:p w14:paraId="480F9378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复杂度规则。函数、类和条件分支复杂度应受控，复杂逻辑应拆分为可测试单元。</w:t>
      </w:r>
    </w:p>
    <w:p w14:paraId="401E11DD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异常处理规则。异常类型、捕获范围、错误传播和恢复动作应明确，禁止泛化捕获后静默忽略。</w:t>
      </w:r>
    </w:p>
    <w:p w14:paraId="6ED816CA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资源释放规则。文件、网络连接、数据库连接、锁、线程、句柄和临时资源应正确释放。</w:t>
      </w:r>
    </w:p>
    <w:p w14:paraId="435A6D4C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魔法值规则。业务常量、状态码、阈值、路径和时间单位应命名化、配置化或集中定义。</w:t>
      </w:r>
    </w:p>
    <w:p w14:paraId="7EE64E68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重复代码规则。重复逻辑应抽取为共享函数、策略或组件，避免多处修改不一致。</w:t>
      </w:r>
    </w:p>
    <w:p w14:paraId="527A131B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语言惯用规则。应遵守对应语言的类型、安全、并发、内存、格式化和包管理惯例。</w:t>
      </w:r>
    </w:p>
    <w:p w14:paraId="2D17D071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可读性规则。代码布局、缩进、格式、导入顺序和表达式结构应便于审阅。</w:t>
      </w:r>
    </w:p>
    <w:p w14:paraId="23C8CEFD">
      <w:pPr>
        <w:pStyle w:val="11"/>
        <w:numPr>
          <w:ilvl w:val="0"/>
          <w:numId w:val="1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死代码规则。无用分支、未使用变量、废弃接口和不可达代码应清理或标注迁移计划。</w:t>
      </w:r>
    </w:p>
    <w:p w14:paraId="2C12FFDE">
      <w:pPr>
        <w:pStyle w:val="12"/>
        <w:spacing w:after="120"/>
        <w:rPr>
          <w:rFonts w:hint="eastAsia"/>
        </w:rPr>
      </w:pPr>
    </w:p>
    <w:p w14:paraId="3B9CE85B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1C016194">
      <w:pPr>
        <w:pStyle w:val="12"/>
        <w:spacing w:after="120"/>
        <w:rPr>
          <w:rFonts w:hint="eastAsia"/>
        </w:rPr>
      </w:pPr>
    </w:p>
    <w:p w14:paraId="5588BA1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应收集代码片段、静态分析结果、格式化配置、语言规范参考、重复代码位置、复杂度指标、资源使用位置和异常处理路径。</w:t>
      </w:r>
    </w:p>
    <w:p w14:paraId="7BD51F6A">
      <w:pPr>
        <w:pStyle w:val="12"/>
        <w:spacing w:after="120"/>
        <w:rPr>
          <w:rFonts w:hint="eastAsia"/>
        </w:rPr>
      </w:pPr>
    </w:p>
    <w:p w14:paraId="4BCD8EA3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06F5E733">
      <w:pPr>
        <w:pStyle w:val="12"/>
        <w:spacing w:after="120"/>
        <w:rPr>
          <w:rFonts w:hint="eastAsia"/>
        </w:rPr>
      </w:pPr>
    </w:p>
    <w:p w14:paraId="1DD3DCA8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不应把个人偏好当作规范问题。只有当编码风格违反项目既有规范、语言通用规范，或明显影响可维护性、正确性、安全性时，才应进入正式问题清单。纯风格问题一般归为低风险。</w:t>
      </w:r>
    </w:p>
    <w:p w14:paraId="28FCD837">
      <w:pPr>
        <w:pStyle w:val="12"/>
        <w:spacing w:after="120"/>
        <w:rPr>
          <w:rFonts w:hint="eastAsia"/>
        </w:rPr>
      </w:pPr>
    </w:p>
    <w:p w14:paraId="66BBCD04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2D4A83BB">
      <w:pPr>
        <w:pStyle w:val="12"/>
        <w:spacing w:after="120"/>
        <w:rPr>
          <w:rFonts w:hint="eastAsia"/>
        </w:rPr>
      </w:pPr>
    </w:p>
    <w:p w14:paraId="64B1F89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整改应优先处理会引发资源泄露、异常丢失、误用接口、复杂度过高和重复逻辑不一致的问题。格式化类问题应尽量通过统一工具批量处理。</w:t>
      </w:r>
    </w:p>
    <w:p w14:paraId="719FB6E5">
      <w:pPr>
        <w:pStyle w:val="12"/>
        <w:spacing w:after="120"/>
        <w:rPr>
          <w:rFonts w:hint="eastAsia"/>
        </w:rPr>
      </w:pPr>
    </w:p>
    <w:p w14:paraId="5A6D07C1">
      <w:pPr>
        <w:pStyle w:val="3"/>
        <w:spacing w:before="160" w:after="80"/>
      </w:pPr>
      <w:r>
        <w:rPr>
          <w:rFonts w:ascii="微软雅黑" w:hAnsi="微软雅黑" w:eastAsia="微软雅黑"/>
        </w:rPr>
        <w:t>5.4 安全性</w:t>
      </w:r>
    </w:p>
    <w:p w14:paraId="392781CA">
      <w:pPr>
        <w:pStyle w:val="12"/>
        <w:spacing w:after="120"/>
        <w:rPr>
          <w:rFonts w:hint="eastAsia"/>
        </w:rPr>
      </w:pPr>
    </w:p>
    <w:p w14:paraId="2252F5A2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23C3BC5E">
      <w:pPr>
        <w:pStyle w:val="12"/>
        <w:spacing w:after="120"/>
        <w:rPr>
          <w:rFonts w:hint="eastAsia"/>
        </w:rPr>
      </w:pPr>
    </w:p>
    <w:p w14:paraId="46F46DF8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识别和控制代码、配置、依赖和运行流程中的安全风险，重点覆盖 OWASP Top 10、CWE 常见漏洞、认证授权、注入、敏感信息、路径访问、反序列化和加密错误。</w:t>
      </w:r>
    </w:p>
    <w:p w14:paraId="4B4F5B74">
      <w:pPr>
        <w:pStyle w:val="12"/>
        <w:spacing w:after="120"/>
        <w:rPr>
          <w:rFonts w:hint="eastAsia"/>
        </w:rPr>
      </w:pPr>
    </w:p>
    <w:p w14:paraId="6E9F038C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46D56BF5">
      <w:pPr>
        <w:pStyle w:val="12"/>
        <w:spacing w:after="120"/>
        <w:rPr>
          <w:rFonts w:hint="eastAsia"/>
        </w:rPr>
      </w:pPr>
    </w:p>
    <w:p w14:paraId="2ADE15A8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认证规则。登录、令牌、会话、签名、回调和服务间认证应有明确校验，不得信任未验证来源。</w:t>
      </w:r>
    </w:p>
    <w:p w14:paraId="43605D8E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授权规则。每个敏感操作应校验用户、角色、租户、资源归属和操作权限，禁止只在前端或入口层做权限判断。</w:t>
      </w:r>
    </w:p>
    <w:p w14:paraId="146A49E7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注入规则。SQL、命令、模板、表达式、LDAP、NoSQL、ORM 动态查询等不得通过不可信输入拼接执行。</w:t>
      </w:r>
    </w:p>
    <w:p w14:paraId="2C11E753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命令执行规则。禁止 shell 字符串拼接执行外部命令；确需执行时应使用参数数组接口，校验可执行文件和参数白名单，并记录退出码和错误输出。</w:t>
      </w:r>
    </w:p>
    <w:p w14:paraId="0F4C679C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XSS 与输出编码规则。用户可控内容进入 HTML、JS、CSS、URL、Markdown 或富文本时，应按上下文编码或净化。</w:t>
      </w:r>
    </w:p>
    <w:p w14:paraId="09AE8138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SSRF 规则。服务端发起 URL 请求时，应限制协议、域名、IP 段、跳转和 DNS 解析结果。</w:t>
      </w:r>
    </w:p>
    <w:p w14:paraId="1E3ADC4B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路径穿越规则。文件路径应规范化后校验仍位于允许根目录内，拒绝绝对路径、上级目录跳转和危险符号。</w:t>
      </w:r>
    </w:p>
    <w:p w14:paraId="50B9AD38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反序列化规则。不得对不可信输入执行原生对象反序列化；确需反序列化时应使用安全格式、schema 和类型白名单。</w:t>
      </w:r>
    </w:p>
    <w:p w14:paraId="3445F173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敏感信息规则。密钥、令牌、密码、证书、连接串和个人敏感信息不得硬编码、写入日志或提交到仓库。</w:t>
      </w:r>
    </w:p>
    <w:p w14:paraId="09E2CAE4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加密规则。禁止使用弱算法、固定 IV、硬编码密钥、不安全随机数和明文传输。</w:t>
      </w:r>
    </w:p>
    <w:p w14:paraId="111F5F87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文件上传规则。上传文件应限制类型、大小、扩展名、内容、存储路径和访问权限。</w:t>
      </w:r>
    </w:p>
    <w:p w14:paraId="43C06BD9">
      <w:pPr>
        <w:pStyle w:val="11"/>
        <w:numPr>
          <w:ilvl w:val="0"/>
          <w:numId w:val="1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审计日志规则。关键安全事件应记录审计日志，并避免泄露敏感字段。</w:t>
      </w:r>
    </w:p>
    <w:p w14:paraId="305E6479">
      <w:pPr>
        <w:pStyle w:val="12"/>
        <w:spacing w:after="120"/>
        <w:rPr>
          <w:rFonts w:hint="eastAsia"/>
        </w:rPr>
      </w:pPr>
    </w:p>
    <w:p w14:paraId="5DC82FE9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305A7076">
      <w:pPr>
        <w:pStyle w:val="12"/>
        <w:spacing w:after="120"/>
        <w:rPr>
          <w:rFonts w:hint="eastAsia"/>
        </w:rPr>
      </w:pPr>
    </w:p>
    <w:p w14:paraId="608BFE0D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应收集入口代码、权限校验点、数据库查询、命令执行点、文件操作点、网络请求点、序列化 API、配置文件、日志代码、依赖扫描结果、密钥扫描结果和安全工具输出。</w:t>
      </w:r>
    </w:p>
    <w:p w14:paraId="7173072D">
      <w:pPr>
        <w:pStyle w:val="12"/>
        <w:spacing w:after="120"/>
        <w:rPr>
          <w:rFonts w:hint="eastAsia"/>
        </w:rPr>
      </w:pPr>
    </w:p>
    <w:p w14:paraId="5ADAD424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7A75C148">
      <w:pPr>
        <w:pStyle w:val="12"/>
        <w:spacing w:after="120"/>
        <w:rPr>
          <w:rFonts w:hint="eastAsia"/>
        </w:rPr>
      </w:pPr>
    </w:p>
    <w:p w14:paraId="0C4A54D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应把可利用路径、输入来源、权限上下文和防护措施作为判定核心。只有发现调用点、输入来源和缺少有效校验时，才应判定为确定安全问题；缺少运行环境或权限模型证据时，应标记为“待复核”。</w:t>
      </w:r>
    </w:p>
    <w:p w14:paraId="213E40AA">
      <w:pPr>
        <w:pStyle w:val="12"/>
        <w:spacing w:after="120"/>
        <w:rPr>
          <w:rFonts w:hint="eastAsia"/>
        </w:rPr>
      </w:pPr>
    </w:p>
    <w:p w14:paraId="5231EE1A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13C718F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高风险安全问题原则上不得带病发布。确需风险接受时，必须有安全负责人批准、补偿控制、责任人、有效期限和复审日期。涉及密钥泄露的，应立即轮换凭据并清理历史暴露风险。</w:t>
      </w:r>
    </w:p>
    <w:p w14:paraId="28DDBF41">
      <w:pPr>
        <w:pStyle w:val="12"/>
        <w:spacing w:after="120"/>
        <w:rPr>
          <w:rFonts w:hint="eastAsia"/>
        </w:rPr>
      </w:pPr>
    </w:p>
    <w:p w14:paraId="5C59C387">
      <w:pPr>
        <w:pStyle w:val="3"/>
        <w:spacing w:before="160" w:after="80"/>
      </w:pPr>
      <w:r>
        <w:rPr>
          <w:rFonts w:ascii="微软雅黑" w:hAnsi="微软雅黑" w:eastAsia="微软雅黑"/>
        </w:rPr>
        <w:t>5.5 可靠性与健壮性</w:t>
      </w:r>
    </w:p>
    <w:p w14:paraId="7F76865F">
      <w:pPr>
        <w:pStyle w:val="12"/>
        <w:spacing w:after="120"/>
        <w:rPr>
          <w:rFonts w:hint="eastAsia"/>
        </w:rPr>
      </w:pPr>
    </w:p>
    <w:p w14:paraId="26297208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11947D7B">
      <w:pPr>
        <w:pStyle w:val="12"/>
        <w:spacing w:after="120"/>
        <w:rPr>
          <w:rFonts w:hint="eastAsia"/>
        </w:rPr>
      </w:pPr>
    </w:p>
    <w:p w14:paraId="18087704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确保系统在异常输入、依赖失败、并发冲突、资源耗尽、网络抖动和关闭重启场景下能够稳定运行、可恢复、可定位。</w:t>
      </w:r>
    </w:p>
    <w:p w14:paraId="1A11D41A">
      <w:pPr>
        <w:pStyle w:val="12"/>
        <w:spacing w:after="120"/>
        <w:rPr>
          <w:rFonts w:hint="eastAsia"/>
        </w:rPr>
      </w:pPr>
    </w:p>
    <w:p w14:paraId="518D58D2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26D9DBF2">
      <w:pPr>
        <w:pStyle w:val="12"/>
        <w:spacing w:after="120"/>
        <w:rPr>
          <w:rFonts w:hint="eastAsia"/>
        </w:rPr>
      </w:pPr>
    </w:p>
    <w:p w14:paraId="25F24C16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空值与边界规则。所有外部输入、查询结果、配置值和可选字段应进行空值和边界处理。</w:t>
      </w:r>
    </w:p>
    <w:p w14:paraId="61F77D3E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超时规则。外部 I/O、远程调用、队列等待、锁等待和长耗时任务必须有超时、取消和恢复路径。</w:t>
      </w:r>
    </w:p>
    <w:p w14:paraId="4CC9B0EF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重试规则。重试应有次数限制、退避策略、幂等保障和失败记录，禁止无限重试。</w:t>
      </w:r>
    </w:p>
    <w:p w14:paraId="349D8E5B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幂等规则。创建、支付、扣减、通知、回调、消息消费等操作应具备幂等控制。</w:t>
      </w:r>
    </w:p>
    <w:p w14:paraId="72659AE3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并发规则。共享状态、缓存、文件、数据库记录和后台任务应有同步、锁、事务或串行化策略。</w:t>
      </w:r>
    </w:p>
    <w:p w14:paraId="32A3ED62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生命周期规则。后台线程、异步任务、定时任务和外部连接应有启动、关闭、等待完成和异常收集机制。</w:t>
      </w:r>
    </w:p>
    <w:p w14:paraId="158DB37F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失败恢复规则。失败后应释放资源、回滚状态、记录错误并支持重试或补偿。</w:t>
      </w:r>
    </w:p>
    <w:p w14:paraId="5229763F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降级规则。降级不得掩盖关键业务失败，不得返回虚假成功。</w:t>
      </w:r>
    </w:p>
    <w:p w14:paraId="7EDAED87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资源耗尽规则。队列、连接池、线程池、缓存、文件句柄和内存使用应有上限和保护。</w:t>
      </w:r>
    </w:p>
    <w:p w14:paraId="2BE676F1">
      <w:pPr>
        <w:pStyle w:val="11"/>
        <w:numPr>
          <w:ilvl w:val="0"/>
          <w:numId w:val="1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环境适配规则。配置缺失、权限不足、依赖不可达和启动失败应有明确错误信息和安全退出策略。</w:t>
      </w:r>
    </w:p>
    <w:p w14:paraId="326EAC2D">
      <w:pPr>
        <w:pStyle w:val="12"/>
        <w:spacing w:after="120"/>
        <w:rPr>
          <w:rFonts w:hint="eastAsia"/>
        </w:rPr>
      </w:pPr>
    </w:p>
    <w:p w14:paraId="7EB3BBC9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4B61A9A0">
      <w:pPr>
        <w:pStyle w:val="12"/>
        <w:spacing w:after="120"/>
        <w:rPr>
          <w:rFonts w:hint="eastAsia"/>
        </w:rPr>
      </w:pPr>
    </w:p>
    <w:p w14:paraId="7D14E0C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应收集异常处理代码、超时配置、重试代码、并发访问点、资源分配释放点、线程和任务管理代码、连接池配置、关闭流程、日志和恢复路径。</w:t>
      </w:r>
    </w:p>
    <w:p w14:paraId="601535E4">
      <w:pPr>
        <w:pStyle w:val="12"/>
        <w:spacing w:after="120"/>
        <w:rPr>
          <w:rFonts w:hint="eastAsia"/>
        </w:rPr>
      </w:pPr>
    </w:p>
    <w:p w14:paraId="45626172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38D93873">
      <w:pPr>
        <w:pStyle w:val="12"/>
        <w:spacing w:after="120"/>
        <w:rPr>
          <w:rFonts w:hint="eastAsia"/>
        </w:rPr>
      </w:pPr>
    </w:p>
    <w:p w14:paraId="43EF039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应重点识别无超时等待、无限重试、异步任务无人管理、全局可变状态、异常吞没、资源未释放和失败后继续执行等问题。可靠性问题的严重性应结合业务关键性和生产触发概率判定。</w:t>
      </w:r>
    </w:p>
    <w:p w14:paraId="5953BDC4">
      <w:pPr>
        <w:pStyle w:val="12"/>
        <w:spacing w:after="120"/>
        <w:rPr>
          <w:rFonts w:hint="eastAsia"/>
        </w:rPr>
      </w:pPr>
    </w:p>
    <w:p w14:paraId="56C68416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409D8601">
      <w:pPr>
        <w:pStyle w:val="12"/>
        <w:spacing w:after="120"/>
        <w:rPr>
          <w:rFonts w:hint="eastAsia"/>
        </w:rPr>
      </w:pPr>
    </w:p>
    <w:p w14:paraId="54AB5E26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可靠性高风险问题应优先在发布前修复。整改后应补充异常、超时、并发、关闭和恢复场景测试，并在报告中记录复测结果。</w:t>
      </w:r>
    </w:p>
    <w:p w14:paraId="41AD336F">
      <w:pPr>
        <w:pStyle w:val="12"/>
        <w:spacing w:after="120"/>
        <w:rPr>
          <w:rFonts w:hint="eastAsia"/>
        </w:rPr>
      </w:pPr>
    </w:p>
    <w:p w14:paraId="4AA24816">
      <w:pPr>
        <w:pStyle w:val="3"/>
        <w:spacing w:before="160" w:after="80"/>
      </w:pPr>
      <w:r>
        <w:rPr>
          <w:rFonts w:ascii="微软雅黑" w:hAnsi="微软雅黑" w:eastAsia="微软雅黑"/>
        </w:rPr>
        <w:t>5.6 可维护性与可演进性</w:t>
      </w:r>
    </w:p>
    <w:p w14:paraId="4A1698E3">
      <w:pPr>
        <w:pStyle w:val="12"/>
        <w:spacing w:after="120"/>
        <w:rPr>
          <w:rFonts w:hint="eastAsia"/>
        </w:rPr>
      </w:pPr>
    </w:p>
    <w:p w14:paraId="42F12D52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482048F5">
      <w:pPr>
        <w:pStyle w:val="12"/>
        <w:spacing w:after="120"/>
        <w:rPr>
          <w:rFonts w:hint="eastAsia"/>
        </w:rPr>
      </w:pPr>
    </w:p>
    <w:p w14:paraId="20468F9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确保代码结构易理解、易测试、易替换、易扩展，避免技术债阻碍业务演进、安全加固和长期运营。</w:t>
      </w:r>
    </w:p>
    <w:p w14:paraId="638005B9">
      <w:pPr>
        <w:pStyle w:val="12"/>
        <w:spacing w:after="120"/>
        <w:rPr>
          <w:rFonts w:hint="eastAsia"/>
        </w:rPr>
      </w:pPr>
    </w:p>
    <w:p w14:paraId="5DF8FE8C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7B9467CF">
      <w:pPr>
        <w:pStyle w:val="12"/>
        <w:spacing w:after="120"/>
        <w:rPr>
          <w:rFonts w:hint="eastAsia"/>
        </w:rPr>
      </w:pPr>
    </w:p>
    <w:p w14:paraId="06586738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单一职责规则。类、函数、模块应有明确职责，避免同时承担业务编排、数据访问、配置解析、外部调用和展示逻辑。</w:t>
      </w:r>
    </w:p>
    <w:p w14:paraId="4F8125AB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可测试性规则。核心逻辑应能通过单元测试或集成测试验证，避免强依赖静态状态、真实外部环境或不可替换组件。</w:t>
      </w:r>
    </w:p>
    <w:p w14:paraId="048CBDDE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依赖注入规则。外部依赖、策略组件、客户端和配置应可替换，避免硬编码具体实现。</w:t>
      </w:r>
    </w:p>
    <w:p w14:paraId="666B3917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抽象质量规则。抽象应服务于真实变化点，避免过度抽象或接口与实现一一对应的空洞抽象。</w:t>
      </w:r>
    </w:p>
    <w:p w14:paraId="5FBF2F93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配置管理规则。配置项应集中、命名清晰、有默认值和校验，避免散落在代码和脚本中。</w:t>
      </w:r>
    </w:p>
    <w:p w14:paraId="03160828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文档规则。关键业务规则、架构约束、部署步骤、配置含义和风险接受应有文档记录。</w:t>
      </w:r>
    </w:p>
    <w:p w14:paraId="5A0C7D92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技术债规则。临时方案、兼容补丁、废弃接口和绕过逻辑应标注原因、责任人和清理计划。</w:t>
      </w:r>
    </w:p>
    <w:p w14:paraId="472DE457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全局状态规则。全局可变状态应收敛到上下文对象、依赖注入容器或明确同步策略。</w:t>
      </w:r>
    </w:p>
    <w:p w14:paraId="51E97000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API 演进规则。公共接口变更应考虑兼容性、版本化、迁移说明和调用方影响。</w:t>
      </w:r>
    </w:p>
    <w:p w14:paraId="355EF16C">
      <w:pPr>
        <w:pStyle w:val="11"/>
        <w:numPr>
          <w:ilvl w:val="0"/>
          <w:numId w:val="1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可读性规则。代码组织应支持审阅者快速理解主要流程、错误路径和依赖关系。</w:t>
      </w:r>
    </w:p>
    <w:p w14:paraId="3FBEA07C">
      <w:pPr>
        <w:pStyle w:val="12"/>
        <w:spacing w:after="120"/>
        <w:rPr>
          <w:rFonts w:hint="eastAsia"/>
        </w:rPr>
      </w:pPr>
    </w:p>
    <w:p w14:paraId="4ED51678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444125D4">
      <w:pPr>
        <w:pStyle w:val="12"/>
        <w:spacing w:after="120"/>
        <w:rPr>
          <w:rFonts w:hint="eastAsia"/>
        </w:rPr>
      </w:pPr>
    </w:p>
    <w:p w14:paraId="52E30E1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应收集模块结构、核心类和函数、依赖关系、接口定义、配置文件、测试代码、文档、技术债注释、变更历史和调用关系。</w:t>
      </w:r>
    </w:p>
    <w:p w14:paraId="5811E294">
      <w:pPr>
        <w:pStyle w:val="12"/>
        <w:spacing w:after="120"/>
        <w:rPr>
          <w:rFonts w:hint="eastAsia"/>
        </w:rPr>
      </w:pPr>
    </w:p>
    <w:p w14:paraId="247E4876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1141B61D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应避免以“看起来复杂”为理由直接判定问题，应说明复杂性如何影响测试、变更、安全或稳定性。维护性问题只有在影响范围明确时才应提升严重等级。</w:t>
      </w:r>
    </w:p>
    <w:p w14:paraId="1080B4E7">
      <w:pPr>
        <w:pStyle w:val="12"/>
        <w:spacing w:after="120"/>
        <w:rPr>
          <w:rFonts w:hint="eastAsia"/>
        </w:rPr>
      </w:pPr>
    </w:p>
    <w:p w14:paraId="4A6F71A5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180669AA">
      <w:pPr>
        <w:pStyle w:val="12"/>
        <w:spacing w:after="120"/>
        <w:rPr>
          <w:rFonts w:hint="eastAsia"/>
        </w:rPr>
      </w:pPr>
    </w:p>
    <w:p w14:paraId="22D383D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维护性整改应与业务需求或风险修复结合推进，避免无目标的大规模重构。对高耦合核心模块，应先补充测试和接口契约，再分阶段重构。</w:t>
      </w:r>
    </w:p>
    <w:p w14:paraId="2FB50894">
      <w:pPr>
        <w:pStyle w:val="12"/>
        <w:spacing w:after="120"/>
        <w:rPr>
          <w:rFonts w:hint="eastAsia"/>
        </w:rPr>
      </w:pPr>
    </w:p>
    <w:p w14:paraId="4F357C1D">
      <w:pPr>
        <w:pStyle w:val="3"/>
        <w:spacing w:before="160" w:after="80"/>
      </w:pPr>
      <w:r>
        <w:rPr>
          <w:rFonts w:ascii="微软雅黑" w:hAnsi="微软雅黑" w:eastAsia="微软雅黑"/>
        </w:rPr>
        <w:t>5.7 可观测性与运维性</w:t>
      </w:r>
    </w:p>
    <w:p w14:paraId="2959AEE4">
      <w:pPr>
        <w:pStyle w:val="12"/>
        <w:spacing w:after="120"/>
        <w:rPr>
          <w:rFonts w:hint="eastAsia"/>
        </w:rPr>
      </w:pPr>
    </w:p>
    <w:p w14:paraId="54E90AF8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373E9E30">
      <w:pPr>
        <w:pStyle w:val="12"/>
        <w:spacing w:after="120"/>
        <w:rPr>
          <w:rFonts w:hint="eastAsia"/>
        </w:rPr>
      </w:pPr>
    </w:p>
    <w:p w14:paraId="20E22526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确保系统在开发、测试、生产和故障处理阶段具备足够的日志、指标、链路、错误码、健康检查和审计能力，支持快速定位和恢复。</w:t>
      </w:r>
    </w:p>
    <w:p w14:paraId="65B42D04">
      <w:pPr>
        <w:pStyle w:val="12"/>
        <w:spacing w:after="120"/>
        <w:rPr>
          <w:rFonts w:hint="eastAsia"/>
        </w:rPr>
      </w:pPr>
    </w:p>
    <w:p w14:paraId="4AAB1BA9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578F15CB">
      <w:pPr>
        <w:pStyle w:val="12"/>
        <w:spacing w:after="120"/>
        <w:rPr>
          <w:rFonts w:hint="eastAsia"/>
        </w:rPr>
      </w:pPr>
    </w:p>
    <w:p w14:paraId="19F010B9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日志上下文规则。关键异常日志应包含操作名、对象标识、请求或任务上下文、状态、错误码、异常类型和恢复动作。</w:t>
      </w:r>
    </w:p>
    <w:p w14:paraId="08A84FBA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日志安全规则。日志不得输出密码、令牌、密钥、身份证件、银行卡、完整连接串等敏感信息。</w:t>
      </w:r>
    </w:p>
    <w:p w14:paraId="215889CE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指标规则。关键业务流程、外部依赖、队列、重试、降级、错误率、耗时和资源使用应有指标。</w:t>
      </w:r>
    </w:p>
    <w:p w14:paraId="72CE33F6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链路追踪规则。跨服务调用应传递 trace 信息，支持定位请求路径和瓶颈。</w:t>
      </w:r>
    </w:p>
    <w:p w14:paraId="05354476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错误码规则。面向用户、运维和开发的错误应有稳定错误码或分类，避免只有泛化错误文本。</w:t>
      </w:r>
    </w:p>
    <w:p w14:paraId="7FE7E925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告警规则。高影响失败、依赖不可用、积压、频繁重试、降级和资源耗尽应有告警或监控信号。</w:t>
      </w:r>
    </w:p>
    <w:p w14:paraId="0510853A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健康检查规则。服务应提供启动、存活、就绪和关键依赖健康检查。</w:t>
      </w:r>
    </w:p>
    <w:p w14:paraId="450E7586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审计日志规则。权限变更、登录失败、敏感数据访问、配置变更和高风险操作应有审计记录。</w:t>
      </w:r>
    </w:p>
    <w:p w14:paraId="500D28E0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运行状态规则。运行时关键状态应可查询，但不得暴露敏感信息或内部攻击面。</w:t>
      </w:r>
    </w:p>
    <w:p w14:paraId="5FFFFDF8">
      <w:pPr>
        <w:pStyle w:val="11"/>
        <w:numPr>
          <w:ilvl w:val="0"/>
          <w:numId w:val="1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故障演练规则。关键系统应有故障演练、应急预案或恢复验证记录。</w:t>
      </w:r>
    </w:p>
    <w:p w14:paraId="53D7D2BE">
      <w:pPr>
        <w:pStyle w:val="12"/>
        <w:spacing w:after="120"/>
        <w:rPr>
          <w:rFonts w:hint="eastAsia"/>
        </w:rPr>
      </w:pPr>
    </w:p>
    <w:p w14:paraId="714C467F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679A8726">
      <w:pPr>
        <w:pStyle w:val="12"/>
        <w:spacing w:after="120"/>
        <w:rPr>
          <w:rFonts w:hint="eastAsia"/>
        </w:rPr>
      </w:pPr>
    </w:p>
    <w:p w14:paraId="7E60FC4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应收集日志代码、日志样例、指标配置、监控规则、追踪配置、错误码定义、健康检查接口、审计日志、告警策略和运维文档。</w:t>
      </w:r>
    </w:p>
    <w:p w14:paraId="7D265247">
      <w:pPr>
        <w:pStyle w:val="12"/>
        <w:spacing w:after="120"/>
        <w:rPr>
          <w:rFonts w:hint="eastAsia"/>
        </w:rPr>
      </w:pPr>
    </w:p>
    <w:p w14:paraId="2695F473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3E37B96D">
      <w:pPr>
        <w:pStyle w:val="12"/>
        <w:spacing w:after="120"/>
        <w:rPr>
          <w:rFonts w:hint="eastAsia"/>
        </w:rPr>
      </w:pPr>
    </w:p>
    <w:p w14:paraId="5F20148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应关注“故障发生后能否定位、能否告警、能否恢复”。对于非生产或小型工具，可适当降低要求；对在线服务、批处理、网关、设备控制系统，应提高可观测性要求。</w:t>
      </w:r>
    </w:p>
    <w:p w14:paraId="3571DA76">
      <w:pPr>
        <w:pStyle w:val="12"/>
        <w:spacing w:after="120"/>
        <w:rPr>
          <w:rFonts w:hint="eastAsia"/>
        </w:rPr>
      </w:pPr>
    </w:p>
    <w:p w14:paraId="36FD952E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6136F3E4">
      <w:pPr>
        <w:pStyle w:val="12"/>
        <w:spacing w:after="120"/>
        <w:rPr>
          <w:rFonts w:hint="eastAsia"/>
        </w:rPr>
      </w:pPr>
    </w:p>
    <w:p w14:paraId="512EE97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缺少关键错误上下文、健康检查或审计日志的问题，应结合生产风险安排整改。整改应避免过度日志化和敏感信息泄露。</w:t>
      </w:r>
    </w:p>
    <w:p w14:paraId="0ACEF874">
      <w:pPr>
        <w:pStyle w:val="12"/>
        <w:spacing w:after="120"/>
        <w:rPr>
          <w:rFonts w:hint="eastAsia"/>
        </w:rPr>
      </w:pPr>
    </w:p>
    <w:p w14:paraId="6401E881">
      <w:pPr>
        <w:pStyle w:val="3"/>
        <w:spacing w:before="160" w:after="80"/>
      </w:pPr>
      <w:r>
        <w:rPr>
          <w:rFonts w:ascii="微软雅黑" w:hAnsi="微软雅黑" w:eastAsia="微软雅黑"/>
        </w:rPr>
        <w:t>5.8 性能与资源</w:t>
      </w:r>
    </w:p>
    <w:p w14:paraId="33C29342">
      <w:pPr>
        <w:pStyle w:val="12"/>
        <w:spacing w:after="120"/>
        <w:rPr>
          <w:rFonts w:hint="eastAsia"/>
        </w:rPr>
      </w:pPr>
    </w:p>
    <w:p w14:paraId="6D6ABAF0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0691F158">
      <w:pPr>
        <w:pStyle w:val="12"/>
        <w:spacing w:after="120"/>
        <w:rPr>
          <w:rFonts w:hint="eastAsia"/>
        </w:rPr>
      </w:pPr>
    </w:p>
    <w:p w14:paraId="4546A204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确保系统在预期负载下具备合理的响应时间、吞吐能力和资源使用效率，避免算法、数据库访问、阻塞调用和资源生命周期问题导致性能退化。</w:t>
      </w:r>
    </w:p>
    <w:p w14:paraId="70A19CED">
      <w:pPr>
        <w:pStyle w:val="12"/>
        <w:spacing w:after="120"/>
        <w:rPr>
          <w:rFonts w:hint="eastAsia"/>
        </w:rPr>
      </w:pPr>
    </w:p>
    <w:p w14:paraId="348CD3D9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43C5CB4C">
      <w:pPr>
        <w:pStyle w:val="12"/>
        <w:spacing w:after="120"/>
        <w:rPr>
          <w:rFonts w:hint="eastAsia"/>
        </w:rPr>
      </w:pPr>
    </w:p>
    <w:p w14:paraId="0CC8DB1B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数据库访问规则。避免 N+1 查询、无索引高频查询、全表扫描、不必要的事务持有和大结果集一次性加载。</w:t>
      </w:r>
    </w:p>
    <w:p w14:paraId="48B3E75E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算法复杂度规则。核心路径应避免不必要的高复杂度算法，循环嵌套和集合操作应符合数据规模。</w:t>
      </w:r>
    </w:p>
    <w:p w14:paraId="6302629C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内存规则。大对象、缓存、集合、流处理和文件读取应控制内存占用，避免无界增长。</w:t>
      </w:r>
    </w:p>
    <w:p w14:paraId="101FB2A3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I/O 规则。文件、网络和数据库 I/O 应减少重复操作，必要时批量化、缓存或异步处理。</w:t>
      </w:r>
    </w:p>
    <w:p w14:paraId="6090A9F6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缓存规则。缓存应有命中率目标、容量限制、过期策略和一致性策略。</w:t>
      </w:r>
    </w:p>
    <w:p w14:paraId="1432E364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阻塞调用规则。异步或高并发路径中应避免不必要的阻塞等待和同步锁竞争。</w:t>
      </w:r>
    </w:p>
    <w:p w14:paraId="7D5113E1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连接池规则。数据库、HTTP、消息队列和线程池配置应与负载匹配，并有资源上限。</w:t>
      </w:r>
    </w:p>
    <w:p w14:paraId="691AEBFC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大文件规则。大文件上传、下载、解析和导出应采用流式处理或分块处理。</w:t>
      </w:r>
    </w:p>
    <w:p w14:paraId="550B6AC7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热路径规则。高频调用路径应避免重复解析配置、重复创建重资源对象和不必要日志。</w:t>
      </w:r>
    </w:p>
    <w:p w14:paraId="00D5FFA1">
      <w:pPr>
        <w:pStyle w:val="11"/>
        <w:numPr>
          <w:ilvl w:val="0"/>
          <w:numId w:val="1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性能测试规则。关键性能假设应有压测、基准测试或生产指标支撑。</w:t>
      </w:r>
    </w:p>
    <w:p w14:paraId="5492154D">
      <w:pPr>
        <w:pStyle w:val="12"/>
        <w:spacing w:after="120"/>
        <w:rPr>
          <w:rFonts w:hint="eastAsia"/>
        </w:rPr>
      </w:pPr>
    </w:p>
    <w:p w14:paraId="02F2FB51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35AC972F">
      <w:pPr>
        <w:pStyle w:val="12"/>
        <w:spacing w:after="120"/>
        <w:rPr>
          <w:rFonts w:hint="eastAsia"/>
        </w:rPr>
      </w:pPr>
    </w:p>
    <w:p w14:paraId="3C82CC5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应收集数据库查询、ORM 映射、循环逻辑、缓存代码、连接池配置、线程池配置、文件处理代码、性能测试结果、监控指标和生产容量数据。</w:t>
      </w:r>
    </w:p>
    <w:p w14:paraId="22A9FD9D">
      <w:pPr>
        <w:pStyle w:val="12"/>
        <w:spacing w:after="120"/>
        <w:rPr>
          <w:rFonts w:hint="eastAsia"/>
        </w:rPr>
      </w:pPr>
    </w:p>
    <w:p w14:paraId="3DB67A0D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2F3D7D78">
      <w:pPr>
        <w:pStyle w:val="12"/>
        <w:spacing w:after="120"/>
        <w:rPr>
          <w:rFonts w:hint="eastAsia"/>
        </w:rPr>
      </w:pPr>
    </w:p>
    <w:p w14:paraId="46FE8ADD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应结合数据规模和调用频率判断性能问题，避免把低频管理接口中的小问题夸大。没有负载数据时，可列为“待复核”或“优化建议”。</w:t>
      </w:r>
    </w:p>
    <w:p w14:paraId="5DB7038A">
      <w:pPr>
        <w:pStyle w:val="12"/>
        <w:spacing w:after="120"/>
        <w:rPr>
          <w:rFonts w:hint="eastAsia"/>
        </w:rPr>
      </w:pPr>
    </w:p>
    <w:p w14:paraId="3CAF42BC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2E5B2ECB">
      <w:pPr>
        <w:pStyle w:val="12"/>
        <w:spacing w:after="120"/>
        <w:rPr>
          <w:rFonts w:hint="eastAsia"/>
        </w:rPr>
      </w:pPr>
    </w:p>
    <w:p w14:paraId="5AECBD0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性能整改应先确认瓶颈和数据规模，再选择索引、批量化、缓存、异步、流式处理或算法优化。整改后应通过指标或测试结果验证。</w:t>
      </w:r>
    </w:p>
    <w:p w14:paraId="5FD6860E">
      <w:pPr>
        <w:pStyle w:val="12"/>
        <w:spacing w:after="120"/>
        <w:rPr>
          <w:rFonts w:hint="eastAsia"/>
        </w:rPr>
      </w:pPr>
    </w:p>
    <w:p w14:paraId="542CAAA3">
      <w:pPr>
        <w:pStyle w:val="3"/>
        <w:spacing w:before="160" w:after="80"/>
      </w:pPr>
      <w:r>
        <w:rPr>
          <w:rFonts w:ascii="微软雅黑" w:hAnsi="微软雅黑" w:eastAsia="微软雅黑"/>
        </w:rPr>
        <w:t>5.9 测试质量</w:t>
      </w:r>
    </w:p>
    <w:p w14:paraId="010932F2">
      <w:pPr>
        <w:pStyle w:val="12"/>
        <w:spacing w:after="120"/>
        <w:rPr>
          <w:rFonts w:hint="eastAsia"/>
        </w:rPr>
      </w:pPr>
    </w:p>
    <w:p w14:paraId="3C7E1940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7631234D">
      <w:pPr>
        <w:pStyle w:val="12"/>
        <w:spacing w:after="120"/>
        <w:rPr>
          <w:rFonts w:hint="eastAsia"/>
        </w:rPr>
      </w:pPr>
    </w:p>
    <w:p w14:paraId="0491B7AF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确保测试能够覆盖核心业务、边界条件、异常路径、并发行为、回归缺陷和发布门禁，支持安全整改和持续演进。</w:t>
      </w:r>
    </w:p>
    <w:p w14:paraId="4CF21844">
      <w:pPr>
        <w:pStyle w:val="12"/>
        <w:spacing w:after="120"/>
        <w:rPr>
          <w:rFonts w:hint="eastAsia"/>
        </w:rPr>
      </w:pPr>
    </w:p>
    <w:p w14:paraId="3E37FE62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752308F2">
      <w:pPr>
        <w:pStyle w:val="12"/>
        <w:spacing w:after="120"/>
        <w:rPr>
          <w:rFonts w:hint="eastAsia"/>
        </w:rPr>
      </w:pPr>
    </w:p>
    <w:p w14:paraId="6406D959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单元测试规则。核心纯逻辑、状态转换、边界判断和算法应有单元测试。</w:t>
      </w:r>
    </w:p>
    <w:p w14:paraId="7D3C2A30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集成测试规则。数据库、外部服务、消息队列、缓存和配置加载应有集成测试或替代验证。</w:t>
      </w:r>
    </w:p>
    <w:p w14:paraId="1E5E1E9E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边界测试规则。空值、极值、重复输入、非法输入、过期数据和分页边界应覆盖。</w:t>
      </w:r>
    </w:p>
    <w:p w14:paraId="418FC6E8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异常测试规则。依赖失败、权限不足、网络超时、数据不一致和资源不足应有测试。</w:t>
      </w:r>
    </w:p>
    <w:p w14:paraId="6815F7CF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并发测试规则。幂等、重复提交、竞态条件、锁和事务冲突应有并发测试或专项验证。</w:t>
      </w:r>
    </w:p>
    <w:p w14:paraId="2DE05F88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回归测试规则。历史缺陷和高风险整改应有回归测试。</w:t>
      </w:r>
    </w:p>
    <w:p w14:paraId="49EFBE88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安全测试规则。认证授权、注入、路径穿越、敏感信息和反序列化等高风险点应有安全测试或扫描。</w:t>
      </w:r>
    </w:p>
    <w:p w14:paraId="796C6130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CI 接入规则。测试应纳入 CI，失败应阻断或至少形成风险记录。</w:t>
      </w:r>
    </w:p>
    <w:p w14:paraId="6D14C6DF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测试可维护规则。测试应稳定、可重复、隔离外部环境，避免依赖执行顺序和真实生产资源。</w:t>
      </w:r>
    </w:p>
    <w:p w14:paraId="583370D6">
      <w:pPr>
        <w:pStyle w:val="11"/>
        <w:numPr>
          <w:ilvl w:val="0"/>
          <w:numId w:val="18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覆盖解释规则。覆盖率低不必然代表高风险，但核心路径无测试应视为交付风险。</w:t>
      </w:r>
    </w:p>
    <w:p w14:paraId="32EACC0F">
      <w:pPr>
        <w:pStyle w:val="12"/>
        <w:spacing w:after="120"/>
        <w:rPr>
          <w:rFonts w:hint="eastAsia"/>
        </w:rPr>
      </w:pPr>
    </w:p>
    <w:p w14:paraId="525C09B0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3E3D0C5E">
      <w:pPr>
        <w:pStyle w:val="12"/>
        <w:spacing w:after="120"/>
        <w:rPr>
          <w:rFonts w:hint="eastAsia"/>
        </w:rPr>
      </w:pPr>
    </w:p>
    <w:p w14:paraId="711305B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应收集测试目录、测试文件、测试报告、覆盖率报告、CI 日志、历史缺陷、回归测试、Mock 或测试容器配置和失败记录。</w:t>
      </w:r>
    </w:p>
    <w:p w14:paraId="7A4423CE">
      <w:pPr>
        <w:pStyle w:val="12"/>
        <w:spacing w:after="120"/>
        <w:rPr>
          <w:rFonts w:hint="eastAsia"/>
        </w:rPr>
      </w:pPr>
    </w:p>
    <w:p w14:paraId="16816E91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17E073BF">
      <w:pPr>
        <w:pStyle w:val="12"/>
        <w:spacing w:after="120"/>
        <w:rPr>
          <w:rFonts w:hint="eastAsia"/>
        </w:rPr>
      </w:pPr>
    </w:p>
    <w:p w14:paraId="7F8D652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应重点判断“关键风险是否被测试覆盖”，而不是只看覆盖率数字。对没有测试的核心业务路径，应说明风险路径、缺失场景和建议测试类型。</w:t>
      </w:r>
    </w:p>
    <w:p w14:paraId="2A575A12">
      <w:pPr>
        <w:pStyle w:val="12"/>
        <w:spacing w:after="120"/>
        <w:rPr>
          <w:rFonts w:hint="eastAsia"/>
        </w:rPr>
      </w:pPr>
    </w:p>
    <w:p w14:paraId="7C2729CE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5B22545A">
      <w:pPr>
        <w:pStyle w:val="12"/>
        <w:spacing w:after="120"/>
        <w:rPr>
          <w:rFonts w:hint="eastAsia"/>
        </w:rPr>
      </w:pPr>
    </w:p>
    <w:p w14:paraId="19CE55F9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高风险修复必须补充对应测试或说明不可测试原因。发布前应至少保证核心流程、异常路径和安全修复具备可复测材料。</w:t>
      </w:r>
    </w:p>
    <w:p w14:paraId="258A65D3">
      <w:pPr>
        <w:pStyle w:val="12"/>
        <w:spacing w:after="120"/>
        <w:rPr>
          <w:rFonts w:hint="eastAsia"/>
        </w:rPr>
      </w:pPr>
    </w:p>
    <w:p w14:paraId="4503B419">
      <w:pPr>
        <w:pStyle w:val="3"/>
        <w:spacing w:before="160" w:after="80"/>
      </w:pPr>
      <w:r>
        <w:rPr>
          <w:rFonts w:ascii="微软雅黑" w:hAnsi="微软雅黑" w:eastAsia="微软雅黑"/>
        </w:rPr>
        <w:t>5.10 依赖与供应链风险</w:t>
      </w:r>
    </w:p>
    <w:p w14:paraId="67F8A51F">
      <w:pPr>
        <w:pStyle w:val="12"/>
        <w:spacing w:after="120"/>
        <w:rPr>
          <w:rFonts w:hint="eastAsia"/>
        </w:rPr>
      </w:pPr>
    </w:p>
    <w:p w14:paraId="6F905565">
      <w:pPr>
        <w:pStyle w:val="4"/>
        <w:spacing w:before="160" w:after="80"/>
      </w:pPr>
      <w:r>
        <w:rPr>
          <w:rFonts w:ascii="微软雅黑" w:hAnsi="微软雅黑" w:eastAsia="微软雅黑"/>
        </w:rPr>
        <w:t>管理目标</w:t>
      </w:r>
    </w:p>
    <w:p w14:paraId="63A5D9B8">
      <w:pPr>
        <w:pStyle w:val="12"/>
        <w:spacing w:after="120"/>
        <w:rPr>
          <w:rFonts w:hint="eastAsia"/>
        </w:rPr>
      </w:pPr>
    </w:p>
    <w:p w14:paraId="71FD62DF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识别第三方依赖、构建插件、工具链、容器镜像和制品来源中的漏洞、许可证、完整性和可追溯风险，保证交付物可复现、可追踪、可治理。</w:t>
      </w:r>
    </w:p>
    <w:p w14:paraId="7686EB6A">
      <w:pPr>
        <w:pStyle w:val="12"/>
        <w:spacing w:after="120"/>
        <w:rPr>
          <w:rFonts w:hint="eastAsia"/>
        </w:rPr>
      </w:pPr>
    </w:p>
    <w:p w14:paraId="223B6ADE">
      <w:pPr>
        <w:pStyle w:val="4"/>
        <w:spacing w:before="160" w:after="80"/>
      </w:pPr>
      <w:r>
        <w:rPr>
          <w:rFonts w:ascii="微软雅黑" w:hAnsi="微软雅黑" w:eastAsia="微软雅黑"/>
        </w:rPr>
        <w:t>审计规则</w:t>
      </w:r>
    </w:p>
    <w:p w14:paraId="5EFF0EF7">
      <w:pPr>
        <w:pStyle w:val="12"/>
        <w:spacing w:after="120"/>
        <w:rPr>
          <w:rFonts w:hint="eastAsia"/>
        </w:rPr>
      </w:pPr>
    </w:p>
    <w:p w14:paraId="0477A5E5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漏洞规则。依赖漏洞应记录依赖名称、版本、漏洞编号、严重等级、可达性或使用场景。</w:t>
      </w:r>
    </w:p>
    <w:p w14:paraId="73818263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版本规则。依赖版本应固定或受锁文件约束，避免不受控漂移。</w:t>
      </w:r>
    </w:p>
    <w:p w14:paraId="50F3DD67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锁文件规则。npm、pip、Poetry、Maven、Gradle、Go、Cargo、Composer 等生态应保留合适的锁定机制或版本约束。</w:t>
      </w:r>
    </w:p>
    <w:p w14:paraId="17FDD9C0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SBOM 规则。发布制品应生成 SBOM，优先采用 CycloneDX 或 SPDX 格式。</w:t>
      </w:r>
    </w:p>
    <w:p w14:paraId="64FF0EDD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许可证规则。依赖许可证应符合项目交付要求，限制性许可证应经过审批。</w:t>
      </w:r>
    </w:p>
    <w:p w14:paraId="67BF4577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构建插件规则。构建插件、下载脚本和代码生成工具应来自可信源，并锁定版本。</w:t>
      </w:r>
    </w:p>
    <w:p w14:paraId="0903A69B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容器镜像规则。基础镜像应明确来源、版本和漏洞状态，避免使用过期或未知镜像。</w:t>
      </w:r>
    </w:p>
    <w:p w14:paraId="3161EA55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工具链规则。编译器、包管理器、扫描工具和脚本应记录版本和来源。</w:t>
      </w:r>
    </w:p>
    <w:p w14:paraId="62859DEB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私有源规则。私有包源、镜像源和代理应有访问控制和完整性保障。</w:t>
      </w:r>
    </w:p>
    <w:p w14:paraId="645D2EC6">
      <w:pPr>
        <w:pStyle w:val="11"/>
        <w:numPr>
          <w:ilvl w:val="0"/>
          <w:numId w:val="19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例外规则。无法升级的漏洞依赖应记录补偿控制、不可达性证据、责任人和例外有效期。</w:t>
      </w:r>
    </w:p>
    <w:p w14:paraId="1698DE12">
      <w:pPr>
        <w:pStyle w:val="12"/>
        <w:spacing w:after="120"/>
        <w:rPr>
          <w:rFonts w:hint="eastAsia"/>
        </w:rPr>
      </w:pPr>
    </w:p>
    <w:p w14:paraId="095181DB">
      <w:pPr>
        <w:pStyle w:val="4"/>
        <w:spacing w:before="160" w:after="80"/>
      </w:pPr>
      <w:r>
        <w:rPr>
          <w:rFonts w:ascii="微软雅黑" w:hAnsi="微软雅黑" w:eastAsia="微软雅黑"/>
        </w:rPr>
        <w:t>证据要求</w:t>
      </w:r>
    </w:p>
    <w:p w14:paraId="545490E9">
      <w:pPr>
        <w:pStyle w:val="12"/>
        <w:spacing w:after="120"/>
        <w:rPr>
          <w:rFonts w:hint="eastAsia"/>
        </w:rPr>
      </w:pPr>
    </w:p>
    <w:p w14:paraId="2A8D7EF4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应收集依赖清单、锁文件、SBOM、漏洞扫描结果、许可证扫描结果、容器镜像信息、构建脚本、下载脚本、包源配置和例外审批记录。</w:t>
      </w:r>
    </w:p>
    <w:p w14:paraId="7B32F47D">
      <w:pPr>
        <w:pStyle w:val="12"/>
        <w:spacing w:after="120"/>
        <w:rPr>
          <w:rFonts w:hint="eastAsia"/>
        </w:rPr>
      </w:pPr>
    </w:p>
    <w:p w14:paraId="4384F0B9">
      <w:pPr>
        <w:pStyle w:val="4"/>
        <w:spacing w:before="160" w:after="80"/>
      </w:pPr>
      <w:r>
        <w:rPr>
          <w:rFonts w:ascii="微软雅黑" w:hAnsi="微软雅黑" w:eastAsia="微软雅黑"/>
        </w:rPr>
        <w:t>AI 判定口径</w:t>
      </w:r>
    </w:p>
    <w:p w14:paraId="385A8758">
      <w:pPr>
        <w:pStyle w:val="12"/>
        <w:spacing w:after="120"/>
        <w:rPr>
          <w:rFonts w:hint="eastAsia"/>
        </w:rPr>
      </w:pPr>
    </w:p>
    <w:p w14:paraId="303AA88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应区分“存在漏洞依赖”和“漏洞可达或影响当前制品”。无法确认可达性时，应标记为“待复核”或要求提供调用证据。高危漏洞、可达漏洞和无补偿控制的过期组件应优先处理。</w:t>
      </w:r>
    </w:p>
    <w:p w14:paraId="5F7677E9">
      <w:pPr>
        <w:pStyle w:val="12"/>
        <w:spacing w:after="120"/>
        <w:rPr>
          <w:rFonts w:hint="eastAsia"/>
        </w:rPr>
      </w:pPr>
    </w:p>
    <w:p w14:paraId="067D74C7">
      <w:pPr>
        <w:pStyle w:val="4"/>
        <w:spacing w:before="160" w:after="80"/>
      </w:pPr>
      <w:r>
        <w:rPr>
          <w:rFonts w:ascii="微软雅黑" w:hAnsi="微软雅黑" w:eastAsia="微软雅黑"/>
        </w:rPr>
        <w:t>整改要求</w:t>
      </w:r>
    </w:p>
    <w:p w14:paraId="64E82664">
      <w:pPr>
        <w:pStyle w:val="12"/>
        <w:spacing w:after="120"/>
        <w:rPr>
          <w:rFonts w:hint="eastAsia"/>
        </w:rPr>
      </w:pPr>
    </w:p>
    <w:p w14:paraId="3E86EEA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供应链高风险问题应优先升级到修复版本；无法升级时，应记录补偿控制、不可达性证据、责任人和复审日期。发布制品应保留 SBOM 和扫描结果。</w:t>
      </w:r>
    </w:p>
    <w:p w14:paraId="6F046F33">
      <w:pPr>
        <w:pStyle w:val="12"/>
        <w:spacing w:after="120"/>
        <w:rPr>
          <w:rFonts w:hint="eastAsia"/>
        </w:rPr>
      </w:pPr>
    </w:p>
    <w:p w14:paraId="25D7A4F0">
      <w:pPr>
        <w:pStyle w:val="2"/>
        <w:spacing w:before="160" w:after="80"/>
      </w:pPr>
      <w:r>
        <w:rPr>
          <w:rFonts w:ascii="微软雅黑" w:hAnsi="微软雅黑" w:eastAsia="微软雅黑"/>
        </w:rPr>
        <w:t>6. 基线、误报与风险接受</w:t>
      </w:r>
    </w:p>
    <w:p w14:paraId="3084EF7E">
      <w:pPr>
        <w:pStyle w:val="12"/>
        <w:spacing w:after="120"/>
        <w:rPr>
          <w:rFonts w:hint="eastAsia"/>
        </w:rPr>
      </w:pPr>
    </w:p>
    <w:p w14:paraId="471BFBD6">
      <w:pPr>
        <w:pStyle w:val="3"/>
        <w:spacing w:before="160" w:after="80"/>
      </w:pPr>
      <w:r>
        <w:rPr>
          <w:rFonts w:ascii="微软雅黑" w:hAnsi="微软雅黑" w:eastAsia="微软雅黑"/>
        </w:rPr>
        <w:t>6.1 状态定义</w:t>
      </w:r>
    </w:p>
    <w:p w14:paraId="47991AF2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4047"/>
        <w:gridCol w:w="1927"/>
        <w:gridCol w:w="1930"/>
      </w:tblGrid>
      <w:tr w14:paraId="653ACA5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4AD1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w="404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7859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192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20C8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是否计入有效风险</w:t>
            </w:r>
          </w:p>
        </w:tc>
        <w:tc>
          <w:tcPr>
            <w:tcW w:w="193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9A18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是否触发高危门禁</w:t>
            </w:r>
          </w:p>
        </w:tc>
      </w:tr>
      <w:tr w14:paraId="20E4513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436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open</w:t>
            </w:r>
          </w:p>
        </w:tc>
        <w:tc>
          <w:tcPr>
            <w:tcW w:w="40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CD27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已确认或待处理的问题。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E736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1BCB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2D4E07B0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109E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accepted</w:t>
            </w:r>
          </w:p>
        </w:tc>
        <w:tc>
          <w:tcPr>
            <w:tcW w:w="40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BD37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业务确认暂不修复，已有责任人、缓解措施和期限。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383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657C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 w14:paraId="579B7EBD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048D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false_positive</w:t>
            </w:r>
          </w:p>
        </w:tc>
        <w:tc>
          <w:tcPr>
            <w:tcW w:w="40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77F7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经复核为误报。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9376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5C61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 w14:paraId="4D81915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A8BB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fixed</w:t>
            </w:r>
          </w:p>
        </w:tc>
        <w:tc>
          <w:tcPr>
            <w:tcW w:w="40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8A07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已修复并通过复测。</w:t>
            </w:r>
          </w:p>
        </w:tc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F569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54AF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 w14:paraId="09C47257">
      <w:pPr>
        <w:pStyle w:val="12"/>
        <w:spacing w:after="120"/>
        <w:rPr>
          <w:rFonts w:hint="eastAsia"/>
        </w:rPr>
      </w:pPr>
    </w:p>
    <w:p w14:paraId="79EB204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`accepted` 不等于误报，仍应保留在报告中并计入评分，仅用于 CI 高危门禁豁免。</w:t>
      </w:r>
    </w:p>
    <w:p w14:paraId="1EFB3E3B">
      <w:pPr>
        <w:pStyle w:val="12"/>
        <w:spacing w:after="120"/>
        <w:rPr>
          <w:rFonts w:hint="eastAsia"/>
        </w:rPr>
      </w:pPr>
    </w:p>
    <w:p w14:paraId="34ACDC25">
      <w:pPr>
        <w:pStyle w:val="3"/>
        <w:spacing w:before="160" w:after="80"/>
      </w:pPr>
      <w:r>
        <w:rPr>
          <w:rFonts w:ascii="微软雅黑" w:hAnsi="微软雅黑" w:eastAsia="微软雅黑"/>
        </w:rPr>
        <w:t>6.2 误报处理</w:t>
      </w:r>
    </w:p>
    <w:p w14:paraId="65862264">
      <w:pPr>
        <w:pStyle w:val="12"/>
        <w:spacing w:after="120"/>
        <w:rPr>
          <w:rFonts w:hint="eastAsia"/>
        </w:rPr>
      </w:pPr>
    </w:p>
    <w:p w14:paraId="39555EE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标记为误报必须说明：</w:t>
      </w:r>
    </w:p>
    <w:p w14:paraId="721E4725">
      <w:pPr>
        <w:pStyle w:val="12"/>
        <w:spacing w:after="120"/>
        <w:rPr>
          <w:rFonts w:hint="eastAsia"/>
        </w:rPr>
      </w:pPr>
    </w:p>
    <w:p w14:paraId="667ABF6B">
      <w:pPr>
        <w:pStyle w:val="11"/>
        <w:numPr>
          <w:ilvl w:val="0"/>
          <w:numId w:val="2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原始发现来源。</w:t>
      </w:r>
    </w:p>
    <w:p w14:paraId="1FFBF2D2">
      <w:pPr>
        <w:pStyle w:val="11"/>
        <w:numPr>
          <w:ilvl w:val="0"/>
          <w:numId w:val="2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误报证据。</w:t>
      </w:r>
    </w:p>
    <w:p w14:paraId="3F8CEF79">
      <w:pPr>
        <w:pStyle w:val="11"/>
        <w:numPr>
          <w:ilvl w:val="0"/>
          <w:numId w:val="2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复核人。</w:t>
      </w:r>
    </w:p>
    <w:p w14:paraId="637860B0">
      <w:pPr>
        <w:pStyle w:val="11"/>
        <w:numPr>
          <w:ilvl w:val="0"/>
          <w:numId w:val="2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复核时间。</w:t>
      </w:r>
    </w:p>
    <w:p w14:paraId="67244260">
      <w:pPr>
        <w:pStyle w:val="11"/>
        <w:numPr>
          <w:ilvl w:val="0"/>
          <w:numId w:val="20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是否需要保留后续监控。</w:t>
      </w:r>
    </w:p>
    <w:p w14:paraId="634CAE35">
      <w:pPr>
        <w:pStyle w:val="12"/>
        <w:spacing w:after="120"/>
        <w:rPr>
          <w:rFonts w:hint="eastAsia"/>
        </w:rPr>
      </w:pPr>
    </w:p>
    <w:p w14:paraId="18B03707">
      <w:pPr>
        <w:pStyle w:val="3"/>
        <w:spacing w:before="160" w:after="80"/>
      </w:pPr>
      <w:r>
        <w:rPr>
          <w:rFonts w:ascii="微软雅黑" w:hAnsi="微软雅黑" w:eastAsia="微软雅黑"/>
        </w:rPr>
        <w:t>6.3 风险接受</w:t>
      </w:r>
    </w:p>
    <w:p w14:paraId="65754CCD">
      <w:pPr>
        <w:pStyle w:val="12"/>
        <w:spacing w:after="120"/>
        <w:rPr>
          <w:rFonts w:hint="eastAsia"/>
        </w:rPr>
      </w:pPr>
    </w:p>
    <w:p w14:paraId="75EE86EB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风险接受必须说明：</w:t>
      </w:r>
    </w:p>
    <w:p w14:paraId="65ABC683">
      <w:pPr>
        <w:pStyle w:val="12"/>
        <w:spacing w:after="120"/>
        <w:rPr>
          <w:rFonts w:hint="eastAsia"/>
        </w:rPr>
      </w:pPr>
    </w:p>
    <w:p w14:paraId="54858F34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接受原因。</w:t>
      </w:r>
    </w:p>
    <w:p w14:paraId="424192E0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业务影响。</w:t>
      </w:r>
    </w:p>
    <w:p w14:paraId="1EF97D4C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补偿控制。</w:t>
      </w:r>
    </w:p>
    <w:p w14:paraId="6EAD5CC5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责任人。</w:t>
      </w:r>
    </w:p>
    <w:p w14:paraId="15520099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有效期限。</w:t>
      </w:r>
    </w:p>
    <w:p w14:paraId="337AA18B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复审日期。</w:t>
      </w:r>
    </w:p>
    <w:p w14:paraId="6346E2C9">
      <w:pPr>
        <w:pStyle w:val="11"/>
        <w:numPr>
          <w:ilvl w:val="0"/>
          <w:numId w:val="21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是否影响发布或对外交付。</w:t>
      </w:r>
    </w:p>
    <w:p w14:paraId="5AF78860">
      <w:pPr>
        <w:pStyle w:val="12"/>
        <w:spacing w:after="120"/>
        <w:rPr>
          <w:rFonts w:hint="eastAsia"/>
        </w:rPr>
      </w:pPr>
    </w:p>
    <w:p w14:paraId="4D1DCB8D">
      <w:pPr>
        <w:pStyle w:val="3"/>
        <w:spacing w:before="160" w:after="80"/>
      </w:pPr>
      <w:r>
        <w:rPr>
          <w:rFonts w:ascii="微软雅黑" w:hAnsi="微软雅黑" w:eastAsia="微软雅黑"/>
        </w:rPr>
        <w:t>6.4 基线管理</w:t>
      </w:r>
    </w:p>
    <w:p w14:paraId="11D3F394">
      <w:pPr>
        <w:pStyle w:val="12"/>
        <w:spacing w:after="120"/>
        <w:rPr>
          <w:rFonts w:hint="eastAsia"/>
        </w:rPr>
      </w:pPr>
    </w:p>
    <w:p w14:paraId="17106A28">
      <w:pPr>
        <w:pStyle w:val="11"/>
        <w:numPr>
          <w:ilvl w:val="0"/>
          <w:numId w:val="2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首次全量审计后可导出初始基线。</w:t>
      </w:r>
    </w:p>
    <w:p w14:paraId="6D256242">
      <w:pPr>
        <w:pStyle w:val="11"/>
        <w:numPr>
          <w:ilvl w:val="0"/>
          <w:numId w:val="2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基线中不应手工修改问题指纹。</w:t>
      </w:r>
    </w:p>
    <w:p w14:paraId="2476EC25">
      <w:pPr>
        <w:pStyle w:val="11"/>
        <w:numPr>
          <w:ilvl w:val="0"/>
          <w:numId w:val="2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只允许更新状态、原因、责任人和复审信息。</w:t>
      </w:r>
    </w:p>
    <w:p w14:paraId="1BCBD0D7">
      <w:pPr>
        <w:pStyle w:val="11"/>
        <w:numPr>
          <w:ilvl w:val="0"/>
          <w:numId w:val="2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已修复问题在下一次审计不再出现时，可从基线中清理。</w:t>
      </w:r>
    </w:p>
    <w:p w14:paraId="49302A30">
      <w:pPr>
        <w:pStyle w:val="11"/>
        <w:numPr>
          <w:ilvl w:val="0"/>
          <w:numId w:val="22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基线变化应随审计报告一并归档。</w:t>
      </w:r>
    </w:p>
    <w:p w14:paraId="4F213923">
      <w:pPr>
        <w:pStyle w:val="12"/>
        <w:spacing w:after="120"/>
        <w:rPr>
          <w:rFonts w:hint="eastAsia"/>
        </w:rPr>
      </w:pPr>
    </w:p>
    <w:p w14:paraId="6E2A61EA">
      <w:pPr>
        <w:pStyle w:val="2"/>
        <w:spacing w:before="160" w:after="80"/>
      </w:pPr>
      <w:r>
        <w:rPr>
          <w:rFonts w:ascii="微软雅黑" w:hAnsi="微软雅黑" w:eastAsia="微软雅黑"/>
        </w:rPr>
        <w:t>7. CI 门禁与发布控制</w:t>
      </w:r>
    </w:p>
    <w:p w14:paraId="0E164073">
      <w:pPr>
        <w:pStyle w:val="12"/>
        <w:spacing w:after="120"/>
        <w:rPr>
          <w:rFonts w:hint="eastAsia"/>
        </w:rPr>
      </w:pPr>
    </w:p>
    <w:p w14:paraId="3C313B15">
      <w:pPr>
        <w:pStyle w:val="3"/>
        <w:spacing w:before="160" w:after="80"/>
      </w:pPr>
      <w:r>
        <w:rPr>
          <w:rFonts w:ascii="微软雅黑" w:hAnsi="微软雅黑" w:eastAsia="微软雅黑"/>
        </w:rPr>
        <w:t>7.1 默认门禁</w:t>
      </w:r>
    </w:p>
    <w:p w14:paraId="7E83E215">
      <w:pPr>
        <w:pStyle w:val="12"/>
        <w:spacing w:after="120"/>
        <w:rPr>
          <w:rFonts w:hint="eastAsia"/>
        </w:rPr>
      </w:pPr>
    </w:p>
    <w:p w14:paraId="632AF5E4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建议 CI 门禁采用以下策略：</w:t>
      </w:r>
    </w:p>
    <w:p w14:paraId="18E0C29C">
      <w:pPr>
        <w:pStyle w:val="12"/>
        <w:spacing w:after="120"/>
        <w:rPr>
          <w:rFonts w:hint="eastAsia"/>
        </w:rPr>
      </w:pPr>
    </w:p>
    <w:p w14:paraId="72E08608">
      <w:pPr>
        <w:pStyle w:val="11"/>
        <w:numPr>
          <w:ilvl w:val="0"/>
          <w:numId w:val="2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存在 open 状态高风险问题时，阻断发布。</w:t>
      </w:r>
    </w:p>
    <w:p w14:paraId="790D9259">
      <w:pPr>
        <w:pStyle w:val="11"/>
        <w:numPr>
          <w:ilvl w:val="0"/>
          <w:numId w:val="2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总分低于发布阈值时，阻断发布。</w:t>
      </w:r>
    </w:p>
    <w:p w14:paraId="2370C204">
      <w:pPr>
        <w:pStyle w:val="11"/>
        <w:numPr>
          <w:ilvl w:val="0"/>
          <w:numId w:val="2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缺少构建、测试或关键扫描结果时，记录限制项，并由技术负责人确认是否允许继续。</w:t>
      </w:r>
    </w:p>
    <w:p w14:paraId="0E061E1C">
      <w:pPr>
        <w:pStyle w:val="11"/>
        <w:numPr>
          <w:ilvl w:val="0"/>
          <w:numId w:val="23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accepted 状态高风险问题不触发高危门禁，但必须在报告中展示。</w:t>
      </w:r>
    </w:p>
    <w:p w14:paraId="74FC8CDD">
      <w:pPr>
        <w:pStyle w:val="12"/>
        <w:spacing w:after="120"/>
        <w:rPr>
          <w:rFonts w:hint="eastAsia"/>
        </w:rPr>
      </w:pPr>
    </w:p>
    <w:p w14:paraId="518C8B83">
      <w:pPr>
        <w:pStyle w:val="3"/>
        <w:spacing w:before="160" w:after="80"/>
      </w:pPr>
      <w:r>
        <w:rPr>
          <w:rFonts w:ascii="微软雅黑" w:hAnsi="微软雅黑" w:eastAsia="微软雅黑"/>
        </w:rPr>
        <w:t>7.2 发布前要求</w:t>
      </w:r>
    </w:p>
    <w:p w14:paraId="0AA0B1C0">
      <w:pPr>
        <w:pStyle w:val="12"/>
        <w:spacing w:after="120"/>
        <w:rPr>
          <w:rFonts w:hint="eastAsia"/>
        </w:rPr>
      </w:pPr>
    </w:p>
    <w:p w14:paraId="1D21C60B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发布前应满足：</w:t>
      </w:r>
    </w:p>
    <w:p w14:paraId="77761D24">
      <w:pPr>
        <w:pStyle w:val="12"/>
        <w:spacing w:after="120"/>
        <w:rPr>
          <w:rFonts w:hint="eastAsia"/>
        </w:rPr>
      </w:pPr>
    </w:p>
    <w:p w14:paraId="75C9EACD">
      <w:pPr>
        <w:pStyle w:val="11"/>
        <w:numPr>
          <w:ilvl w:val="0"/>
          <w:numId w:val="2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P0 问题已修复或完成正式风险接受。</w:t>
      </w:r>
    </w:p>
    <w:p w14:paraId="48579B74">
      <w:pPr>
        <w:pStyle w:val="11"/>
        <w:numPr>
          <w:ilvl w:val="0"/>
          <w:numId w:val="2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P1 问题有明确整改计划和责任人。</w:t>
      </w:r>
    </w:p>
    <w:p w14:paraId="5002EB9A">
      <w:pPr>
        <w:pStyle w:val="11"/>
        <w:numPr>
          <w:ilvl w:val="0"/>
          <w:numId w:val="2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安全、正确性、可靠性和供应链高风险已复核。</w:t>
      </w:r>
    </w:p>
    <w:p w14:paraId="191386A0">
      <w:pPr>
        <w:pStyle w:val="11"/>
        <w:numPr>
          <w:ilvl w:val="0"/>
          <w:numId w:val="2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核心修复已有测试或复测记录。</w:t>
      </w:r>
    </w:p>
    <w:p w14:paraId="167D14E0">
      <w:pPr>
        <w:pStyle w:val="11"/>
        <w:numPr>
          <w:ilvl w:val="0"/>
          <w:numId w:val="24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报告限制项已被审计发起人和技术负责人知悉。</w:t>
      </w:r>
    </w:p>
    <w:p w14:paraId="0C9AD410">
      <w:pPr>
        <w:pStyle w:val="12"/>
        <w:spacing w:after="120"/>
        <w:rPr>
          <w:rFonts w:hint="eastAsia"/>
        </w:rPr>
      </w:pPr>
    </w:p>
    <w:p w14:paraId="15F308B7">
      <w:pPr>
        <w:pStyle w:val="2"/>
        <w:spacing w:before="160" w:after="80"/>
      </w:pPr>
      <w:r>
        <w:rPr>
          <w:rFonts w:ascii="微软雅黑" w:hAnsi="微软雅黑" w:eastAsia="微软雅黑"/>
        </w:rPr>
        <w:t>8. AI 审计提示词与执行规范</w:t>
      </w:r>
    </w:p>
    <w:p w14:paraId="7B74C2BD">
      <w:pPr>
        <w:pStyle w:val="12"/>
        <w:spacing w:after="120"/>
        <w:rPr>
          <w:rFonts w:hint="eastAsia"/>
        </w:rPr>
      </w:pPr>
    </w:p>
    <w:p w14:paraId="7043E3C5">
      <w:pPr>
        <w:pStyle w:val="3"/>
        <w:spacing w:before="160" w:after="80"/>
      </w:pPr>
      <w:r>
        <w:rPr>
          <w:rFonts w:ascii="微软雅黑" w:hAnsi="微软雅黑" w:eastAsia="微软雅黑"/>
        </w:rPr>
        <w:t>8.1 输入要求</w:t>
      </w:r>
    </w:p>
    <w:p w14:paraId="33DBAE91">
      <w:pPr>
        <w:pStyle w:val="12"/>
        <w:spacing w:after="120"/>
        <w:rPr>
          <w:rFonts w:hint="eastAsia"/>
        </w:rPr>
      </w:pPr>
    </w:p>
    <w:p w14:paraId="6BED1B3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向 AI 发起审计时，应尽量提供：</w:t>
      </w:r>
    </w:p>
    <w:p w14:paraId="3FAB834C">
      <w:pPr>
        <w:pStyle w:val="12"/>
        <w:spacing w:after="120"/>
        <w:rPr>
          <w:rFonts w:hint="eastAsia"/>
        </w:rPr>
      </w:pPr>
    </w:p>
    <w:p w14:paraId="1901DBF2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仓库路径。</w:t>
      </w:r>
    </w:p>
    <w:p w14:paraId="32EB9DF3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审计目标。</w:t>
      </w:r>
    </w:p>
    <w:p w14:paraId="59AC6528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变更范围。</w:t>
      </w:r>
    </w:p>
    <w:p w14:paraId="78BBD4A2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业务背景。</w:t>
      </w:r>
    </w:p>
    <w:p w14:paraId="0CD3B18E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重点关注维度。</w:t>
      </w:r>
    </w:p>
    <w:p w14:paraId="10AD39D0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排除目录。</w:t>
      </w:r>
    </w:p>
    <w:p w14:paraId="77BB678F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是否生成 HTML 报告。</w:t>
      </w:r>
    </w:p>
    <w:p w14:paraId="519C3CCF">
      <w:pPr>
        <w:pStyle w:val="11"/>
        <w:numPr>
          <w:ilvl w:val="0"/>
          <w:numId w:val="25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是否启用 SBOM、SCA、脱敏和门禁。</w:t>
      </w:r>
    </w:p>
    <w:p w14:paraId="130A9CAB">
      <w:pPr>
        <w:pStyle w:val="12"/>
        <w:spacing w:after="120"/>
        <w:rPr>
          <w:rFonts w:hint="eastAsia"/>
        </w:rPr>
      </w:pPr>
    </w:p>
    <w:p w14:paraId="5942949B">
      <w:pPr>
        <w:pStyle w:val="3"/>
        <w:spacing w:before="160" w:after="80"/>
      </w:pPr>
      <w:r>
        <w:rPr>
          <w:rFonts w:ascii="微软雅黑" w:hAnsi="微软雅黑" w:eastAsia="微软雅黑"/>
        </w:rPr>
        <w:t>8.2 AI 输出要求</w:t>
      </w:r>
    </w:p>
    <w:p w14:paraId="63616477">
      <w:pPr>
        <w:pStyle w:val="12"/>
        <w:spacing w:after="120"/>
        <w:rPr>
          <w:rFonts w:hint="eastAsia"/>
        </w:rPr>
      </w:pPr>
    </w:p>
    <w:p w14:paraId="367DCA6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AI 输出应遵守：</w:t>
      </w:r>
    </w:p>
    <w:p w14:paraId="2509FB41">
      <w:pPr>
        <w:pStyle w:val="12"/>
        <w:spacing w:after="120"/>
        <w:rPr>
          <w:rFonts w:hint="eastAsia"/>
        </w:rPr>
      </w:pPr>
    </w:p>
    <w:p w14:paraId="1AA6966D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先列高风险和中风险问题，再列低风险优化。</w:t>
      </w:r>
    </w:p>
    <w:p w14:paraId="69CBA386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每项问题必须有证据。</w:t>
      </w:r>
    </w:p>
    <w:p w14:paraId="04F43216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工具发现必须复核后再进入最终报告。</w:t>
      </w:r>
    </w:p>
    <w:p w14:paraId="6F36FE00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待复核项必须说明缺少什么证据。</w:t>
      </w:r>
    </w:p>
    <w:p w14:paraId="3C2FFF54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不确定时不得使用确定性措辞。</w:t>
      </w:r>
    </w:p>
    <w:p w14:paraId="6942E03E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不得把未覆盖范围当成已审计结论。</w:t>
      </w:r>
    </w:p>
    <w:p w14:paraId="4D7D38A9">
      <w:pPr>
        <w:pStyle w:val="11"/>
        <w:numPr>
          <w:ilvl w:val="0"/>
          <w:numId w:val="26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不得擅自修改被审计项目。</w:t>
      </w:r>
    </w:p>
    <w:p w14:paraId="6A978FBE">
      <w:pPr>
        <w:pStyle w:val="12"/>
        <w:spacing w:after="120"/>
        <w:rPr>
          <w:rFonts w:hint="eastAsia"/>
        </w:rPr>
      </w:pPr>
    </w:p>
    <w:p w14:paraId="4A1D4ACC">
      <w:pPr>
        <w:pStyle w:val="3"/>
        <w:spacing w:before="160" w:after="80"/>
      </w:pPr>
      <w:r>
        <w:rPr>
          <w:rFonts w:ascii="微软雅黑" w:hAnsi="微软雅黑" w:eastAsia="微软雅黑"/>
        </w:rPr>
        <w:t>8.3 问题描述模板</w:t>
      </w:r>
    </w:p>
    <w:p w14:paraId="3F9C6E4A">
      <w:pPr>
        <w:pStyle w:val="12"/>
        <w:spacing w:after="120"/>
        <w:rPr>
          <w:rFonts w:hint="eastAsia"/>
        </w:rPr>
      </w:pPr>
    </w:p>
    <w:p w14:paraId="121E547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每项问题建议按以下结构描述：</w:t>
      </w:r>
    </w:p>
    <w:p w14:paraId="35297095">
      <w:pPr>
        <w:pStyle w:val="12"/>
        <w:spacing w:after="120"/>
        <w:rPr>
          <w:rFonts w:hint="eastAsia"/>
        </w:rPr>
      </w:pPr>
      <w:bookmarkStart w:id="0" w:name="_GoBack"/>
      <w:bookmarkEnd w:id="0"/>
    </w:p>
    <w:p w14:paraId="3DE7450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```text</w:t>
      </w:r>
    </w:p>
    <w:p w14:paraId="70D1A9FC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标题：</w:t>
      </w:r>
    </w:p>
    <w:p w14:paraId="40617FA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严重等级：</w:t>
      </w:r>
    </w:p>
    <w:p w14:paraId="3D53DF68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审计维度：</w:t>
      </w:r>
    </w:p>
    <w:p w14:paraId="47C6D8E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优先级：</w:t>
      </w:r>
    </w:p>
    <w:p w14:paraId="6CEAD980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置信度：</w:t>
      </w:r>
    </w:p>
    <w:p w14:paraId="5417B6B3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位置：</w:t>
      </w:r>
    </w:p>
    <w:p w14:paraId="0ADF2915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证据：</w:t>
      </w:r>
    </w:p>
    <w:p w14:paraId="7A55C9FB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影响：</w:t>
      </w:r>
    </w:p>
    <w:p w14:paraId="3F0A200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建议：</w:t>
      </w:r>
    </w:p>
    <w:p w14:paraId="4986936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规则 ID：</w:t>
      </w:r>
    </w:p>
    <w:p w14:paraId="4073166B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来源：</w:t>
      </w:r>
    </w:p>
    <w:p w14:paraId="29D25FF9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指纹：</w:t>
      </w:r>
    </w:p>
    <w:p w14:paraId="37D3FAB2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状态：</w:t>
      </w:r>
    </w:p>
    <w:p w14:paraId="20DA9EB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影响组件：</w:t>
      </w:r>
    </w:p>
    <w:p w14:paraId="23ABAC6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修复工作量：</w:t>
      </w:r>
    </w:p>
    <w:p w14:paraId="5D6EA0F1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CWE/OWASP：</w:t>
      </w:r>
    </w:p>
    <w:p w14:paraId="559EABDE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```</w:t>
      </w:r>
    </w:p>
    <w:p w14:paraId="2DE1EFE7">
      <w:pPr>
        <w:pStyle w:val="12"/>
        <w:spacing w:after="120"/>
        <w:rPr>
          <w:rFonts w:hint="eastAsia"/>
        </w:rPr>
      </w:pPr>
    </w:p>
    <w:p w14:paraId="12EFBC36">
      <w:pPr>
        <w:pStyle w:val="2"/>
        <w:spacing w:before="160" w:after="80"/>
      </w:pPr>
      <w:r>
        <w:rPr>
          <w:rFonts w:ascii="微软雅黑" w:hAnsi="微软雅黑" w:eastAsia="微软雅黑"/>
        </w:rPr>
        <w:t>9. 审计档案管理</w:t>
      </w:r>
    </w:p>
    <w:p w14:paraId="3D3E47FC">
      <w:pPr>
        <w:pStyle w:val="12"/>
        <w:spacing w:after="120"/>
        <w:rPr>
          <w:rFonts w:hint="eastAsia"/>
        </w:rPr>
      </w:pPr>
    </w:p>
    <w:p w14:paraId="182A7F3A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审计档案应至少保存：</w:t>
      </w:r>
    </w:p>
    <w:p w14:paraId="0FCD6CA5">
      <w:pPr>
        <w:pStyle w:val="12"/>
        <w:spacing w:after="120"/>
        <w:rPr>
          <w:rFonts w:hint="eastAsia"/>
        </w:rPr>
      </w:pPr>
    </w:p>
    <w:p w14:paraId="1565A2D3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审计配置。</w:t>
      </w:r>
    </w:p>
    <w:p w14:paraId="0C78DE96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项目盘点结果。</w:t>
      </w:r>
    </w:p>
    <w:p w14:paraId="4D30A026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工具命令和输出。</w:t>
      </w:r>
    </w:p>
    <w:p w14:paraId="4A056AF9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结构化审计 JSON。</w:t>
      </w:r>
    </w:p>
    <w:p w14:paraId="16AE0051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HTML 报告。</w:t>
      </w:r>
    </w:p>
    <w:p w14:paraId="379FBF05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SBOM 和 SCA 结果。</w:t>
      </w:r>
    </w:p>
    <w:p w14:paraId="40A92BEC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基线文件。</w:t>
      </w:r>
    </w:p>
    <w:p w14:paraId="46CA050A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风险接受记录。</w:t>
      </w:r>
    </w:p>
    <w:p w14:paraId="74A8C060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复测记录。</w:t>
      </w:r>
    </w:p>
    <w:p w14:paraId="1637E5EC">
      <w:pPr>
        <w:pStyle w:val="11"/>
        <w:numPr>
          <w:ilvl w:val="0"/>
          <w:numId w:val="27"/>
        </w:numPr>
        <w:spacing w:after="120"/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限制项说明。</w:t>
      </w:r>
    </w:p>
    <w:p w14:paraId="36F9B555">
      <w:pPr>
        <w:pStyle w:val="12"/>
        <w:spacing w:after="120"/>
        <w:rPr>
          <w:rFonts w:hint="eastAsia"/>
        </w:rPr>
      </w:pPr>
    </w:p>
    <w:p w14:paraId="750003D4">
      <w:pPr>
        <w:pStyle w:val="11"/>
        <w:spacing w:after="1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微软雅黑" w:hAnsi="微软雅黑" w:eastAsia="微软雅黑" w:cs="Times New Roman"/>
          <w:sz w:val="24"/>
          <w:szCs w:val="24"/>
        </w:rPr>
        <w:t>对外交付报告应按需脱敏，移除本机路径、内部网络地址、用户名、敏感配置和不可公开证据，但应保留相对位置、规则 ID、证据摘要和整改建议。</w:t>
      </w:r>
    </w:p>
    <w:p w14:paraId="41D9062F">
      <w:pPr>
        <w:pStyle w:val="12"/>
        <w:spacing w:after="120"/>
        <w:rPr>
          <w:rFonts w:hint="eastAsia"/>
        </w:rPr>
      </w:pPr>
    </w:p>
    <w:p w14:paraId="1E3B3F1C">
      <w:pPr>
        <w:pStyle w:val="2"/>
        <w:spacing w:before="160" w:after="80"/>
      </w:pPr>
      <w:r>
        <w:rPr>
          <w:rFonts w:ascii="微软雅黑" w:hAnsi="微软雅黑" w:eastAsia="微软雅黑"/>
        </w:rPr>
        <w:t>10. 附：10 维度快速检查表</w:t>
      </w:r>
    </w:p>
    <w:p w14:paraId="0639C172">
      <w:pPr>
        <w:pStyle w:val="12"/>
        <w:spacing w:after="120"/>
        <w:rPr>
          <w:rFonts w:hint="eastAsia"/>
        </w:rPr>
      </w:pPr>
    </w:p>
    <w:tbl>
      <w:tblPr>
        <w:tblStyle w:val="15"/>
        <w:tblW w:w="9638" w:type="dxa"/>
        <w:tblInd w:w="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3855"/>
        <w:gridCol w:w="3856"/>
      </w:tblGrid>
      <w:tr w14:paraId="4BA4A89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2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AA6A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385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7A5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核心检查点</w:t>
            </w:r>
          </w:p>
        </w:tc>
        <w:tc>
          <w:tcPr>
            <w:tcW w:w="385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BCE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主要证据</w:t>
            </w:r>
          </w:p>
        </w:tc>
      </w:tr>
      <w:tr w14:paraId="49CCD87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118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架构合理性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5274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分层、依赖方向、模块边界、事务边界、缓存、分布式失败、配置设计。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B658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目录结构、依赖关系、接口、事务代码、配置、设计文档。</w:t>
            </w:r>
          </w:p>
        </w:tc>
      </w:tr>
      <w:tr w14:paraId="6FED0CCF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FFE1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功能正确性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64D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业务规则、状态转换、边界条件、默认值、fallback、数据一致性、异常分支。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256C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业务文档、核心逻辑、状态代码、测试、缺陷记录。</w:t>
            </w:r>
          </w:p>
        </w:tc>
      </w:tr>
      <w:tr w14:paraId="7DCE487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C666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编码规范性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7A75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命名、注释、复杂度、异常、资源释放、魔法值、重复代码、语言惯用法。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6666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代码片段、静态分析、格式配置、复杂度指标。</w:t>
            </w:r>
          </w:p>
        </w:tc>
      </w:tr>
      <w:tr w14:paraId="11B1B6E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DAFC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745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认证授权、注入、XSS、SSRF、路径穿越、反序列化、密钥、加密、审计日志。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B91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入口代码、权限代码、查询和命令执行点、扫描结果、配置。</w:t>
            </w:r>
          </w:p>
        </w:tc>
      </w:tr>
      <w:tr w14:paraId="168A685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B7ED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可靠性与健壮性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C4B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空值、超时、重试、幂等、并发、生命周期、失败恢复、资源上限。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871D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异常处理、超时配置、任务管理、连接池、关闭流程。</w:t>
            </w:r>
          </w:p>
        </w:tc>
      </w:tr>
      <w:tr w14:paraId="3BFAEA1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CF3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可维护性与可演进性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9C35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单一职责、可测试、依赖注入、抽象质量、配置管理、文档、技术债。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72A8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模块结构、接口、测试、配置、文档、变更历史。</w:t>
            </w:r>
          </w:p>
        </w:tc>
      </w:tr>
      <w:tr w14:paraId="52F28C1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856C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可观测性与运维性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D9CA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日志上下文、指标、追踪、错误码、告警、健康检查、审计日志。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8D0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日志代码、监控配置、错误码、健康检查、运维文档。</w:t>
            </w:r>
          </w:p>
        </w:tc>
      </w:tr>
      <w:tr w14:paraId="11524EB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4E43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性能与资源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5752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数据库访问、算法复杂度、内存、I/O、缓存、阻塞调用、连接池、大文件。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4A13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查询代码、循环逻辑、缓存代码、连接池配置、性能数据。</w:t>
            </w:r>
          </w:p>
        </w:tc>
      </w:tr>
      <w:tr w14:paraId="564056B1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AF88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测试质量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231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单元、集成、边界、异常、并发、回归、安全测试、CI 接入。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CCF1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测试目录、测试报告、覆盖率、CI 日志、复测记录。</w:t>
            </w:r>
          </w:p>
        </w:tc>
      </w:tr>
      <w:tr w14:paraId="344F2F20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E53F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依赖与供应链风险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79F4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漏洞、版本锁定、SBOM、许可证、构建插件、容器镜像、工具链、例外。</w:t>
            </w:r>
          </w:p>
        </w:tc>
        <w:tc>
          <w:tcPr>
            <w:tcW w:w="38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4E69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依赖清单、锁文件、SBOM、扫描结果、构建脚本、镜像信息。</w:t>
            </w:r>
          </w:p>
        </w:tc>
      </w:tr>
    </w:tbl>
    <w:p w14:paraId="156F37F2"/>
    <w:sectPr>
      <w:pgSz w:w="11906" w:h="16838"/>
      <w:pgMar w:top="1134" w:right="1134" w:bottom="1134" w:left="1134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2A396"/>
    <w:multiLevelType w:val="singleLevel"/>
    <w:tmpl w:val="A022A39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B3409D63"/>
    <w:multiLevelType w:val="singleLevel"/>
    <w:tmpl w:val="B3409D6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BB7DAED8"/>
    <w:multiLevelType w:val="singleLevel"/>
    <w:tmpl w:val="BB7DAED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D0631231"/>
    <w:multiLevelType w:val="singleLevel"/>
    <w:tmpl w:val="D063123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D2CE5826"/>
    <w:multiLevelType w:val="singleLevel"/>
    <w:tmpl w:val="D2CE582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E6E9E360"/>
    <w:multiLevelType w:val="singleLevel"/>
    <w:tmpl w:val="E6E9E36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EA8B66EE"/>
    <w:multiLevelType w:val="singleLevel"/>
    <w:tmpl w:val="EA8B66E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FE0E75AE"/>
    <w:multiLevelType w:val="singleLevel"/>
    <w:tmpl w:val="FE0E75A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064B6BE2"/>
    <w:multiLevelType w:val="singleLevel"/>
    <w:tmpl w:val="064B6BE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0B254851"/>
    <w:multiLevelType w:val="singleLevel"/>
    <w:tmpl w:val="0B25485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0FCA1AE2"/>
    <w:multiLevelType w:val="singleLevel"/>
    <w:tmpl w:val="0FCA1AE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>
    <w:nsid w:val="26DFAAF0"/>
    <w:multiLevelType w:val="singleLevel"/>
    <w:tmpl w:val="26DFAAF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>
    <w:nsid w:val="2C7FD86C"/>
    <w:multiLevelType w:val="singleLevel"/>
    <w:tmpl w:val="2C7FD86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3996E195"/>
    <w:multiLevelType w:val="singleLevel"/>
    <w:tmpl w:val="3996E19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4">
    <w:nsid w:val="3F98666E"/>
    <w:multiLevelType w:val="singleLevel"/>
    <w:tmpl w:val="3F98666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>
    <w:nsid w:val="463162D8"/>
    <w:multiLevelType w:val="singleLevel"/>
    <w:tmpl w:val="463162D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>
    <w:nsid w:val="4FAF16BC"/>
    <w:multiLevelType w:val="singleLevel"/>
    <w:tmpl w:val="4FAF16B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>
    <w:nsid w:val="52B4603B"/>
    <w:multiLevelType w:val="singleLevel"/>
    <w:tmpl w:val="52B4603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8">
    <w:nsid w:val="58216896"/>
    <w:multiLevelType w:val="singleLevel"/>
    <w:tmpl w:val="5821689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9">
    <w:nsid w:val="5A257E53"/>
    <w:multiLevelType w:val="singleLevel"/>
    <w:tmpl w:val="5A257E5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0">
    <w:nsid w:val="6CDCB4F3"/>
    <w:multiLevelType w:val="singleLevel"/>
    <w:tmpl w:val="6CDCB4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1">
    <w:nsid w:val="6D439361"/>
    <w:multiLevelType w:val="singleLevel"/>
    <w:tmpl w:val="6D43936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2">
    <w:nsid w:val="6DA50603"/>
    <w:multiLevelType w:val="singleLevel"/>
    <w:tmpl w:val="6DA5060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3">
    <w:nsid w:val="71B10A4F"/>
    <w:multiLevelType w:val="singleLevel"/>
    <w:tmpl w:val="71B10A4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4">
    <w:nsid w:val="73B1B43D"/>
    <w:multiLevelType w:val="singleLevel"/>
    <w:tmpl w:val="73B1B43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5">
    <w:nsid w:val="74B2CCB9"/>
    <w:multiLevelType w:val="singleLevel"/>
    <w:tmpl w:val="74B2CCB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>
    <w:nsid w:val="771DF769"/>
    <w:multiLevelType w:val="singleLevel"/>
    <w:tmpl w:val="771DF76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8"/>
  </w:num>
  <w:num w:numId="4">
    <w:abstractNumId w:val="7"/>
  </w:num>
  <w:num w:numId="5">
    <w:abstractNumId w:val="19"/>
  </w:num>
  <w:num w:numId="6">
    <w:abstractNumId w:val="1"/>
  </w:num>
  <w:num w:numId="7">
    <w:abstractNumId w:val="23"/>
  </w:num>
  <w:num w:numId="8">
    <w:abstractNumId w:val="26"/>
  </w:num>
  <w:num w:numId="9">
    <w:abstractNumId w:val="24"/>
  </w:num>
  <w:num w:numId="10">
    <w:abstractNumId w:val="10"/>
  </w:num>
  <w:num w:numId="11">
    <w:abstractNumId w:val="18"/>
  </w:num>
  <w:num w:numId="12">
    <w:abstractNumId w:val="21"/>
  </w:num>
  <w:num w:numId="13">
    <w:abstractNumId w:val="17"/>
  </w:num>
  <w:num w:numId="14">
    <w:abstractNumId w:val="25"/>
  </w:num>
  <w:num w:numId="15">
    <w:abstractNumId w:val="2"/>
  </w:num>
  <w:num w:numId="16">
    <w:abstractNumId w:val="0"/>
  </w:num>
  <w:num w:numId="17">
    <w:abstractNumId w:val="22"/>
  </w:num>
  <w:num w:numId="18">
    <w:abstractNumId w:val="9"/>
  </w:num>
  <w:num w:numId="19">
    <w:abstractNumId w:val="11"/>
  </w:num>
  <w:num w:numId="20">
    <w:abstractNumId w:val="20"/>
  </w:num>
  <w:num w:numId="21">
    <w:abstractNumId w:val="3"/>
  </w:num>
  <w:num w:numId="22">
    <w:abstractNumId w:val="6"/>
  </w:num>
  <w:num w:numId="23">
    <w:abstractNumId w:val="16"/>
  </w:num>
  <w:num w:numId="24">
    <w:abstractNumId w:val="14"/>
  </w:num>
  <w:num w:numId="25">
    <w:abstractNumId w:val="5"/>
  </w:num>
  <w:num w:numId="26">
    <w:abstractNumId w:val="4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A4DBA"/>
    <w:rsid w:val="1F5274F1"/>
    <w:rsid w:val="50205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Plain Text"/>
    <w:basedOn w:val="1"/>
    <w:uiPriority w:val="0"/>
    <w:rPr>
      <w:rFonts w:ascii="宋体" w:hAnsi="Courier New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11181</Words>
  <Characters>11818</Characters>
  <TotalTime>10</TotalTime>
  <ScaleCrop>false</ScaleCrop>
  <LinksUpToDate>false</LinksUpToDate>
  <CharactersWithSpaces>12033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2026-06-02T01:51:00Z</dcterms:created>
  <dc:creator>GMK</dc:creator>
  <cp:lastModifiedBy>SCT</cp:lastModifiedBy>
  <dcterms:modified xsi:type="dcterms:W3CDTF">2026-06-02T02:27:39Z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eyJoZGlkIjoiOTBhM2U5OTE0OWNkZmY5ZGFiY2Y5YjliYWI1ZGM5YmUiLCJ1c2VySWQiOiIyMzMxNDI4NDkifQ==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AA6EE808763A48838B93643D844594F2_13</vt:lpwstr>
  </property>
</Properties>
</file>