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CS251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bxiqwofypn2q" w:id="0"/>
      <w:bookmarkEnd w:id="0"/>
      <w:r w:rsidDel="00000000" w:rsidR="00000000" w:rsidRPr="00000000">
        <w:rPr>
          <w:rtl w:val="0"/>
        </w:rPr>
        <w:t xml:space="preserve">Homework 3: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Bob’s debt position: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1000 USDC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0.2 ETH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20 AXS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Collateral factor: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0.9 for USDS,  0.8 for ETH,  0.7 for AXS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Exchange rate: 1500 USDC/ETH, 100 AXS/ETH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ETH debt value = 0.2 x 1500 = 300 USDC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AXS debt value = 20 x 1500/100 = 300 USDC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Borrow capacity = 1000 x 0.9 = 900 USDC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health = 900/(300+300) = 1.5 &gt; 1 (healthy)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Bob’s collateral does not need to be liquidated.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Exchange rates for AXS changes to 48 AXS/ETH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AXS debt = 20 / 48 x 1500 = 625 USDC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health = 900 / (300+ 625) = 900/925 = 0.973 &lt; 1 (unhealthy)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Bob’s collateral needs to be liquidated.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Liquidator clear Bob’s ETH debt at rate of 1520 USDC/ETH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Remaining collateral after liquidation: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1000 - 0.2 x 1520 = 1000 - 304 = 696 USDC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New health = 696 x 0.9 / 625 = 1.002 &gt; 1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So, Bob will lose 304 USDC to become healthy again.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New debt position: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696 USDC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0 ETH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20 AXS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ab/>
        <w:t xml:space="preserve">S = </w:t>
      </w:r>
      <w:r w:rsidDel="00000000" w:rsidR="00000000" w:rsidRPr="00000000">
        <w:rPr/>
        <w:drawing>
          <wp:inline distB="114300" distT="114300" distL="114300" distR="114300">
            <wp:extent cx="939800" cy="431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/>
        <w:drawing>
          <wp:inline distB="114300" distT="114300" distL="114300" distR="114300">
            <wp:extent cx="825500" cy="292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&gt; 0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→ The slippage s is always positive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→ The exchange rate in Uniswap is always worse than on the open market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634038" cy="7534041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7534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m:oMath/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2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