
<file path=word/document.xml><?xml version="1.0" encoding="utf-8"?>
<w:document xmlns:w="x">
  <w:body>
    <w:p>
      <w:pPr>
        <w:pStyle w:val="Heading 1"/>
      </w:pPr>
      <w:r>
        <w:t>论文全文　第 7 版</w:t>
      </w:r>
    </w:p>
    <w:p>
      <w:r>
        <w:t>摘要：第四章：塔径塔高初算，选了规整填料</w:t>
      </w:r>
    </w:p>
    <w:p>
      <w:r>
        <w:t>改动来源：04-第四章-设备选型.md</w:t>
      </w:r>
    </w:p>
    <w:p>
      <w:pPr>
        <w:pStyle w:val="Heading 2"/>
      </w:pPr>
      <w:r>
        <w:t>一、设计依据</w:t>
      </w:r>
    </w:p>
    <w:p>
      <w:r>
        <w:t>本设计以乙苯脱氢制苯乙烯为主线，年处理量 12 万吨。</w:t>
      </w:r>
    </w:p>
    <w:p>
      <w:r>
        <w:t>分离工段采用两塔流程：乙苯/苯乙烯分离塔与苯乙烯精制塔。</w:t>
      </w:r>
    </w:p>
    <w:p>
      <w:pPr>
        <w:numPr>
          <w:ilvl w:val="0"/>
        </w:numPr>
      </w:pPr>
      <w:r>
        <w:t>第 7 轮的改动落在：第四章：塔径塔高初算，选了规整填料</w:t>
      </w:r>
    </w:p>
    <w:p>
      <w:pPr>
        <w:pStyle w:val="Heading 2"/>
      </w:pPr>
      <w:r>
        <w:t>二、主要结果</w:t>
      </w:r>
    </w:p>
    <w:p>
      <w:r>
        <w:t>本轮结果：乙苯转化率 0.56，苯乙烯选择性 0.96。</w:t>
      </w:r>
    </w:p>
  </w:body>
</w:document>
</file>