
<file path=word/document.xml><?xml version="1.0" encoding="utf-8"?>
<w:document xmlns:w="x">
  <w:body>
    <w:p>
      <w:pPr>
        <w:pStyle w:val="Heading 1"/>
      </w:pPr>
      <w:r>
        <w:t>流程模拟报告　第 1 版</w:t>
      </w:r>
    </w:p>
    <w:p>
      <w:r>
        <w:t>摘要：建立两塔流程，RADFRAC 初设 30 块板</w:t>
      </w:r>
    </w:p>
    <w:p>
      <w:r>
        <w:t>改动来源：流程说明.md</w:t>
      </w:r>
    </w:p>
    <w:p>
      <w:pPr>
        <w:pStyle w:val="Heading 2"/>
      </w:pPr>
      <w:r>
        <w:t>一、设计依据</w:t>
      </w:r>
    </w:p>
    <w:p>
      <w:r>
        <w:t>本设计以乙苯脱氢制苯乙烯为主线，年处理量 12 万吨。</w:t>
      </w:r>
    </w:p>
    <w:p>
      <w:r>
        <w:t>分离工段采用两塔流程：乙苯/苯乙烯分离塔与苯乙烯精制塔。</w:t>
      </w:r>
    </w:p>
    <w:p>
      <w:pPr>
        <w:numPr>
          <w:ilvl w:val="0"/>
        </w:numPr>
      </w:pPr>
      <w:r>
        <w:t>第 1 轮的改动落在：建立两塔流程，RADFRAC 初设 30 块板</w:t>
      </w:r>
    </w:p>
    <w:p>
      <w:pPr>
        <w:pStyle w:val="Heading 2"/>
      </w:pPr>
      <w:r>
        <w:t>二、主要结果</w:t>
      </w:r>
    </w:p>
    <w:p>
      <w:r>
        <w:t>本轮结果：乙苯转化率 0.62，苯乙烯选择性 0.90。</w:t>
      </w:r>
    </w:p>
  </w:body>
</w:document>
</file>