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Content>
        <w:p w14:paraId="6E22BD91" w14:textId="6EB06BE1" w:rsidR="008C43C3" w:rsidRDefault="00F327F7" w:rsidP="008C43C3">
          <w:pPr>
            <w:pStyle w:val="Title"/>
          </w:pPr>
          <w:r>
            <w:t>Characteristics regression</w:t>
          </w:r>
        </w:p>
      </w:sdtContent>
    </w:sdt>
    <w:p w14:paraId="3668F7FF" w14:textId="69A97913" w:rsidR="00AF751F" w:rsidRDefault="00AF751F" w:rsidP="00415035"/>
    <w:p w14:paraId="2596ACB0" w14:textId="77777777" w:rsidR="001F723F" w:rsidRDefault="001F723F" w:rsidP="00415035"/>
    <w:p w14:paraId="0E80B3A3" w14:textId="77777777" w:rsidR="00AF751F" w:rsidRDefault="00AF751F" w:rsidP="00415035"/>
    <w:p w14:paraId="6F43FB36" w14:textId="7E4ACA7E" w:rsidR="00AF751F" w:rsidRDefault="00AF751F" w:rsidP="00415035"/>
    <w:p w14:paraId="16474481" w14:textId="206BAD29" w:rsidR="00221AB7" w:rsidRDefault="00221AB7" w:rsidP="00415035"/>
    <w:p w14:paraId="5DDED3D6" w14:textId="48719FB2" w:rsidR="001F723F" w:rsidRDefault="001F723F" w:rsidP="00415035"/>
    <w:p w14:paraId="4A08392B" w14:textId="388607BB" w:rsidR="001F723F" w:rsidRDefault="001F723F" w:rsidP="00415035"/>
    <w:p w14:paraId="4A53D193" w14:textId="77777777" w:rsidR="001F723F" w:rsidRDefault="001F723F" w:rsidP="00415035"/>
    <w:p w14:paraId="0E712324" w14:textId="255DE4B0" w:rsidR="00221AB7" w:rsidRDefault="00221AB7" w:rsidP="00415035"/>
    <w:p w14:paraId="1E1AE7CA" w14:textId="093AFE89" w:rsidR="00221AB7" w:rsidRDefault="00221AB7" w:rsidP="00415035"/>
    <w:p w14:paraId="3743928E" w14:textId="365A21AF" w:rsidR="00221AB7" w:rsidRDefault="00221AB7" w:rsidP="00415035"/>
    <w:p w14:paraId="3ACB1715" w14:textId="1C4158AC" w:rsidR="00221AB7" w:rsidRDefault="00221AB7" w:rsidP="00415035"/>
    <w:p w14:paraId="11F3825F" w14:textId="45DD3FB7" w:rsidR="00221AB7" w:rsidRDefault="00221AB7" w:rsidP="00415035"/>
    <w:p w14:paraId="53E23B14" w14:textId="290141D0" w:rsidR="00221AB7" w:rsidRDefault="00221AB7" w:rsidP="00415035"/>
    <w:p w14:paraId="30469058" w14:textId="1E1C5A42" w:rsidR="00221AB7" w:rsidRDefault="00221AB7" w:rsidP="00415035"/>
    <w:p w14:paraId="40BF6B18" w14:textId="0A7C5EC0" w:rsidR="00221AB7" w:rsidRDefault="00221AB7" w:rsidP="00415035"/>
    <w:p w14:paraId="604B95DC" w14:textId="4EC0F5E8" w:rsidR="00221AB7" w:rsidRDefault="00221AB7" w:rsidP="00415035"/>
    <w:p w14:paraId="5BA6AF14" w14:textId="24977E64" w:rsidR="00221AB7" w:rsidRDefault="00221AB7" w:rsidP="00415035"/>
    <w:p w14:paraId="62D879EC" w14:textId="25CA4A66" w:rsidR="00221AB7" w:rsidRDefault="00221AB7" w:rsidP="00415035"/>
    <w:p w14:paraId="5C94E19A" w14:textId="569FB3C6" w:rsidR="00221AB7" w:rsidRDefault="00221AB7" w:rsidP="00415035"/>
    <w:p w14:paraId="47C0A32C" w14:textId="77777777" w:rsidR="00221AB7" w:rsidRDefault="00221AB7" w:rsidP="00415035"/>
    <w:p w14:paraId="38A1DA27" w14:textId="77777777" w:rsidR="00470EE7" w:rsidRDefault="00470EE7" w:rsidP="00415035"/>
    <w:p w14:paraId="520D951D" w14:textId="77777777" w:rsidR="00470EE7" w:rsidRDefault="00470EE7" w:rsidP="00415035"/>
    <w:p w14:paraId="042443AE" w14:textId="6E1E5CBD" w:rsidR="00470EE7" w:rsidRDefault="00415035" w:rsidP="00415035">
      <w:r>
        <w:t xml:space="preserve">Jason Hall, </w:t>
      </w:r>
      <w:proofErr w:type="gramStart"/>
      <w:r>
        <w:t>B.Com</w:t>
      </w:r>
      <w:proofErr w:type="gramEnd"/>
      <w:r>
        <w:t xml:space="preserve"> (Hons) CFA PhD</w:t>
      </w:r>
      <w:r>
        <w:br/>
      </w:r>
      <w:r w:rsidR="00AD1DF4">
        <w:t>uqjhall</w:t>
      </w:r>
      <w:r>
        <w:t>@</w:t>
      </w:r>
      <w:r w:rsidR="00AD1DF4">
        <w:t>umich.edu</w:t>
      </w:r>
      <w:r>
        <w:br/>
        <w:t>USA +1 734 926 6989</w:t>
      </w:r>
      <w:r>
        <w:br/>
        <w:t>Australia +61 419 120 348</w:t>
      </w:r>
    </w:p>
    <w:bookmarkStart w:id="0" w:name="_Toc4169848" w:displacedByCustomXml="next"/>
    <w:sdt>
      <w:sdtPr>
        <w:rPr>
          <w:rFonts w:eastAsiaTheme="minorEastAsia" w:cstheme="minorBidi"/>
          <w:bCs/>
          <w:color w:val="auto"/>
          <w:sz w:val="21"/>
          <w:szCs w:val="21"/>
        </w:rPr>
        <w:id w:val="817687958"/>
        <w:docPartObj>
          <w:docPartGallery w:val="Table of Contents"/>
          <w:docPartUnique/>
        </w:docPartObj>
      </w:sdtPr>
      <w:sdtEndPr>
        <w:rPr>
          <w:noProof/>
          <w:sz w:val="20"/>
          <w:szCs w:val="20"/>
        </w:rPr>
      </w:sdtEndPr>
      <w:sdtContent>
        <w:p w14:paraId="10A8543B" w14:textId="2FD4F8ED" w:rsidR="00BF6923" w:rsidRDefault="00BF6923">
          <w:pPr>
            <w:pStyle w:val="TOCHeading"/>
          </w:pPr>
          <w:r>
            <w:t>Contents</w:t>
          </w:r>
        </w:p>
        <w:p w14:paraId="0CC60F19" w14:textId="433382DE" w:rsidR="001F723F" w:rsidRDefault="008D5C97">
          <w:pPr>
            <w:pStyle w:val="TOC1"/>
            <w:tabs>
              <w:tab w:val="right" w:leader="dot" w:pos="9350"/>
            </w:tabs>
            <w:rPr>
              <w:rFonts w:asciiTheme="minorHAnsi" w:hAnsiTheme="minorHAnsi"/>
              <w:bCs w:val="0"/>
              <w:caps w:val="0"/>
              <w:noProof/>
              <w:sz w:val="22"/>
              <w:szCs w:val="22"/>
            </w:rPr>
          </w:pPr>
          <w:r>
            <w:rPr>
              <w:caps w:val="0"/>
            </w:rPr>
            <w:fldChar w:fldCharType="begin"/>
          </w:r>
          <w:r>
            <w:rPr>
              <w:caps w:val="0"/>
            </w:rPr>
            <w:instrText xml:space="preserve"> TOC \o "1-3" \u </w:instrText>
          </w:r>
          <w:r>
            <w:rPr>
              <w:caps w:val="0"/>
            </w:rPr>
            <w:fldChar w:fldCharType="separate"/>
          </w:r>
          <w:r w:rsidR="001F723F">
            <w:rPr>
              <w:noProof/>
            </w:rPr>
            <w:t>Introduction</w:t>
          </w:r>
          <w:r w:rsidR="001F723F">
            <w:rPr>
              <w:noProof/>
            </w:rPr>
            <w:tab/>
          </w:r>
          <w:r w:rsidR="001F723F">
            <w:rPr>
              <w:noProof/>
            </w:rPr>
            <w:fldChar w:fldCharType="begin"/>
          </w:r>
          <w:r w:rsidR="001F723F">
            <w:rPr>
              <w:noProof/>
            </w:rPr>
            <w:instrText xml:space="preserve"> PAGEREF _Toc125893671 \h </w:instrText>
          </w:r>
          <w:r w:rsidR="001F723F">
            <w:rPr>
              <w:noProof/>
            </w:rPr>
          </w:r>
          <w:r w:rsidR="001F723F">
            <w:rPr>
              <w:noProof/>
            </w:rPr>
            <w:fldChar w:fldCharType="separate"/>
          </w:r>
          <w:r w:rsidR="001F723F">
            <w:rPr>
              <w:noProof/>
            </w:rPr>
            <w:t>1</w:t>
          </w:r>
          <w:r w:rsidR="001F723F">
            <w:rPr>
              <w:noProof/>
            </w:rPr>
            <w:fldChar w:fldCharType="end"/>
          </w:r>
        </w:p>
        <w:p w14:paraId="253DF765" w14:textId="765E95E2" w:rsidR="001F723F" w:rsidRDefault="001F723F">
          <w:pPr>
            <w:pStyle w:val="TOC1"/>
            <w:tabs>
              <w:tab w:val="right" w:leader="dot" w:pos="9350"/>
            </w:tabs>
            <w:rPr>
              <w:rFonts w:asciiTheme="minorHAnsi" w:hAnsiTheme="minorHAnsi"/>
              <w:bCs w:val="0"/>
              <w:caps w:val="0"/>
              <w:noProof/>
              <w:sz w:val="22"/>
              <w:szCs w:val="22"/>
            </w:rPr>
          </w:pPr>
          <w:r>
            <w:rPr>
              <w:noProof/>
            </w:rPr>
            <w:t>Method and scope</w:t>
          </w:r>
          <w:r>
            <w:rPr>
              <w:noProof/>
            </w:rPr>
            <w:tab/>
          </w:r>
          <w:r>
            <w:rPr>
              <w:noProof/>
            </w:rPr>
            <w:fldChar w:fldCharType="begin"/>
          </w:r>
          <w:r>
            <w:rPr>
              <w:noProof/>
            </w:rPr>
            <w:instrText xml:space="preserve"> PAGEREF _Toc125893672 \h </w:instrText>
          </w:r>
          <w:r>
            <w:rPr>
              <w:noProof/>
            </w:rPr>
          </w:r>
          <w:r>
            <w:rPr>
              <w:noProof/>
            </w:rPr>
            <w:fldChar w:fldCharType="separate"/>
          </w:r>
          <w:r>
            <w:rPr>
              <w:noProof/>
            </w:rPr>
            <w:t>1</w:t>
          </w:r>
          <w:r>
            <w:rPr>
              <w:noProof/>
            </w:rPr>
            <w:fldChar w:fldCharType="end"/>
          </w:r>
        </w:p>
        <w:p w14:paraId="554891D7" w14:textId="3F2B6771" w:rsidR="001F723F" w:rsidRDefault="001F723F">
          <w:pPr>
            <w:pStyle w:val="TOC1"/>
            <w:tabs>
              <w:tab w:val="right" w:leader="dot" w:pos="9350"/>
            </w:tabs>
            <w:rPr>
              <w:rFonts w:asciiTheme="minorHAnsi" w:hAnsiTheme="minorHAnsi"/>
              <w:bCs w:val="0"/>
              <w:caps w:val="0"/>
              <w:noProof/>
              <w:sz w:val="22"/>
              <w:szCs w:val="22"/>
            </w:rPr>
          </w:pPr>
          <w:r>
            <w:rPr>
              <w:noProof/>
            </w:rPr>
            <w:t>Data</w:t>
          </w:r>
          <w:r>
            <w:rPr>
              <w:noProof/>
            </w:rPr>
            <w:tab/>
          </w:r>
          <w:r>
            <w:rPr>
              <w:noProof/>
            </w:rPr>
            <w:fldChar w:fldCharType="begin"/>
          </w:r>
          <w:r>
            <w:rPr>
              <w:noProof/>
            </w:rPr>
            <w:instrText xml:space="preserve"> PAGEREF _Toc125893673 \h </w:instrText>
          </w:r>
          <w:r>
            <w:rPr>
              <w:noProof/>
            </w:rPr>
          </w:r>
          <w:r>
            <w:rPr>
              <w:noProof/>
            </w:rPr>
            <w:fldChar w:fldCharType="separate"/>
          </w:r>
          <w:r>
            <w:rPr>
              <w:noProof/>
            </w:rPr>
            <w:t>1</w:t>
          </w:r>
          <w:r>
            <w:rPr>
              <w:noProof/>
            </w:rPr>
            <w:fldChar w:fldCharType="end"/>
          </w:r>
        </w:p>
        <w:p w14:paraId="5C0FCF21" w14:textId="1EFD5B79" w:rsidR="001F723F" w:rsidRDefault="001F723F">
          <w:pPr>
            <w:pStyle w:val="TOC1"/>
            <w:tabs>
              <w:tab w:val="right" w:leader="dot" w:pos="9350"/>
            </w:tabs>
            <w:rPr>
              <w:rFonts w:asciiTheme="minorHAnsi" w:hAnsiTheme="minorHAnsi"/>
              <w:bCs w:val="0"/>
              <w:caps w:val="0"/>
              <w:noProof/>
              <w:sz w:val="22"/>
              <w:szCs w:val="22"/>
            </w:rPr>
          </w:pPr>
          <w:r>
            <w:rPr>
              <w:noProof/>
            </w:rPr>
            <w:t>Results</w:t>
          </w:r>
          <w:r>
            <w:rPr>
              <w:noProof/>
            </w:rPr>
            <w:tab/>
          </w:r>
          <w:r>
            <w:rPr>
              <w:noProof/>
            </w:rPr>
            <w:fldChar w:fldCharType="begin"/>
          </w:r>
          <w:r>
            <w:rPr>
              <w:noProof/>
            </w:rPr>
            <w:instrText xml:space="preserve"> PAGEREF _Toc125893674 \h </w:instrText>
          </w:r>
          <w:r>
            <w:rPr>
              <w:noProof/>
            </w:rPr>
          </w:r>
          <w:r>
            <w:rPr>
              <w:noProof/>
            </w:rPr>
            <w:fldChar w:fldCharType="separate"/>
          </w:r>
          <w:r>
            <w:rPr>
              <w:noProof/>
            </w:rPr>
            <w:t>3</w:t>
          </w:r>
          <w:r>
            <w:rPr>
              <w:noProof/>
            </w:rPr>
            <w:fldChar w:fldCharType="end"/>
          </w:r>
        </w:p>
        <w:p w14:paraId="6589FFA6" w14:textId="71518D09" w:rsidR="001F723F" w:rsidRDefault="001F723F">
          <w:pPr>
            <w:pStyle w:val="TOC2"/>
            <w:tabs>
              <w:tab w:val="right" w:leader="dot" w:pos="9350"/>
            </w:tabs>
            <w:rPr>
              <w:rFonts w:asciiTheme="minorHAnsi" w:hAnsiTheme="minorHAnsi"/>
              <w:bCs w:val="0"/>
              <w:noProof/>
              <w:sz w:val="22"/>
              <w:szCs w:val="22"/>
            </w:rPr>
          </w:pPr>
          <w:r>
            <w:rPr>
              <w:noProof/>
            </w:rPr>
            <w:t>Small companies earn higher returns than large companies</w:t>
          </w:r>
          <w:r>
            <w:rPr>
              <w:noProof/>
            </w:rPr>
            <w:tab/>
          </w:r>
          <w:r>
            <w:rPr>
              <w:noProof/>
            </w:rPr>
            <w:fldChar w:fldCharType="begin"/>
          </w:r>
          <w:r>
            <w:rPr>
              <w:noProof/>
            </w:rPr>
            <w:instrText xml:space="preserve"> PAGEREF _Toc125893675 \h </w:instrText>
          </w:r>
          <w:r>
            <w:rPr>
              <w:noProof/>
            </w:rPr>
          </w:r>
          <w:r>
            <w:rPr>
              <w:noProof/>
            </w:rPr>
            <w:fldChar w:fldCharType="separate"/>
          </w:r>
          <w:r>
            <w:rPr>
              <w:noProof/>
            </w:rPr>
            <w:t>3</w:t>
          </w:r>
          <w:r>
            <w:rPr>
              <w:noProof/>
            </w:rPr>
            <w:fldChar w:fldCharType="end"/>
          </w:r>
        </w:p>
        <w:p w14:paraId="7A217B43" w14:textId="020C9745" w:rsidR="001F723F" w:rsidRDefault="001F723F">
          <w:pPr>
            <w:pStyle w:val="TOC2"/>
            <w:tabs>
              <w:tab w:val="right" w:leader="dot" w:pos="9350"/>
            </w:tabs>
            <w:rPr>
              <w:rFonts w:asciiTheme="minorHAnsi" w:hAnsiTheme="minorHAnsi"/>
              <w:bCs w:val="0"/>
              <w:noProof/>
              <w:sz w:val="22"/>
              <w:szCs w:val="22"/>
            </w:rPr>
          </w:pPr>
          <w:r>
            <w:rPr>
              <w:noProof/>
            </w:rPr>
            <w:t>Constrained variables and influential observations</w:t>
          </w:r>
          <w:r>
            <w:rPr>
              <w:noProof/>
            </w:rPr>
            <w:tab/>
          </w:r>
          <w:r>
            <w:rPr>
              <w:noProof/>
            </w:rPr>
            <w:fldChar w:fldCharType="begin"/>
          </w:r>
          <w:r>
            <w:rPr>
              <w:noProof/>
            </w:rPr>
            <w:instrText xml:space="preserve"> PAGEREF _Toc125893676 \h </w:instrText>
          </w:r>
          <w:r>
            <w:rPr>
              <w:noProof/>
            </w:rPr>
          </w:r>
          <w:r>
            <w:rPr>
              <w:noProof/>
            </w:rPr>
            <w:fldChar w:fldCharType="separate"/>
          </w:r>
          <w:r>
            <w:rPr>
              <w:noProof/>
            </w:rPr>
            <w:t>4</w:t>
          </w:r>
          <w:r>
            <w:rPr>
              <w:noProof/>
            </w:rPr>
            <w:fldChar w:fldCharType="end"/>
          </w:r>
        </w:p>
        <w:p w14:paraId="7182B21F" w14:textId="0FB881B3" w:rsidR="001F723F" w:rsidRDefault="001F723F">
          <w:pPr>
            <w:pStyle w:val="TOC2"/>
            <w:tabs>
              <w:tab w:val="right" w:leader="dot" w:pos="9350"/>
            </w:tabs>
            <w:rPr>
              <w:rFonts w:asciiTheme="minorHAnsi" w:hAnsiTheme="minorHAnsi"/>
              <w:bCs w:val="0"/>
              <w:noProof/>
              <w:sz w:val="22"/>
              <w:szCs w:val="22"/>
            </w:rPr>
          </w:pPr>
          <w:r>
            <w:rPr>
              <w:noProof/>
            </w:rPr>
            <w:t>Statistical significance</w:t>
          </w:r>
          <w:r>
            <w:rPr>
              <w:noProof/>
            </w:rPr>
            <w:tab/>
          </w:r>
          <w:r>
            <w:rPr>
              <w:noProof/>
            </w:rPr>
            <w:fldChar w:fldCharType="begin"/>
          </w:r>
          <w:r>
            <w:rPr>
              <w:noProof/>
            </w:rPr>
            <w:instrText xml:space="preserve"> PAGEREF _Toc125893677 \h </w:instrText>
          </w:r>
          <w:r>
            <w:rPr>
              <w:noProof/>
            </w:rPr>
          </w:r>
          <w:r>
            <w:rPr>
              <w:noProof/>
            </w:rPr>
            <w:fldChar w:fldCharType="separate"/>
          </w:r>
          <w:r>
            <w:rPr>
              <w:noProof/>
            </w:rPr>
            <w:t>5</w:t>
          </w:r>
          <w:r>
            <w:rPr>
              <w:noProof/>
            </w:rPr>
            <w:fldChar w:fldCharType="end"/>
          </w:r>
        </w:p>
        <w:p w14:paraId="3DF847F9" w14:textId="5A0167CA" w:rsidR="001F723F" w:rsidRDefault="001F723F">
          <w:pPr>
            <w:pStyle w:val="TOC1"/>
            <w:tabs>
              <w:tab w:val="right" w:leader="dot" w:pos="9350"/>
            </w:tabs>
            <w:rPr>
              <w:rFonts w:asciiTheme="minorHAnsi" w:hAnsiTheme="minorHAnsi"/>
              <w:bCs w:val="0"/>
              <w:caps w:val="0"/>
              <w:noProof/>
              <w:sz w:val="22"/>
              <w:szCs w:val="22"/>
            </w:rPr>
          </w:pPr>
          <w:r>
            <w:rPr>
              <w:noProof/>
            </w:rPr>
            <w:t>Stock characteristics worth of consideration</w:t>
          </w:r>
          <w:r>
            <w:rPr>
              <w:noProof/>
            </w:rPr>
            <w:tab/>
          </w:r>
          <w:r>
            <w:rPr>
              <w:noProof/>
            </w:rPr>
            <w:fldChar w:fldCharType="begin"/>
          </w:r>
          <w:r>
            <w:rPr>
              <w:noProof/>
            </w:rPr>
            <w:instrText xml:space="preserve"> PAGEREF _Toc125893678 \h </w:instrText>
          </w:r>
          <w:r>
            <w:rPr>
              <w:noProof/>
            </w:rPr>
          </w:r>
          <w:r>
            <w:rPr>
              <w:noProof/>
            </w:rPr>
            <w:fldChar w:fldCharType="separate"/>
          </w:r>
          <w:r>
            <w:rPr>
              <w:noProof/>
            </w:rPr>
            <w:t>6</w:t>
          </w:r>
          <w:r>
            <w:rPr>
              <w:noProof/>
            </w:rPr>
            <w:fldChar w:fldCharType="end"/>
          </w:r>
        </w:p>
        <w:p w14:paraId="78EDE6E8" w14:textId="2E58B7B7" w:rsidR="001F723F" w:rsidRDefault="001F723F">
          <w:pPr>
            <w:pStyle w:val="TOC1"/>
            <w:tabs>
              <w:tab w:val="right" w:leader="dot" w:pos="9350"/>
            </w:tabs>
            <w:rPr>
              <w:rFonts w:asciiTheme="minorHAnsi" w:hAnsiTheme="minorHAnsi"/>
              <w:bCs w:val="0"/>
              <w:caps w:val="0"/>
              <w:noProof/>
              <w:sz w:val="22"/>
              <w:szCs w:val="22"/>
            </w:rPr>
          </w:pPr>
          <w:r>
            <w:rPr>
              <w:noProof/>
            </w:rPr>
            <w:t>References</w:t>
          </w:r>
          <w:r>
            <w:rPr>
              <w:noProof/>
            </w:rPr>
            <w:tab/>
          </w:r>
          <w:r>
            <w:rPr>
              <w:noProof/>
            </w:rPr>
            <w:fldChar w:fldCharType="begin"/>
          </w:r>
          <w:r>
            <w:rPr>
              <w:noProof/>
            </w:rPr>
            <w:instrText xml:space="preserve"> PAGEREF _Toc125893679 \h </w:instrText>
          </w:r>
          <w:r>
            <w:rPr>
              <w:noProof/>
            </w:rPr>
          </w:r>
          <w:r>
            <w:rPr>
              <w:noProof/>
            </w:rPr>
            <w:fldChar w:fldCharType="separate"/>
          </w:r>
          <w:r>
            <w:rPr>
              <w:noProof/>
            </w:rPr>
            <w:t>8</w:t>
          </w:r>
          <w:r>
            <w:rPr>
              <w:noProof/>
            </w:rPr>
            <w:fldChar w:fldCharType="end"/>
          </w:r>
        </w:p>
        <w:p w14:paraId="4C61AB0D" w14:textId="59C04F1C" w:rsidR="008D5C97" w:rsidRDefault="008D5C97" w:rsidP="008D5C97">
          <w:pPr>
            <w:pStyle w:val="TOC2"/>
            <w:tabs>
              <w:tab w:val="right" w:leader="dot" w:pos="9350"/>
            </w:tabs>
            <w:rPr>
              <w:bCs w:val="0"/>
              <w:noProof/>
            </w:rPr>
          </w:pPr>
          <w:r>
            <w:rPr>
              <w:rFonts w:asciiTheme="majorHAnsi" w:hAnsiTheme="majorHAnsi"/>
              <w:caps/>
              <w:sz w:val="24"/>
              <w:szCs w:val="24"/>
            </w:rPr>
            <w:fldChar w:fldCharType="end"/>
          </w:r>
        </w:p>
      </w:sdtContent>
    </w:sdt>
    <w:p w14:paraId="26BF2E0F" w14:textId="02532FE9" w:rsidR="006D6108" w:rsidRDefault="006D6108" w:rsidP="006D6108">
      <w:pPr>
        <w:pStyle w:val="TOCHeading"/>
      </w:pPr>
      <w:r>
        <w:t>Tables</w:t>
      </w:r>
    </w:p>
    <w:p w14:paraId="49210172" w14:textId="0A76A256" w:rsidR="001F723F" w:rsidRDefault="003E4EEF">
      <w:pPr>
        <w:pStyle w:val="TableofFigures"/>
        <w:tabs>
          <w:tab w:val="right" w:leader="dot" w:pos="9350"/>
        </w:tabs>
        <w:rPr>
          <w:rFonts w:asciiTheme="minorHAnsi" w:hAnsiTheme="minorHAnsi"/>
          <w:noProof/>
          <w:sz w:val="22"/>
          <w:szCs w:val="22"/>
        </w:rPr>
      </w:pPr>
      <w:r>
        <w:fldChar w:fldCharType="begin"/>
      </w:r>
      <w:r>
        <w:instrText xml:space="preserve"> TOC \c "Table" </w:instrText>
      </w:r>
      <w:r>
        <w:fldChar w:fldCharType="separate"/>
      </w:r>
      <w:r w:rsidR="001F723F">
        <w:rPr>
          <w:noProof/>
        </w:rPr>
        <w:t>Table 1. Distribution of companies and observations across industries</w:t>
      </w:r>
      <w:r w:rsidR="001F723F">
        <w:rPr>
          <w:noProof/>
        </w:rPr>
        <w:tab/>
      </w:r>
      <w:r w:rsidR="001F723F">
        <w:rPr>
          <w:noProof/>
        </w:rPr>
        <w:fldChar w:fldCharType="begin"/>
      </w:r>
      <w:r w:rsidR="001F723F">
        <w:rPr>
          <w:noProof/>
        </w:rPr>
        <w:instrText xml:space="preserve"> PAGEREF _Toc125893680 \h </w:instrText>
      </w:r>
      <w:r w:rsidR="001F723F">
        <w:rPr>
          <w:noProof/>
        </w:rPr>
      </w:r>
      <w:r w:rsidR="001F723F">
        <w:rPr>
          <w:noProof/>
        </w:rPr>
        <w:fldChar w:fldCharType="separate"/>
      </w:r>
      <w:r w:rsidR="001F723F">
        <w:rPr>
          <w:noProof/>
        </w:rPr>
        <w:t>2</w:t>
      </w:r>
      <w:r w:rsidR="001F723F">
        <w:rPr>
          <w:noProof/>
        </w:rPr>
        <w:fldChar w:fldCharType="end"/>
      </w:r>
    </w:p>
    <w:p w14:paraId="12415E64" w14:textId="3E665C0F" w:rsidR="001F723F" w:rsidRDefault="001F723F">
      <w:pPr>
        <w:pStyle w:val="TableofFigures"/>
        <w:tabs>
          <w:tab w:val="right" w:leader="dot" w:pos="9350"/>
        </w:tabs>
        <w:rPr>
          <w:rFonts w:asciiTheme="minorHAnsi" w:hAnsiTheme="minorHAnsi"/>
          <w:noProof/>
          <w:sz w:val="22"/>
          <w:szCs w:val="22"/>
        </w:rPr>
      </w:pPr>
      <w:r>
        <w:rPr>
          <w:noProof/>
        </w:rPr>
        <w:t>Table 2. Distribution of stock returns, abnormal returns and benchmark returns</w:t>
      </w:r>
      <w:r>
        <w:rPr>
          <w:noProof/>
        </w:rPr>
        <w:tab/>
      </w:r>
      <w:r>
        <w:rPr>
          <w:noProof/>
        </w:rPr>
        <w:fldChar w:fldCharType="begin"/>
      </w:r>
      <w:r>
        <w:rPr>
          <w:noProof/>
        </w:rPr>
        <w:instrText xml:space="preserve"> PAGEREF _Toc125893681 \h </w:instrText>
      </w:r>
      <w:r>
        <w:rPr>
          <w:noProof/>
        </w:rPr>
      </w:r>
      <w:r>
        <w:rPr>
          <w:noProof/>
        </w:rPr>
        <w:fldChar w:fldCharType="separate"/>
      </w:r>
      <w:r>
        <w:rPr>
          <w:noProof/>
        </w:rPr>
        <w:t>3</w:t>
      </w:r>
      <w:r>
        <w:rPr>
          <w:noProof/>
        </w:rPr>
        <w:fldChar w:fldCharType="end"/>
      </w:r>
    </w:p>
    <w:p w14:paraId="70CECBFC" w14:textId="43DBD298" w:rsidR="001F723F" w:rsidRDefault="001F723F">
      <w:pPr>
        <w:pStyle w:val="TableofFigures"/>
        <w:tabs>
          <w:tab w:val="right" w:leader="dot" w:pos="9350"/>
        </w:tabs>
        <w:rPr>
          <w:rFonts w:asciiTheme="minorHAnsi" w:hAnsiTheme="minorHAnsi"/>
          <w:noProof/>
          <w:sz w:val="22"/>
          <w:szCs w:val="22"/>
        </w:rPr>
      </w:pPr>
      <w:r>
        <w:rPr>
          <w:noProof/>
        </w:rPr>
        <w:t>Table 3. Regression results</w:t>
      </w:r>
      <w:r>
        <w:rPr>
          <w:noProof/>
        </w:rPr>
        <w:tab/>
      </w:r>
      <w:r>
        <w:rPr>
          <w:noProof/>
        </w:rPr>
        <w:fldChar w:fldCharType="begin"/>
      </w:r>
      <w:r>
        <w:rPr>
          <w:noProof/>
        </w:rPr>
        <w:instrText xml:space="preserve"> PAGEREF _Toc125893682 \h </w:instrText>
      </w:r>
      <w:r>
        <w:rPr>
          <w:noProof/>
        </w:rPr>
      </w:r>
      <w:r>
        <w:rPr>
          <w:noProof/>
        </w:rPr>
        <w:fldChar w:fldCharType="separate"/>
      </w:r>
      <w:r>
        <w:rPr>
          <w:noProof/>
        </w:rPr>
        <w:t>4</w:t>
      </w:r>
      <w:r>
        <w:rPr>
          <w:noProof/>
        </w:rPr>
        <w:fldChar w:fldCharType="end"/>
      </w:r>
    </w:p>
    <w:p w14:paraId="1AA15D3B" w14:textId="48748273" w:rsidR="006D6108" w:rsidRPr="006D6108" w:rsidRDefault="003E4EEF" w:rsidP="008D5C97">
      <w:pPr>
        <w:pStyle w:val="TableofFigures"/>
        <w:tabs>
          <w:tab w:val="right" w:leader="dot" w:pos="9350"/>
        </w:tabs>
      </w:pPr>
      <w:r>
        <w:rPr>
          <w:noProof/>
        </w:rPr>
        <w:fldChar w:fldCharType="end"/>
      </w:r>
    </w:p>
    <w:p w14:paraId="4B29CA9F" w14:textId="77777777" w:rsidR="001736B2" w:rsidRPr="00CD5B21" w:rsidRDefault="001736B2" w:rsidP="000A6D8C"/>
    <w:bookmarkEnd w:id="0"/>
    <w:p w14:paraId="6B55FB23" w14:textId="77777777" w:rsidR="00415035" w:rsidRDefault="00415035" w:rsidP="00DB7C48">
      <w:pPr>
        <w:pStyle w:val="Heading1"/>
        <w:sectPr w:rsidR="00415035" w:rsidSect="006D6108">
          <w:headerReference w:type="default" r:id="rId8"/>
          <w:footerReference w:type="default" r:id="rId9"/>
          <w:headerReference w:type="first" r:id="rId10"/>
          <w:footerReference w:type="first" r:id="rId11"/>
          <w:pgSz w:w="12240" w:h="15840"/>
          <w:pgMar w:top="1440" w:right="1440" w:bottom="1440" w:left="1440" w:header="432" w:footer="720" w:gutter="0"/>
          <w:pgNumType w:fmt="lowerRoman"/>
          <w:cols w:space="720"/>
          <w:titlePg/>
          <w:docGrid w:linePitch="360"/>
        </w:sectPr>
      </w:pPr>
    </w:p>
    <w:p w14:paraId="125125C4" w14:textId="40A41176" w:rsidR="00D53EB8" w:rsidRDefault="00D53EB8" w:rsidP="00E228A1">
      <w:pPr>
        <w:pStyle w:val="Heading1"/>
        <w:spacing w:before="0"/>
      </w:pPr>
      <w:bookmarkStart w:id="1" w:name="_Toc125893671"/>
      <w:r>
        <w:lastRenderedPageBreak/>
        <w:t>Introduction</w:t>
      </w:r>
      <w:bookmarkEnd w:id="1"/>
    </w:p>
    <w:p w14:paraId="57FAC893" w14:textId="0D7ED80F" w:rsidR="0077309D" w:rsidRDefault="0077309D" w:rsidP="00D53EB8">
      <w:pPr>
        <w:pStyle w:val="ListParagraph"/>
        <w:numPr>
          <w:ilvl w:val="0"/>
          <w:numId w:val="45"/>
        </w:numPr>
      </w:pPr>
      <w:r>
        <w:t>The objective of those note is to illustrate the use of ordinary least squares (OLS) regression to identify stock characteristics associated with above-benchmark returns.</w:t>
      </w:r>
    </w:p>
    <w:p w14:paraId="713EB87A" w14:textId="38F9889D" w:rsidR="00D53EB8" w:rsidRPr="00D53EB8" w:rsidRDefault="008F784B" w:rsidP="00D53EB8">
      <w:pPr>
        <w:pStyle w:val="ListParagraph"/>
        <w:numPr>
          <w:ilvl w:val="0"/>
          <w:numId w:val="45"/>
        </w:numPr>
      </w:pPr>
      <w:r>
        <w:t>This note is intended for teaching purposes. Your report should be written in complete paragraphs, not bullet points.</w:t>
      </w:r>
    </w:p>
    <w:p w14:paraId="0E203931" w14:textId="0580D2DC" w:rsidR="007A6658" w:rsidRDefault="00AA4CC2" w:rsidP="00E228A1">
      <w:pPr>
        <w:pStyle w:val="Heading1"/>
        <w:spacing w:before="0"/>
      </w:pPr>
      <w:bookmarkStart w:id="2" w:name="_Toc125893672"/>
      <w:r>
        <w:t>Method</w:t>
      </w:r>
      <w:r w:rsidR="008E4CDF">
        <w:t xml:space="preserve"> and scope</w:t>
      </w:r>
      <w:bookmarkEnd w:id="2"/>
    </w:p>
    <w:p w14:paraId="7A5BEEF7" w14:textId="3EB67F0C" w:rsidR="001821C1" w:rsidRDefault="00221AB7" w:rsidP="001821C1">
      <w:pPr>
        <w:pStyle w:val="ListParagraph"/>
        <w:numPr>
          <w:ilvl w:val="0"/>
          <w:numId w:val="43"/>
        </w:numPr>
      </w:pPr>
      <w:r>
        <w:t>Regression of individual stock abnormal returns against stock characteristics and indicator (1, 0) variables by industry.</w:t>
      </w:r>
    </w:p>
    <w:p w14:paraId="7A34C693" w14:textId="657B4B41" w:rsidR="00221AB7" w:rsidRDefault="00221AB7" w:rsidP="001821C1">
      <w:pPr>
        <w:pStyle w:val="ListParagraph"/>
        <w:numPr>
          <w:ilvl w:val="0"/>
          <w:numId w:val="43"/>
        </w:numPr>
      </w:pPr>
      <w:r>
        <w:t>Monthly returns on companies that at any stage formed part of the S&amp;P 400 Midcap index.</w:t>
      </w:r>
    </w:p>
    <w:p w14:paraId="4602FAB8" w14:textId="2BE7D983" w:rsidR="00221AB7" w:rsidRDefault="00221AB7" w:rsidP="001821C1">
      <w:pPr>
        <w:pStyle w:val="ListParagraph"/>
        <w:numPr>
          <w:ilvl w:val="0"/>
          <w:numId w:val="43"/>
        </w:numPr>
      </w:pPr>
      <w:r>
        <w:t>Benchmark returns on the S&amp;P 400 Midcap index.</w:t>
      </w:r>
    </w:p>
    <w:p w14:paraId="78904915" w14:textId="2E75A0C7" w:rsidR="00221AB7" w:rsidRDefault="00221AB7" w:rsidP="001821C1">
      <w:pPr>
        <w:pStyle w:val="ListParagraph"/>
        <w:numPr>
          <w:ilvl w:val="0"/>
          <w:numId w:val="43"/>
        </w:numPr>
      </w:pPr>
      <w:r>
        <w:t>Industry definitions derived from FactSet Economic Sectors and FactSet Industry Sectors.</w:t>
      </w:r>
    </w:p>
    <w:p w14:paraId="71A5CB01" w14:textId="1B865898" w:rsidR="00221AB7" w:rsidRDefault="00221AB7" w:rsidP="001821C1">
      <w:pPr>
        <w:pStyle w:val="ListParagraph"/>
        <w:numPr>
          <w:ilvl w:val="0"/>
          <w:numId w:val="43"/>
        </w:numPr>
      </w:pPr>
      <w:r>
        <w:t>Monthly returns constrained at the upper and lower ends of the distribution such that monthly returns are capped at 100 per cent (adjusted monthly returns</w:t>
      </w:r>
      <w:r w:rsidR="003A1AD0">
        <w:t>). The</w:t>
      </w:r>
      <w:r>
        <w:t xml:space="preserve"> returns distribution is constrained at the lower 0.07</w:t>
      </w:r>
      <w:r w:rsidR="008E4CDF" w:rsidRPr="008E4CDF">
        <w:rPr>
          <w:vertAlign w:val="superscript"/>
        </w:rPr>
        <w:t>th</w:t>
      </w:r>
      <w:r w:rsidR="008E4CDF">
        <w:t xml:space="preserve"> </w:t>
      </w:r>
      <w:r>
        <w:t>percentile (-59 per cent) and the upper 99.93</w:t>
      </w:r>
      <w:r w:rsidR="008E4CDF" w:rsidRPr="008E4CDF">
        <w:rPr>
          <w:vertAlign w:val="superscript"/>
        </w:rPr>
        <w:t>rd</w:t>
      </w:r>
      <w:r w:rsidR="008E4CDF">
        <w:t xml:space="preserve"> </w:t>
      </w:r>
      <w:r>
        <w:t>percentile (</w:t>
      </w:r>
      <w:r w:rsidR="00EC4FE0">
        <w:t>100</w:t>
      </w:r>
      <w:r>
        <w:t xml:space="preserve"> per cent) across all observations.</w:t>
      </w:r>
      <w:r w:rsidR="00972724">
        <w:t xml:space="preserve"> I refer to the constrained returns as adjusted stock returns. The constraint is important because otherwise a small number of observations can be unreasonably influential (for example, Gamestop recorded a return of 1</w:t>
      </w:r>
      <w:r w:rsidR="00822F19">
        <w:t>,</w:t>
      </w:r>
      <w:r w:rsidR="00972724">
        <w:t>625 per cent in January 2021).</w:t>
      </w:r>
    </w:p>
    <w:p w14:paraId="281A9200" w14:textId="3A25EFB4" w:rsidR="00221AB7" w:rsidRDefault="00221AB7" w:rsidP="001821C1">
      <w:pPr>
        <w:pStyle w:val="ListParagraph"/>
        <w:numPr>
          <w:ilvl w:val="0"/>
          <w:numId w:val="43"/>
        </w:numPr>
      </w:pPr>
      <w:r>
        <w:t>Comparison of results based upon unadjusted and adjusted monthly returns, and with inclusion and exclusion of companies associated with high Cook’s D influence statistics.</w:t>
      </w:r>
    </w:p>
    <w:p w14:paraId="5C69A58E" w14:textId="1103B8F0" w:rsidR="008E4CDF" w:rsidRDefault="008E4CDF" w:rsidP="001821C1">
      <w:pPr>
        <w:pStyle w:val="ListParagraph"/>
        <w:numPr>
          <w:ilvl w:val="0"/>
          <w:numId w:val="43"/>
        </w:numPr>
      </w:pPr>
      <w:r>
        <w:t>Discussion of statistical significance and the distribution of error terms.</w:t>
      </w:r>
    </w:p>
    <w:p w14:paraId="3936CE36" w14:textId="08E83687" w:rsidR="007A6658" w:rsidRDefault="007A6658" w:rsidP="00E06C09">
      <w:pPr>
        <w:pStyle w:val="Heading1"/>
      </w:pPr>
      <w:bookmarkStart w:id="3" w:name="_Toc125893673"/>
      <w:r>
        <w:t>Data</w:t>
      </w:r>
      <w:bookmarkEnd w:id="3"/>
    </w:p>
    <w:p w14:paraId="348CE0E6" w14:textId="2C5BF720" w:rsidR="00221AB7" w:rsidRDefault="00221AB7" w:rsidP="00C462F9">
      <w:pPr>
        <w:pStyle w:val="ListParagraph"/>
        <w:numPr>
          <w:ilvl w:val="0"/>
          <w:numId w:val="43"/>
        </w:numPr>
      </w:pPr>
      <w:r>
        <w:rPr>
          <w:b/>
          <w:bCs/>
        </w:rPr>
        <w:t>Observations</w:t>
      </w:r>
      <w:r w:rsidR="000773FF" w:rsidRPr="000773FF">
        <w:rPr>
          <w:b/>
          <w:bCs/>
        </w:rPr>
        <w:t xml:space="preserve">. </w:t>
      </w:r>
      <w:r w:rsidRPr="00221AB7">
        <w:t>1,471</w:t>
      </w:r>
      <w:r>
        <w:t xml:space="preserve"> companies and 3</w:t>
      </w:r>
      <w:r w:rsidR="001F362B">
        <w:t>09</w:t>
      </w:r>
      <w:r>
        <w:t>,</w:t>
      </w:r>
      <w:r w:rsidR="001F362B">
        <w:t>269</w:t>
      </w:r>
      <w:r>
        <w:t xml:space="preserve"> company-month combinations that met the following criteria.</w:t>
      </w:r>
    </w:p>
    <w:p w14:paraId="2A6B3FC7" w14:textId="115F75ED" w:rsidR="00221AB7" w:rsidRDefault="00221AB7" w:rsidP="00221AB7">
      <w:pPr>
        <w:pStyle w:val="ListParagraph"/>
        <w:numPr>
          <w:ilvl w:val="1"/>
          <w:numId w:val="43"/>
        </w:numPr>
      </w:pPr>
      <w:r>
        <w:t>At any stage from December 1994 were included in the S&amp;P 400 Midcap index.</w:t>
      </w:r>
    </w:p>
    <w:p w14:paraId="163BC4CA" w14:textId="3AE66916" w:rsidR="00221AB7" w:rsidRDefault="00221AB7" w:rsidP="00221AB7">
      <w:pPr>
        <w:pStyle w:val="ListParagraph"/>
        <w:numPr>
          <w:ilvl w:val="1"/>
          <w:numId w:val="43"/>
        </w:numPr>
      </w:pPr>
      <w:r>
        <w:t>Monthly data available on returns, prior month’s share price, prior month’s number of shares on issue, FactSet Economic Sector and FactSet Industry Sector.</w:t>
      </w:r>
    </w:p>
    <w:p w14:paraId="7FDA2FEB" w14:textId="171E6D94" w:rsidR="00221AB7" w:rsidRDefault="00221AB7" w:rsidP="00221AB7">
      <w:pPr>
        <w:pStyle w:val="ListParagraph"/>
        <w:numPr>
          <w:ilvl w:val="1"/>
          <w:numId w:val="43"/>
        </w:numPr>
      </w:pPr>
      <w:r>
        <w:t>At least 24 months of returns available for months ending January 1995 to March 202</w:t>
      </w:r>
      <w:r w:rsidR="008E4CDF">
        <w:t>2</w:t>
      </w:r>
      <w:r>
        <w:t>.</w:t>
      </w:r>
    </w:p>
    <w:p w14:paraId="6B95C626" w14:textId="77777777" w:rsidR="000D0E85" w:rsidRPr="000D0E85" w:rsidRDefault="00221AB7" w:rsidP="00221AB7">
      <w:pPr>
        <w:pStyle w:val="ListParagraph"/>
        <w:numPr>
          <w:ilvl w:val="0"/>
          <w:numId w:val="43"/>
        </w:numPr>
        <w:rPr>
          <w:b/>
          <w:bCs/>
        </w:rPr>
      </w:pPr>
      <w:r w:rsidRPr="00221AB7">
        <w:rPr>
          <w:b/>
          <w:bCs/>
        </w:rPr>
        <w:t xml:space="preserve">Descriptive statistics. </w:t>
      </w:r>
      <w:r w:rsidR="00E01E95">
        <w:fldChar w:fldCharType="begin"/>
      </w:r>
      <w:r w:rsidR="00E01E95">
        <w:rPr>
          <w:b/>
          <w:bCs/>
        </w:rPr>
        <w:instrText xml:space="preserve"> REF _Ref125830769 </w:instrText>
      </w:r>
      <w:r w:rsidR="00E01E95">
        <w:fldChar w:fldCharType="separate"/>
      </w:r>
      <w:r w:rsidR="00E01E95">
        <w:t xml:space="preserve">Table </w:t>
      </w:r>
      <w:r w:rsidR="00E01E95">
        <w:rPr>
          <w:noProof/>
        </w:rPr>
        <w:t>1</w:t>
      </w:r>
      <w:r w:rsidR="00E01E95">
        <w:fldChar w:fldCharType="end"/>
      </w:r>
      <w:r>
        <w:t xml:space="preserve"> and </w:t>
      </w:r>
      <w:fldSimple w:instr=" REF _Ref125832911 ">
        <w:r w:rsidR="00EC4FE0">
          <w:t xml:space="preserve">Table </w:t>
        </w:r>
        <w:r w:rsidR="00EC4FE0">
          <w:rPr>
            <w:noProof/>
          </w:rPr>
          <w:t>2</w:t>
        </w:r>
      </w:fldSimple>
      <w:r>
        <w:t xml:space="preserve"> summarize the sample in terms of industry breakdown and the distribution of returns and market capitalization.</w:t>
      </w:r>
    </w:p>
    <w:p w14:paraId="77A100DB" w14:textId="29335632" w:rsidR="00CE7848" w:rsidRPr="00182FF2" w:rsidRDefault="00EC4FE0" w:rsidP="00182FF2">
      <w:pPr>
        <w:pStyle w:val="ListParagraph"/>
        <w:numPr>
          <w:ilvl w:val="1"/>
          <w:numId w:val="43"/>
        </w:numPr>
        <w:rPr>
          <w:b/>
          <w:bCs/>
        </w:rPr>
      </w:pPr>
      <w:r>
        <w:t xml:space="preserve">There are 24 FIN 427 Industries, with 21 of these industries having at least 2 per cent of sample observations. The most represented industry is 1300 Electronic Technology with 10.0 per cent of observations and 9.8 per cent of companies. </w:t>
      </w:r>
    </w:p>
    <w:p w14:paraId="7E829DD0" w14:textId="7F5EDE7E" w:rsidR="00221AB7" w:rsidRDefault="00C729DA" w:rsidP="00E01E95">
      <w:pPr>
        <w:pStyle w:val="Caption"/>
        <w:rPr>
          <w:b w:val="0"/>
          <w:bCs w:val="0"/>
        </w:rPr>
      </w:pPr>
      <w:bookmarkStart w:id="4" w:name="_Ref125830769"/>
      <w:bookmarkStart w:id="5" w:name="_Toc125893680"/>
      <w:r>
        <w:lastRenderedPageBreak/>
        <w:t xml:space="preserve">Table </w:t>
      </w:r>
      <w:fldSimple w:instr=" SEQ Table \* ARABIC ">
        <w:r w:rsidR="00262423">
          <w:rPr>
            <w:noProof/>
          </w:rPr>
          <w:t>1</w:t>
        </w:r>
      </w:fldSimple>
      <w:bookmarkEnd w:id="4"/>
      <w:r>
        <w:t>. Distribution of companies and observations across industries</w:t>
      </w:r>
      <w:bookmarkEnd w:id="5"/>
    </w:p>
    <w:tbl>
      <w:tblPr>
        <w:tblW w:w="5000" w:type="pct"/>
        <w:tblLook w:val="04A0" w:firstRow="1" w:lastRow="0" w:firstColumn="1" w:lastColumn="0" w:noHBand="0" w:noVBand="1"/>
      </w:tblPr>
      <w:tblGrid>
        <w:gridCol w:w="799"/>
        <w:gridCol w:w="3109"/>
        <w:gridCol w:w="1451"/>
        <w:gridCol w:w="1275"/>
        <w:gridCol w:w="1451"/>
        <w:gridCol w:w="1275"/>
      </w:tblGrid>
      <w:tr w:rsidR="00E01E95" w:rsidRPr="00C729DA" w14:paraId="3803442C" w14:textId="77777777" w:rsidTr="00E01E95">
        <w:trPr>
          <w:trHeight w:val="290"/>
        </w:trPr>
        <w:tc>
          <w:tcPr>
            <w:tcW w:w="427" w:type="pct"/>
            <w:tcBorders>
              <w:top w:val="single" w:sz="4" w:space="0" w:color="00274C" w:themeColor="accent1"/>
              <w:left w:val="nil"/>
              <w:right w:val="nil"/>
            </w:tcBorders>
            <w:shd w:val="clear" w:color="auto" w:fill="auto"/>
            <w:noWrap/>
            <w:vAlign w:val="center"/>
          </w:tcPr>
          <w:p w14:paraId="00DACCBB" w14:textId="77777777" w:rsidR="00E01E95" w:rsidRPr="00E01E95" w:rsidRDefault="00E01E95" w:rsidP="00E01E95">
            <w:pPr>
              <w:pStyle w:val="Tabletext"/>
              <w:keepNext/>
            </w:pPr>
          </w:p>
        </w:tc>
        <w:tc>
          <w:tcPr>
            <w:tcW w:w="1661" w:type="pct"/>
            <w:tcBorders>
              <w:top w:val="single" w:sz="4" w:space="0" w:color="00274C" w:themeColor="accent1"/>
              <w:left w:val="nil"/>
              <w:right w:val="nil"/>
            </w:tcBorders>
            <w:shd w:val="clear" w:color="auto" w:fill="auto"/>
            <w:noWrap/>
            <w:vAlign w:val="center"/>
          </w:tcPr>
          <w:p w14:paraId="64ECC7D8" w14:textId="77777777" w:rsidR="00E01E95" w:rsidRPr="00E01E95" w:rsidRDefault="00E01E95" w:rsidP="00E01E95">
            <w:pPr>
              <w:pStyle w:val="Tabletext"/>
              <w:keepNext/>
            </w:pPr>
          </w:p>
        </w:tc>
        <w:tc>
          <w:tcPr>
            <w:tcW w:w="1456" w:type="pct"/>
            <w:gridSpan w:val="2"/>
            <w:tcBorders>
              <w:top w:val="single" w:sz="4" w:space="0" w:color="00274C" w:themeColor="accent1"/>
              <w:left w:val="nil"/>
              <w:right w:val="single" w:sz="4" w:space="0" w:color="00274C" w:themeColor="accent1"/>
            </w:tcBorders>
            <w:shd w:val="clear" w:color="auto" w:fill="auto"/>
            <w:noWrap/>
            <w:vAlign w:val="center"/>
          </w:tcPr>
          <w:p w14:paraId="3BE4CE92" w14:textId="408125A4" w:rsidR="00E01E95" w:rsidRPr="00E01E95" w:rsidRDefault="00E01E95" w:rsidP="00E01E95">
            <w:pPr>
              <w:pStyle w:val="Tabletext"/>
              <w:keepNext/>
              <w:jc w:val="center"/>
            </w:pPr>
            <w:r>
              <w:t>Number</w:t>
            </w:r>
          </w:p>
        </w:tc>
        <w:tc>
          <w:tcPr>
            <w:tcW w:w="1456" w:type="pct"/>
            <w:gridSpan w:val="2"/>
            <w:tcBorders>
              <w:top w:val="single" w:sz="4" w:space="0" w:color="00274C" w:themeColor="accent1"/>
              <w:left w:val="single" w:sz="4" w:space="0" w:color="00274C" w:themeColor="accent1"/>
              <w:right w:val="nil"/>
            </w:tcBorders>
            <w:vAlign w:val="center"/>
          </w:tcPr>
          <w:p w14:paraId="4188CBE7" w14:textId="485BC6FA" w:rsidR="00E01E95" w:rsidRPr="00E01E95" w:rsidRDefault="00E01E95" w:rsidP="00E01E95">
            <w:pPr>
              <w:pStyle w:val="Tabletext"/>
              <w:keepNext/>
              <w:jc w:val="center"/>
            </w:pPr>
            <w:r>
              <w:t>Percentage</w:t>
            </w:r>
          </w:p>
        </w:tc>
      </w:tr>
      <w:tr w:rsidR="00E01E95" w:rsidRPr="00C729DA" w14:paraId="23398FA9" w14:textId="30F864C1" w:rsidTr="00E01E95">
        <w:trPr>
          <w:trHeight w:val="290"/>
        </w:trPr>
        <w:tc>
          <w:tcPr>
            <w:tcW w:w="427" w:type="pct"/>
            <w:tcBorders>
              <w:left w:val="nil"/>
              <w:bottom w:val="single" w:sz="4" w:space="0" w:color="00274C" w:themeColor="accent1"/>
              <w:right w:val="nil"/>
            </w:tcBorders>
            <w:shd w:val="clear" w:color="auto" w:fill="auto"/>
            <w:noWrap/>
            <w:vAlign w:val="center"/>
            <w:hideMark/>
          </w:tcPr>
          <w:p w14:paraId="3D2A1FB8" w14:textId="06E76B45" w:rsidR="00E01E95" w:rsidRPr="00E01E95" w:rsidRDefault="00E01E95" w:rsidP="00E01E95">
            <w:pPr>
              <w:pStyle w:val="Tabletext"/>
              <w:keepNext/>
            </w:pPr>
            <w:r w:rsidRPr="00E01E95">
              <w:t>Group</w:t>
            </w:r>
          </w:p>
        </w:tc>
        <w:tc>
          <w:tcPr>
            <w:tcW w:w="1661" w:type="pct"/>
            <w:tcBorders>
              <w:left w:val="nil"/>
              <w:bottom w:val="single" w:sz="4" w:space="0" w:color="00274C" w:themeColor="accent1"/>
              <w:right w:val="nil"/>
            </w:tcBorders>
            <w:shd w:val="clear" w:color="auto" w:fill="auto"/>
            <w:noWrap/>
            <w:vAlign w:val="center"/>
            <w:hideMark/>
          </w:tcPr>
          <w:p w14:paraId="140FBB13" w14:textId="1A2D6E14" w:rsidR="00E01E95" w:rsidRPr="00E01E95" w:rsidRDefault="00E01E95" w:rsidP="00E01E95">
            <w:pPr>
              <w:pStyle w:val="Tabletext"/>
              <w:keepNext/>
            </w:pPr>
            <w:r w:rsidRPr="00E01E95">
              <w:t>FIN 427 Industry</w:t>
            </w:r>
          </w:p>
        </w:tc>
        <w:tc>
          <w:tcPr>
            <w:tcW w:w="775" w:type="pct"/>
            <w:tcBorders>
              <w:left w:val="nil"/>
              <w:bottom w:val="single" w:sz="4" w:space="0" w:color="00274C" w:themeColor="accent1"/>
              <w:right w:val="nil"/>
            </w:tcBorders>
            <w:shd w:val="clear" w:color="auto" w:fill="auto"/>
            <w:noWrap/>
            <w:vAlign w:val="center"/>
            <w:hideMark/>
          </w:tcPr>
          <w:p w14:paraId="3A888A97" w14:textId="4165EEE5" w:rsidR="00E01E95" w:rsidRPr="00E01E95" w:rsidRDefault="00E01E95" w:rsidP="00E01E95">
            <w:pPr>
              <w:pStyle w:val="Tabletext"/>
              <w:keepNext/>
              <w:jc w:val="center"/>
            </w:pPr>
            <w:r w:rsidRPr="00E01E95">
              <w:t>Observations</w:t>
            </w:r>
          </w:p>
        </w:tc>
        <w:tc>
          <w:tcPr>
            <w:tcW w:w="681" w:type="pct"/>
            <w:tcBorders>
              <w:left w:val="nil"/>
              <w:bottom w:val="single" w:sz="4" w:space="0" w:color="00274C" w:themeColor="accent1"/>
              <w:right w:val="single" w:sz="4" w:space="0" w:color="00274C" w:themeColor="accent1"/>
            </w:tcBorders>
            <w:vAlign w:val="center"/>
          </w:tcPr>
          <w:p w14:paraId="14FEAC01" w14:textId="4AE262A2" w:rsidR="00E01E95" w:rsidRPr="00E01E95" w:rsidRDefault="00E01E95" w:rsidP="00E01E95">
            <w:pPr>
              <w:pStyle w:val="Tabletext"/>
              <w:keepNext/>
              <w:jc w:val="center"/>
            </w:pPr>
            <w:r w:rsidRPr="00E01E95">
              <w:t>Companies</w:t>
            </w:r>
          </w:p>
        </w:tc>
        <w:tc>
          <w:tcPr>
            <w:tcW w:w="775" w:type="pct"/>
            <w:tcBorders>
              <w:left w:val="single" w:sz="4" w:space="0" w:color="00274C" w:themeColor="accent1"/>
              <w:bottom w:val="single" w:sz="4" w:space="0" w:color="00274C" w:themeColor="accent1"/>
              <w:right w:val="nil"/>
            </w:tcBorders>
            <w:vAlign w:val="center"/>
          </w:tcPr>
          <w:p w14:paraId="443E1588" w14:textId="0F123962" w:rsidR="00E01E95" w:rsidRPr="00E01E95" w:rsidRDefault="00E01E95" w:rsidP="00E01E95">
            <w:pPr>
              <w:pStyle w:val="Tabletext"/>
              <w:keepNext/>
              <w:jc w:val="center"/>
            </w:pPr>
            <w:r w:rsidRPr="00E01E95">
              <w:t>Observations</w:t>
            </w:r>
          </w:p>
        </w:tc>
        <w:tc>
          <w:tcPr>
            <w:tcW w:w="681" w:type="pct"/>
            <w:tcBorders>
              <w:left w:val="nil"/>
              <w:bottom w:val="single" w:sz="4" w:space="0" w:color="00274C" w:themeColor="accent1"/>
              <w:right w:val="nil"/>
            </w:tcBorders>
            <w:vAlign w:val="center"/>
          </w:tcPr>
          <w:p w14:paraId="1CCCDEF2" w14:textId="49301DEC" w:rsidR="00E01E95" w:rsidRPr="00E01E95" w:rsidRDefault="00E01E95" w:rsidP="00E01E95">
            <w:pPr>
              <w:pStyle w:val="Tabletext"/>
              <w:keepNext/>
              <w:jc w:val="center"/>
            </w:pPr>
            <w:r w:rsidRPr="00E01E95">
              <w:t>Companies</w:t>
            </w:r>
          </w:p>
        </w:tc>
      </w:tr>
      <w:tr w:rsidR="001F362B" w:rsidRPr="00C729DA" w14:paraId="2E5957C3" w14:textId="7A91A9E6" w:rsidTr="003A1AD0">
        <w:trPr>
          <w:trHeight w:val="290"/>
        </w:trPr>
        <w:tc>
          <w:tcPr>
            <w:tcW w:w="427" w:type="pct"/>
            <w:tcBorders>
              <w:top w:val="single" w:sz="4" w:space="0" w:color="00274C" w:themeColor="accent1"/>
              <w:left w:val="nil"/>
              <w:bottom w:val="nil"/>
              <w:right w:val="nil"/>
            </w:tcBorders>
            <w:shd w:val="clear" w:color="auto" w:fill="auto"/>
            <w:noWrap/>
            <w:vAlign w:val="center"/>
            <w:hideMark/>
          </w:tcPr>
          <w:p w14:paraId="724900D6" w14:textId="77777777" w:rsidR="001F362B" w:rsidRPr="00E01E95" w:rsidRDefault="001F362B" w:rsidP="001F362B">
            <w:pPr>
              <w:pStyle w:val="Tabletext"/>
              <w:keepNext/>
              <w:jc w:val="right"/>
            </w:pPr>
            <w:r w:rsidRPr="00E01E95">
              <w:t>6</w:t>
            </w:r>
          </w:p>
        </w:tc>
        <w:tc>
          <w:tcPr>
            <w:tcW w:w="1661" w:type="pct"/>
            <w:tcBorders>
              <w:top w:val="single" w:sz="4" w:space="0" w:color="00274C" w:themeColor="accent1"/>
              <w:left w:val="nil"/>
              <w:bottom w:val="nil"/>
              <w:right w:val="nil"/>
            </w:tcBorders>
            <w:shd w:val="clear" w:color="auto" w:fill="auto"/>
            <w:noWrap/>
            <w:vAlign w:val="center"/>
            <w:hideMark/>
          </w:tcPr>
          <w:p w14:paraId="75B205A7" w14:textId="77777777" w:rsidR="001F362B" w:rsidRPr="00E01E95" w:rsidRDefault="001F362B" w:rsidP="001F362B">
            <w:pPr>
              <w:pStyle w:val="Tabletext"/>
              <w:keepNext/>
            </w:pPr>
            <w:r w:rsidRPr="00E01E95">
              <w:t>1100 Non-Energy Minerals</w:t>
            </w:r>
          </w:p>
        </w:tc>
        <w:tc>
          <w:tcPr>
            <w:tcW w:w="775" w:type="pct"/>
            <w:tcBorders>
              <w:top w:val="single" w:sz="4" w:space="0" w:color="00274C" w:themeColor="accent1"/>
              <w:left w:val="nil"/>
              <w:bottom w:val="nil"/>
              <w:right w:val="nil"/>
            </w:tcBorders>
            <w:shd w:val="clear" w:color="auto" w:fill="auto"/>
            <w:noWrap/>
            <w:vAlign w:val="center"/>
            <w:hideMark/>
          </w:tcPr>
          <w:p w14:paraId="498FD7DF" w14:textId="34ECBC56" w:rsidR="001F362B" w:rsidRPr="001F362B" w:rsidRDefault="001F362B" w:rsidP="001F362B">
            <w:pPr>
              <w:pStyle w:val="Tabletext"/>
              <w:jc w:val="right"/>
              <w:rPr>
                <w:szCs w:val="20"/>
              </w:rPr>
            </w:pPr>
            <w:r w:rsidRPr="001F362B">
              <w:rPr>
                <w:rFonts w:cs="Calibri"/>
                <w:color w:val="000000"/>
                <w:szCs w:val="20"/>
              </w:rPr>
              <w:t>6,792</w:t>
            </w:r>
          </w:p>
        </w:tc>
        <w:tc>
          <w:tcPr>
            <w:tcW w:w="681" w:type="pct"/>
            <w:tcBorders>
              <w:top w:val="single" w:sz="4" w:space="0" w:color="00274C" w:themeColor="accent1"/>
              <w:left w:val="nil"/>
              <w:bottom w:val="nil"/>
              <w:right w:val="single" w:sz="4" w:space="0" w:color="00274C" w:themeColor="accent1"/>
            </w:tcBorders>
            <w:tcMar>
              <w:left w:w="115" w:type="dxa"/>
              <w:right w:w="288" w:type="dxa"/>
            </w:tcMar>
            <w:vAlign w:val="center"/>
          </w:tcPr>
          <w:p w14:paraId="2CC821BA" w14:textId="36897449" w:rsidR="001F362B" w:rsidRPr="001F362B" w:rsidRDefault="001F362B" w:rsidP="001F362B">
            <w:pPr>
              <w:pStyle w:val="Tabletext"/>
              <w:jc w:val="right"/>
              <w:rPr>
                <w:szCs w:val="20"/>
              </w:rPr>
            </w:pPr>
            <w:r w:rsidRPr="001F362B">
              <w:rPr>
                <w:szCs w:val="20"/>
              </w:rPr>
              <w:t>30</w:t>
            </w:r>
          </w:p>
        </w:tc>
        <w:tc>
          <w:tcPr>
            <w:tcW w:w="775" w:type="pct"/>
            <w:tcBorders>
              <w:top w:val="single" w:sz="4" w:space="0" w:color="00274C" w:themeColor="accent1"/>
              <w:left w:val="single" w:sz="4" w:space="0" w:color="00274C" w:themeColor="accent1"/>
              <w:bottom w:val="nil"/>
              <w:right w:val="nil"/>
            </w:tcBorders>
            <w:tcMar>
              <w:left w:w="115" w:type="dxa"/>
              <w:right w:w="432" w:type="dxa"/>
            </w:tcMar>
            <w:vAlign w:val="center"/>
          </w:tcPr>
          <w:p w14:paraId="412FE167" w14:textId="441494B8" w:rsidR="001F362B" w:rsidRPr="001F362B" w:rsidRDefault="001F362B" w:rsidP="001F362B">
            <w:pPr>
              <w:pStyle w:val="Tabletext"/>
              <w:jc w:val="right"/>
              <w:rPr>
                <w:szCs w:val="20"/>
              </w:rPr>
            </w:pPr>
            <w:r w:rsidRPr="001F362B">
              <w:rPr>
                <w:rFonts w:cs="Calibri"/>
                <w:color w:val="000000"/>
                <w:szCs w:val="20"/>
              </w:rPr>
              <w:t>2.2</w:t>
            </w:r>
          </w:p>
        </w:tc>
        <w:tc>
          <w:tcPr>
            <w:tcW w:w="681" w:type="pct"/>
            <w:tcBorders>
              <w:top w:val="single" w:sz="4" w:space="0" w:color="00274C" w:themeColor="accent1"/>
              <w:left w:val="nil"/>
              <w:bottom w:val="nil"/>
              <w:right w:val="nil"/>
            </w:tcBorders>
            <w:tcMar>
              <w:left w:w="115" w:type="dxa"/>
              <w:right w:w="432" w:type="dxa"/>
            </w:tcMar>
            <w:vAlign w:val="center"/>
          </w:tcPr>
          <w:p w14:paraId="64E70834" w14:textId="3DB78439" w:rsidR="001F362B" w:rsidRPr="001F362B" w:rsidRDefault="001F362B" w:rsidP="001F362B">
            <w:pPr>
              <w:pStyle w:val="Tabletext"/>
              <w:jc w:val="right"/>
              <w:rPr>
                <w:szCs w:val="20"/>
              </w:rPr>
            </w:pPr>
            <w:r w:rsidRPr="001F362B">
              <w:rPr>
                <w:szCs w:val="20"/>
              </w:rPr>
              <w:t>2.0</w:t>
            </w:r>
          </w:p>
        </w:tc>
      </w:tr>
      <w:tr w:rsidR="001F362B" w:rsidRPr="00C729DA" w14:paraId="794169D2" w14:textId="0E32A04A" w:rsidTr="003A1AD0">
        <w:trPr>
          <w:trHeight w:val="290"/>
        </w:trPr>
        <w:tc>
          <w:tcPr>
            <w:tcW w:w="427" w:type="pct"/>
            <w:tcBorders>
              <w:top w:val="nil"/>
              <w:left w:val="nil"/>
              <w:bottom w:val="nil"/>
              <w:right w:val="nil"/>
            </w:tcBorders>
            <w:shd w:val="clear" w:color="auto" w:fill="auto"/>
            <w:noWrap/>
            <w:vAlign w:val="center"/>
            <w:hideMark/>
          </w:tcPr>
          <w:p w14:paraId="34888DD6" w14:textId="77777777" w:rsidR="001F362B" w:rsidRPr="00E01E95" w:rsidRDefault="001F362B" w:rsidP="001F362B">
            <w:pPr>
              <w:pStyle w:val="Tabletext"/>
              <w:keepNext/>
              <w:jc w:val="right"/>
            </w:pPr>
            <w:r w:rsidRPr="00E01E95">
              <w:t>100</w:t>
            </w:r>
          </w:p>
        </w:tc>
        <w:tc>
          <w:tcPr>
            <w:tcW w:w="1661" w:type="pct"/>
            <w:tcBorders>
              <w:top w:val="nil"/>
              <w:left w:val="nil"/>
              <w:bottom w:val="nil"/>
              <w:right w:val="nil"/>
            </w:tcBorders>
            <w:shd w:val="clear" w:color="auto" w:fill="auto"/>
            <w:noWrap/>
            <w:vAlign w:val="center"/>
            <w:hideMark/>
          </w:tcPr>
          <w:p w14:paraId="75B614D8" w14:textId="77777777" w:rsidR="001F362B" w:rsidRPr="00E01E95" w:rsidRDefault="001F362B" w:rsidP="001F362B">
            <w:pPr>
              <w:pStyle w:val="Tabletext"/>
              <w:keepNext/>
            </w:pPr>
            <w:r w:rsidRPr="00E01E95">
              <w:t>1200 Producer Manufacturing</w:t>
            </w:r>
          </w:p>
        </w:tc>
        <w:tc>
          <w:tcPr>
            <w:tcW w:w="775" w:type="pct"/>
            <w:tcBorders>
              <w:top w:val="nil"/>
              <w:left w:val="nil"/>
              <w:bottom w:val="nil"/>
              <w:right w:val="nil"/>
            </w:tcBorders>
            <w:shd w:val="clear" w:color="auto" w:fill="auto"/>
            <w:noWrap/>
            <w:vAlign w:val="center"/>
            <w:hideMark/>
          </w:tcPr>
          <w:p w14:paraId="654A94F5" w14:textId="5BDBB68D" w:rsidR="001F362B" w:rsidRPr="001F362B" w:rsidRDefault="001F362B" w:rsidP="001F362B">
            <w:pPr>
              <w:pStyle w:val="Tabletext"/>
              <w:jc w:val="right"/>
              <w:rPr>
                <w:szCs w:val="20"/>
              </w:rPr>
            </w:pPr>
            <w:r w:rsidRPr="001F362B">
              <w:rPr>
                <w:rFonts w:cs="Calibri"/>
                <w:color w:val="000000"/>
                <w:szCs w:val="20"/>
              </w:rPr>
              <w:t>18,366</w:t>
            </w:r>
          </w:p>
        </w:tc>
        <w:tc>
          <w:tcPr>
            <w:tcW w:w="681" w:type="pct"/>
            <w:tcBorders>
              <w:top w:val="nil"/>
              <w:left w:val="nil"/>
              <w:bottom w:val="nil"/>
              <w:right w:val="single" w:sz="4" w:space="0" w:color="00274C" w:themeColor="accent1"/>
            </w:tcBorders>
            <w:tcMar>
              <w:left w:w="115" w:type="dxa"/>
              <w:right w:w="288" w:type="dxa"/>
            </w:tcMar>
            <w:vAlign w:val="center"/>
          </w:tcPr>
          <w:p w14:paraId="09CECEFF" w14:textId="5381AEA3" w:rsidR="001F362B" w:rsidRPr="001F362B" w:rsidRDefault="001F362B" w:rsidP="001F362B">
            <w:pPr>
              <w:pStyle w:val="Tabletext"/>
              <w:jc w:val="right"/>
              <w:rPr>
                <w:szCs w:val="20"/>
              </w:rPr>
            </w:pPr>
            <w:r w:rsidRPr="001F362B">
              <w:rPr>
                <w:szCs w:val="20"/>
              </w:rPr>
              <w:t>79</w:t>
            </w:r>
          </w:p>
        </w:tc>
        <w:tc>
          <w:tcPr>
            <w:tcW w:w="775" w:type="pct"/>
            <w:tcBorders>
              <w:top w:val="nil"/>
              <w:left w:val="single" w:sz="4" w:space="0" w:color="00274C" w:themeColor="accent1"/>
              <w:bottom w:val="nil"/>
              <w:right w:val="nil"/>
            </w:tcBorders>
            <w:tcMar>
              <w:left w:w="115" w:type="dxa"/>
              <w:right w:w="432" w:type="dxa"/>
            </w:tcMar>
            <w:vAlign w:val="center"/>
          </w:tcPr>
          <w:p w14:paraId="473BF1DA" w14:textId="08E04B8B" w:rsidR="001F362B" w:rsidRPr="001F362B" w:rsidRDefault="001F362B" w:rsidP="001F362B">
            <w:pPr>
              <w:pStyle w:val="Tabletext"/>
              <w:jc w:val="right"/>
              <w:rPr>
                <w:szCs w:val="20"/>
              </w:rPr>
            </w:pPr>
            <w:r w:rsidRPr="001F362B">
              <w:rPr>
                <w:rFonts w:cs="Calibri"/>
                <w:color w:val="000000"/>
                <w:szCs w:val="20"/>
              </w:rPr>
              <w:t>5.9</w:t>
            </w:r>
          </w:p>
        </w:tc>
        <w:tc>
          <w:tcPr>
            <w:tcW w:w="681" w:type="pct"/>
            <w:tcBorders>
              <w:top w:val="nil"/>
              <w:left w:val="nil"/>
              <w:bottom w:val="nil"/>
              <w:right w:val="nil"/>
            </w:tcBorders>
            <w:tcMar>
              <w:left w:w="115" w:type="dxa"/>
              <w:right w:w="432" w:type="dxa"/>
            </w:tcMar>
            <w:vAlign w:val="center"/>
          </w:tcPr>
          <w:p w14:paraId="61BA1029" w14:textId="0B07D305" w:rsidR="001F362B" w:rsidRPr="001F362B" w:rsidRDefault="001F362B" w:rsidP="001F362B">
            <w:pPr>
              <w:pStyle w:val="Tabletext"/>
              <w:jc w:val="right"/>
              <w:rPr>
                <w:szCs w:val="20"/>
              </w:rPr>
            </w:pPr>
            <w:r w:rsidRPr="001F362B">
              <w:rPr>
                <w:szCs w:val="20"/>
              </w:rPr>
              <w:t>5.4</w:t>
            </w:r>
          </w:p>
        </w:tc>
      </w:tr>
      <w:tr w:rsidR="001F362B" w:rsidRPr="00C729DA" w14:paraId="4B45DE24" w14:textId="3A0AD82D" w:rsidTr="003A1AD0">
        <w:trPr>
          <w:trHeight w:val="290"/>
        </w:trPr>
        <w:tc>
          <w:tcPr>
            <w:tcW w:w="427" w:type="pct"/>
            <w:tcBorders>
              <w:top w:val="nil"/>
              <w:left w:val="nil"/>
              <w:bottom w:val="nil"/>
              <w:right w:val="nil"/>
            </w:tcBorders>
            <w:shd w:val="clear" w:color="auto" w:fill="auto"/>
            <w:noWrap/>
            <w:vAlign w:val="center"/>
            <w:hideMark/>
          </w:tcPr>
          <w:p w14:paraId="5D858FEE" w14:textId="77777777" w:rsidR="001F362B" w:rsidRPr="00E01E95" w:rsidRDefault="001F362B" w:rsidP="001F362B">
            <w:pPr>
              <w:pStyle w:val="Tabletext"/>
              <w:keepNext/>
              <w:jc w:val="right"/>
            </w:pPr>
            <w:r w:rsidRPr="00E01E95">
              <w:t>7</w:t>
            </w:r>
          </w:p>
        </w:tc>
        <w:tc>
          <w:tcPr>
            <w:tcW w:w="1661" w:type="pct"/>
            <w:tcBorders>
              <w:top w:val="nil"/>
              <w:left w:val="nil"/>
              <w:bottom w:val="nil"/>
              <w:right w:val="nil"/>
            </w:tcBorders>
            <w:shd w:val="clear" w:color="auto" w:fill="auto"/>
            <w:noWrap/>
            <w:vAlign w:val="center"/>
            <w:hideMark/>
          </w:tcPr>
          <w:p w14:paraId="67EF7400" w14:textId="77777777" w:rsidR="001F362B" w:rsidRPr="00E01E95" w:rsidRDefault="001F362B" w:rsidP="001F362B">
            <w:pPr>
              <w:pStyle w:val="Tabletext"/>
              <w:keepNext/>
            </w:pPr>
            <w:r w:rsidRPr="00E01E95">
              <w:t>1300 Electronic Technology</w:t>
            </w:r>
          </w:p>
        </w:tc>
        <w:tc>
          <w:tcPr>
            <w:tcW w:w="775" w:type="pct"/>
            <w:tcBorders>
              <w:top w:val="nil"/>
              <w:left w:val="nil"/>
              <w:bottom w:val="nil"/>
              <w:right w:val="nil"/>
            </w:tcBorders>
            <w:shd w:val="clear" w:color="auto" w:fill="auto"/>
            <w:noWrap/>
            <w:vAlign w:val="center"/>
            <w:hideMark/>
          </w:tcPr>
          <w:p w14:paraId="68421C55" w14:textId="251E17B9" w:rsidR="001F362B" w:rsidRPr="001F362B" w:rsidRDefault="001F362B" w:rsidP="001F362B">
            <w:pPr>
              <w:pStyle w:val="Tabletext"/>
              <w:jc w:val="right"/>
              <w:rPr>
                <w:szCs w:val="20"/>
              </w:rPr>
            </w:pPr>
            <w:r w:rsidRPr="001F362B">
              <w:rPr>
                <w:rFonts w:cs="Calibri"/>
                <w:color w:val="000000"/>
                <w:szCs w:val="20"/>
              </w:rPr>
              <w:t>30,790</w:t>
            </w:r>
          </w:p>
        </w:tc>
        <w:tc>
          <w:tcPr>
            <w:tcW w:w="681" w:type="pct"/>
            <w:tcBorders>
              <w:top w:val="nil"/>
              <w:left w:val="nil"/>
              <w:bottom w:val="nil"/>
              <w:right w:val="single" w:sz="4" w:space="0" w:color="00274C" w:themeColor="accent1"/>
            </w:tcBorders>
            <w:tcMar>
              <w:left w:w="115" w:type="dxa"/>
              <w:right w:w="288" w:type="dxa"/>
            </w:tcMar>
            <w:vAlign w:val="center"/>
          </w:tcPr>
          <w:p w14:paraId="1FF29C80" w14:textId="201DB740" w:rsidR="001F362B" w:rsidRPr="001F362B" w:rsidRDefault="001F362B" w:rsidP="001F362B">
            <w:pPr>
              <w:pStyle w:val="Tabletext"/>
              <w:jc w:val="right"/>
              <w:rPr>
                <w:szCs w:val="20"/>
              </w:rPr>
            </w:pPr>
            <w:r w:rsidRPr="001F362B">
              <w:rPr>
                <w:szCs w:val="20"/>
              </w:rPr>
              <w:t>144</w:t>
            </w:r>
          </w:p>
        </w:tc>
        <w:tc>
          <w:tcPr>
            <w:tcW w:w="775" w:type="pct"/>
            <w:tcBorders>
              <w:top w:val="nil"/>
              <w:left w:val="single" w:sz="4" w:space="0" w:color="00274C" w:themeColor="accent1"/>
              <w:bottom w:val="nil"/>
              <w:right w:val="nil"/>
            </w:tcBorders>
            <w:tcMar>
              <w:left w:w="115" w:type="dxa"/>
              <w:right w:w="432" w:type="dxa"/>
            </w:tcMar>
            <w:vAlign w:val="center"/>
          </w:tcPr>
          <w:p w14:paraId="4D1403AC" w14:textId="77E66D77" w:rsidR="001F362B" w:rsidRPr="001F362B" w:rsidRDefault="001F362B" w:rsidP="001F362B">
            <w:pPr>
              <w:pStyle w:val="Tabletext"/>
              <w:jc w:val="right"/>
              <w:rPr>
                <w:szCs w:val="20"/>
              </w:rPr>
            </w:pPr>
            <w:r w:rsidRPr="001F362B">
              <w:rPr>
                <w:rFonts w:cs="Calibri"/>
                <w:color w:val="000000"/>
                <w:szCs w:val="20"/>
              </w:rPr>
              <w:t>10.0</w:t>
            </w:r>
          </w:p>
        </w:tc>
        <w:tc>
          <w:tcPr>
            <w:tcW w:w="681" w:type="pct"/>
            <w:tcBorders>
              <w:top w:val="nil"/>
              <w:left w:val="nil"/>
              <w:bottom w:val="nil"/>
              <w:right w:val="nil"/>
            </w:tcBorders>
            <w:tcMar>
              <w:left w:w="115" w:type="dxa"/>
              <w:right w:w="432" w:type="dxa"/>
            </w:tcMar>
            <w:vAlign w:val="center"/>
          </w:tcPr>
          <w:p w14:paraId="13DDC8B6" w14:textId="4B153FA0" w:rsidR="001F362B" w:rsidRPr="001F362B" w:rsidRDefault="001F362B" w:rsidP="001F362B">
            <w:pPr>
              <w:pStyle w:val="Tabletext"/>
              <w:jc w:val="right"/>
              <w:rPr>
                <w:szCs w:val="20"/>
              </w:rPr>
            </w:pPr>
            <w:r w:rsidRPr="001F362B">
              <w:rPr>
                <w:szCs w:val="20"/>
              </w:rPr>
              <w:t>9.8</w:t>
            </w:r>
          </w:p>
        </w:tc>
      </w:tr>
      <w:tr w:rsidR="001F362B" w:rsidRPr="00C729DA" w14:paraId="1294381F" w14:textId="3E699ED2" w:rsidTr="003A1AD0">
        <w:trPr>
          <w:trHeight w:val="290"/>
        </w:trPr>
        <w:tc>
          <w:tcPr>
            <w:tcW w:w="427" w:type="pct"/>
            <w:tcBorders>
              <w:top w:val="nil"/>
              <w:left w:val="nil"/>
              <w:bottom w:val="nil"/>
              <w:right w:val="nil"/>
            </w:tcBorders>
            <w:shd w:val="clear" w:color="auto" w:fill="auto"/>
            <w:noWrap/>
            <w:vAlign w:val="center"/>
            <w:hideMark/>
          </w:tcPr>
          <w:p w14:paraId="5267EF2E" w14:textId="77777777" w:rsidR="001F362B" w:rsidRPr="00E01E95" w:rsidRDefault="001F362B" w:rsidP="001F362B">
            <w:pPr>
              <w:pStyle w:val="Tabletext"/>
              <w:keepNext/>
              <w:jc w:val="right"/>
            </w:pPr>
            <w:r w:rsidRPr="00E01E95">
              <w:t>11</w:t>
            </w:r>
          </w:p>
        </w:tc>
        <w:tc>
          <w:tcPr>
            <w:tcW w:w="1661" w:type="pct"/>
            <w:tcBorders>
              <w:top w:val="nil"/>
              <w:left w:val="nil"/>
              <w:bottom w:val="nil"/>
              <w:right w:val="nil"/>
            </w:tcBorders>
            <w:shd w:val="clear" w:color="auto" w:fill="auto"/>
            <w:noWrap/>
            <w:vAlign w:val="center"/>
            <w:hideMark/>
          </w:tcPr>
          <w:p w14:paraId="784FAB52" w14:textId="77777777" w:rsidR="001F362B" w:rsidRPr="00E01E95" w:rsidRDefault="001F362B" w:rsidP="001F362B">
            <w:pPr>
              <w:pStyle w:val="Tabletext"/>
              <w:keepNext/>
            </w:pPr>
            <w:r w:rsidRPr="00E01E95">
              <w:t>1400 Consumer Durables</w:t>
            </w:r>
          </w:p>
        </w:tc>
        <w:tc>
          <w:tcPr>
            <w:tcW w:w="775" w:type="pct"/>
            <w:tcBorders>
              <w:top w:val="nil"/>
              <w:left w:val="nil"/>
              <w:bottom w:val="nil"/>
              <w:right w:val="nil"/>
            </w:tcBorders>
            <w:shd w:val="clear" w:color="auto" w:fill="auto"/>
            <w:noWrap/>
            <w:vAlign w:val="center"/>
            <w:hideMark/>
          </w:tcPr>
          <w:p w14:paraId="236C7369" w14:textId="7E650BA3" w:rsidR="001F362B" w:rsidRPr="001F362B" w:rsidRDefault="001F362B" w:rsidP="001F362B">
            <w:pPr>
              <w:pStyle w:val="Tabletext"/>
              <w:jc w:val="right"/>
              <w:rPr>
                <w:szCs w:val="20"/>
              </w:rPr>
            </w:pPr>
            <w:r w:rsidRPr="001F362B">
              <w:rPr>
                <w:rFonts w:cs="Calibri"/>
                <w:color w:val="000000"/>
                <w:szCs w:val="20"/>
              </w:rPr>
              <w:t>10,305</w:t>
            </w:r>
          </w:p>
        </w:tc>
        <w:tc>
          <w:tcPr>
            <w:tcW w:w="681" w:type="pct"/>
            <w:tcBorders>
              <w:top w:val="nil"/>
              <w:left w:val="nil"/>
              <w:bottom w:val="nil"/>
              <w:right w:val="single" w:sz="4" w:space="0" w:color="00274C" w:themeColor="accent1"/>
            </w:tcBorders>
            <w:tcMar>
              <w:left w:w="115" w:type="dxa"/>
              <w:right w:w="288" w:type="dxa"/>
            </w:tcMar>
            <w:vAlign w:val="center"/>
          </w:tcPr>
          <w:p w14:paraId="4B4AD9A9" w14:textId="76C92765" w:rsidR="001F362B" w:rsidRPr="001F362B" w:rsidRDefault="001F362B" w:rsidP="001F362B">
            <w:pPr>
              <w:pStyle w:val="Tabletext"/>
              <w:jc w:val="right"/>
              <w:rPr>
                <w:szCs w:val="20"/>
              </w:rPr>
            </w:pPr>
            <w:r w:rsidRPr="001F362B">
              <w:rPr>
                <w:szCs w:val="20"/>
              </w:rPr>
              <w:t>42</w:t>
            </w:r>
          </w:p>
        </w:tc>
        <w:tc>
          <w:tcPr>
            <w:tcW w:w="775" w:type="pct"/>
            <w:tcBorders>
              <w:top w:val="nil"/>
              <w:left w:val="single" w:sz="4" w:space="0" w:color="00274C" w:themeColor="accent1"/>
              <w:bottom w:val="nil"/>
              <w:right w:val="nil"/>
            </w:tcBorders>
            <w:tcMar>
              <w:left w:w="115" w:type="dxa"/>
              <w:right w:w="432" w:type="dxa"/>
            </w:tcMar>
            <w:vAlign w:val="center"/>
          </w:tcPr>
          <w:p w14:paraId="74FEBAAC" w14:textId="1F789CE2" w:rsidR="001F362B" w:rsidRPr="001F362B" w:rsidRDefault="001F362B" w:rsidP="001F362B">
            <w:pPr>
              <w:pStyle w:val="Tabletext"/>
              <w:jc w:val="right"/>
              <w:rPr>
                <w:szCs w:val="20"/>
              </w:rPr>
            </w:pPr>
            <w:r w:rsidRPr="001F362B">
              <w:rPr>
                <w:rFonts w:cs="Calibri"/>
                <w:color w:val="000000"/>
                <w:szCs w:val="20"/>
              </w:rPr>
              <w:t>3.3</w:t>
            </w:r>
          </w:p>
        </w:tc>
        <w:tc>
          <w:tcPr>
            <w:tcW w:w="681" w:type="pct"/>
            <w:tcBorders>
              <w:top w:val="nil"/>
              <w:left w:val="nil"/>
              <w:bottom w:val="nil"/>
              <w:right w:val="nil"/>
            </w:tcBorders>
            <w:tcMar>
              <w:left w:w="115" w:type="dxa"/>
              <w:right w:w="432" w:type="dxa"/>
            </w:tcMar>
            <w:vAlign w:val="center"/>
          </w:tcPr>
          <w:p w14:paraId="6B4C5743" w14:textId="12977919" w:rsidR="001F362B" w:rsidRPr="001F362B" w:rsidRDefault="001F362B" w:rsidP="001F362B">
            <w:pPr>
              <w:pStyle w:val="Tabletext"/>
              <w:jc w:val="right"/>
              <w:rPr>
                <w:szCs w:val="20"/>
              </w:rPr>
            </w:pPr>
            <w:r w:rsidRPr="001F362B">
              <w:rPr>
                <w:szCs w:val="20"/>
              </w:rPr>
              <w:t>2.9</w:t>
            </w:r>
          </w:p>
        </w:tc>
      </w:tr>
      <w:tr w:rsidR="001F362B" w:rsidRPr="00C729DA" w14:paraId="7D3FB2E2" w14:textId="6ABC8C10" w:rsidTr="003A1AD0">
        <w:trPr>
          <w:trHeight w:val="290"/>
        </w:trPr>
        <w:tc>
          <w:tcPr>
            <w:tcW w:w="427" w:type="pct"/>
            <w:tcBorders>
              <w:top w:val="nil"/>
              <w:left w:val="nil"/>
              <w:bottom w:val="nil"/>
              <w:right w:val="nil"/>
            </w:tcBorders>
            <w:shd w:val="clear" w:color="auto" w:fill="auto"/>
            <w:noWrap/>
            <w:vAlign w:val="center"/>
            <w:hideMark/>
          </w:tcPr>
          <w:p w14:paraId="5B39C0D9" w14:textId="77777777" w:rsidR="001F362B" w:rsidRPr="00E01E95" w:rsidRDefault="001F362B" w:rsidP="001F362B">
            <w:pPr>
              <w:pStyle w:val="Tabletext"/>
              <w:keepNext/>
              <w:jc w:val="right"/>
            </w:pPr>
            <w:r w:rsidRPr="00E01E95">
              <w:t>2</w:t>
            </w:r>
          </w:p>
        </w:tc>
        <w:tc>
          <w:tcPr>
            <w:tcW w:w="1661" w:type="pct"/>
            <w:tcBorders>
              <w:top w:val="nil"/>
              <w:left w:val="nil"/>
              <w:bottom w:val="nil"/>
              <w:right w:val="nil"/>
            </w:tcBorders>
            <w:shd w:val="clear" w:color="auto" w:fill="auto"/>
            <w:noWrap/>
            <w:vAlign w:val="center"/>
            <w:hideMark/>
          </w:tcPr>
          <w:p w14:paraId="51A81887" w14:textId="77777777" w:rsidR="001F362B" w:rsidRPr="00E01E95" w:rsidRDefault="001F362B" w:rsidP="001F362B">
            <w:pPr>
              <w:pStyle w:val="Tabletext"/>
              <w:keepNext/>
            </w:pPr>
            <w:r w:rsidRPr="00E01E95">
              <w:t>2100 Energy Minerals</w:t>
            </w:r>
          </w:p>
        </w:tc>
        <w:tc>
          <w:tcPr>
            <w:tcW w:w="775" w:type="pct"/>
            <w:tcBorders>
              <w:top w:val="nil"/>
              <w:left w:val="nil"/>
              <w:bottom w:val="nil"/>
              <w:right w:val="nil"/>
            </w:tcBorders>
            <w:shd w:val="clear" w:color="auto" w:fill="auto"/>
            <w:noWrap/>
            <w:vAlign w:val="center"/>
            <w:hideMark/>
          </w:tcPr>
          <w:p w14:paraId="38C1C8C3" w14:textId="12608AB9" w:rsidR="001F362B" w:rsidRPr="001F362B" w:rsidRDefault="001F362B" w:rsidP="001F362B">
            <w:pPr>
              <w:pStyle w:val="Tabletext"/>
              <w:jc w:val="right"/>
              <w:rPr>
                <w:szCs w:val="20"/>
              </w:rPr>
            </w:pPr>
            <w:r w:rsidRPr="001F362B">
              <w:rPr>
                <w:rFonts w:cs="Calibri"/>
                <w:color w:val="000000"/>
                <w:szCs w:val="20"/>
              </w:rPr>
              <w:t>11,371</w:t>
            </w:r>
          </w:p>
        </w:tc>
        <w:tc>
          <w:tcPr>
            <w:tcW w:w="681" w:type="pct"/>
            <w:tcBorders>
              <w:top w:val="nil"/>
              <w:left w:val="nil"/>
              <w:bottom w:val="nil"/>
              <w:right w:val="single" w:sz="4" w:space="0" w:color="00274C" w:themeColor="accent1"/>
            </w:tcBorders>
            <w:tcMar>
              <w:left w:w="115" w:type="dxa"/>
              <w:right w:w="288" w:type="dxa"/>
            </w:tcMar>
            <w:vAlign w:val="center"/>
          </w:tcPr>
          <w:p w14:paraId="690BCFEF" w14:textId="00D1F47F" w:rsidR="001F362B" w:rsidRPr="001F362B" w:rsidRDefault="001F362B" w:rsidP="001F362B">
            <w:pPr>
              <w:pStyle w:val="Tabletext"/>
              <w:jc w:val="right"/>
              <w:rPr>
                <w:szCs w:val="20"/>
              </w:rPr>
            </w:pPr>
            <w:r w:rsidRPr="001F362B">
              <w:rPr>
                <w:szCs w:val="20"/>
              </w:rPr>
              <w:t>57</w:t>
            </w:r>
          </w:p>
        </w:tc>
        <w:tc>
          <w:tcPr>
            <w:tcW w:w="775" w:type="pct"/>
            <w:tcBorders>
              <w:top w:val="nil"/>
              <w:left w:val="single" w:sz="4" w:space="0" w:color="00274C" w:themeColor="accent1"/>
              <w:bottom w:val="nil"/>
              <w:right w:val="nil"/>
            </w:tcBorders>
            <w:tcMar>
              <w:left w:w="115" w:type="dxa"/>
              <w:right w:w="432" w:type="dxa"/>
            </w:tcMar>
            <w:vAlign w:val="center"/>
          </w:tcPr>
          <w:p w14:paraId="5E564336" w14:textId="0AAB7A58" w:rsidR="001F362B" w:rsidRPr="001F362B" w:rsidRDefault="001F362B" w:rsidP="001F362B">
            <w:pPr>
              <w:pStyle w:val="Tabletext"/>
              <w:jc w:val="right"/>
              <w:rPr>
                <w:szCs w:val="20"/>
              </w:rPr>
            </w:pPr>
            <w:r w:rsidRPr="001F362B">
              <w:rPr>
                <w:rFonts w:cs="Calibri"/>
                <w:color w:val="000000"/>
                <w:szCs w:val="20"/>
              </w:rPr>
              <w:t>3.7</w:t>
            </w:r>
          </w:p>
        </w:tc>
        <w:tc>
          <w:tcPr>
            <w:tcW w:w="681" w:type="pct"/>
            <w:tcBorders>
              <w:top w:val="nil"/>
              <w:left w:val="nil"/>
              <w:bottom w:val="nil"/>
              <w:right w:val="nil"/>
            </w:tcBorders>
            <w:tcMar>
              <w:left w:w="115" w:type="dxa"/>
              <w:right w:w="432" w:type="dxa"/>
            </w:tcMar>
            <w:vAlign w:val="center"/>
          </w:tcPr>
          <w:p w14:paraId="2E5D630F" w14:textId="13A6FD81" w:rsidR="001F362B" w:rsidRPr="001F362B" w:rsidRDefault="001F362B" w:rsidP="001F362B">
            <w:pPr>
              <w:pStyle w:val="Tabletext"/>
              <w:jc w:val="right"/>
              <w:rPr>
                <w:szCs w:val="20"/>
              </w:rPr>
            </w:pPr>
            <w:r w:rsidRPr="001F362B">
              <w:rPr>
                <w:szCs w:val="20"/>
              </w:rPr>
              <w:t>3.9</w:t>
            </w:r>
          </w:p>
        </w:tc>
      </w:tr>
      <w:tr w:rsidR="001F362B" w:rsidRPr="00C729DA" w14:paraId="2D6D0E29" w14:textId="4FADF444" w:rsidTr="003A1AD0">
        <w:trPr>
          <w:trHeight w:val="290"/>
        </w:trPr>
        <w:tc>
          <w:tcPr>
            <w:tcW w:w="427" w:type="pct"/>
            <w:tcBorders>
              <w:top w:val="nil"/>
              <w:left w:val="nil"/>
              <w:bottom w:val="nil"/>
              <w:right w:val="nil"/>
            </w:tcBorders>
            <w:shd w:val="clear" w:color="auto" w:fill="auto"/>
            <w:noWrap/>
            <w:vAlign w:val="center"/>
            <w:hideMark/>
          </w:tcPr>
          <w:p w14:paraId="0FBE8456" w14:textId="77777777" w:rsidR="001F362B" w:rsidRPr="00E01E95" w:rsidRDefault="001F362B" w:rsidP="001F362B">
            <w:pPr>
              <w:pStyle w:val="Tabletext"/>
              <w:keepNext/>
              <w:jc w:val="right"/>
            </w:pPr>
            <w:r w:rsidRPr="00E01E95">
              <w:t>14</w:t>
            </w:r>
          </w:p>
        </w:tc>
        <w:tc>
          <w:tcPr>
            <w:tcW w:w="1661" w:type="pct"/>
            <w:tcBorders>
              <w:top w:val="nil"/>
              <w:left w:val="nil"/>
              <w:bottom w:val="nil"/>
              <w:right w:val="nil"/>
            </w:tcBorders>
            <w:shd w:val="clear" w:color="auto" w:fill="auto"/>
            <w:noWrap/>
            <w:vAlign w:val="center"/>
            <w:hideMark/>
          </w:tcPr>
          <w:p w14:paraId="1AE79104" w14:textId="77777777" w:rsidR="001F362B" w:rsidRPr="00E01E95" w:rsidRDefault="001F362B" w:rsidP="001F362B">
            <w:pPr>
              <w:pStyle w:val="Tabletext"/>
              <w:keepNext/>
            </w:pPr>
            <w:r w:rsidRPr="00E01E95">
              <w:t>2200 Process Industries</w:t>
            </w:r>
          </w:p>
        </w:tc>
        <w:tc>
          <w:tcPr>
            <w:tcW w:w="775" w:type="pct"/>
            <w:tcBorders>
              <w:top w:val="nil"/>
              <w:left w:val="nil"/>
              <w:bottom w:val="nil"/>
              <w:right w:val="nil"/>
            </w:tcBorders>
            <w:shd w:val="clear" w:color="auto" w:fill="auto"/>
            <w:noWrap/>
            <w:vAlign w:val="center"/>
            <w:hideMark/>
          </w:tcPr>
          <w:p w14:paraId="40B2FBA7" w14:textId="24332E3D" w:rsidR="001F362B" w:rsidRPr="001F362B" w:rsidRDefault="001F362B" w:rsidP="001F362B">
            <w:pPr>
              <w:pStyle w:val="Tabletext"/>
              <w:jc w:val="right"/>
              <w:rPr>
                <w:szCs w:val="20"/>
              </w:rPr>
            </w:pPr>
            <w:r w:rsidRPr="001F362B">
              <w:rPr>
                <w:rFonts w:cs="Calibri"/>
                <w:color w:val="000000"/>
                <w:szCs w:val="20"/>
              </w:rPr>
              <w:t>12,831</w:t>
            </w:r>
          </w:p>
        </w:tc>
        <w:tc>
          <w:tcPr>
            <w:tcW w:w="681" w:type="pct"/>
            <w:tcBorders>
              <w:top w:val="nil"/>
              <w:left w:val="nil"/>
              <w:bottom w:val="nil"/>
              <w:right w:val="single" w:sz="4" w:space="0" w:color="00274C" w:themeColor="accent1"/>
            </w:tcBorders>
            <w:tcMar>
              <w:left w:w="115" w:type="dxa"/>
              <w:right w:w="288" w:type="dxa"/>
            </w:tcMar>
            <w:vAlign w:val="center"/>
          </w:tcPr>
          <w:p w14:paraId="5A397CA2" w14:textId="5CA384A1" w:rsidR="001F362B" w:rsidRPr="001F362B" w:rsidRDefault="001F362B" w:rsidP="001F362B">
            <w:pPr>
              <w:pStyle w:val="Tabletext"/>
              <w:jc w:val="right"/>
              <w:rPr>
                <w:szCs w:val="20"/>
              </w:rPr>
            </w:pPr>
            <w:r w:rsidRPr="001F362B">
              <w:rPr>
                <w:szCs w:val="20"/>
              </w:rPr>
              <w:t>62</w:t>
            </w:r>
          </w:p>
        </w:tc>
        <w:tc>
          <w:tcPr>
            <w:tcW w:w="775" w:type="pct"/>
            <w:tcBorders>
              <w:top w:val="nil"/>
              <w:left w:val="single" w:sz="4" w:space="0" w:color="00274C" w:themeColor="accent1"/>
              <w:bottom w:val="nil"/>
              <w:right w:val="nil"/>
            </w:tcBorders>
            <w:tcMar>
              <w:left w:w="115" w:type="dxa"/>
              <w:right w:w="432" w:type="dxa"/>
            </w:tcMar>
            <w:vAlign w:val="center"/>
          </w:tcPr>
          <w:p w14:paraId="5F80A8EC" w14:textId="4C8A1576" w:rsidR="001F362B" w:rsidRPr="001F362B" w:rsidRDefault="001F362B" w:rsidP="001F362B">
            <w:pPr>
              <w:pStyle w:val="Tabletext"/>
              <w:jc w:val="right"/>
              <w:rPr>
                <w:szCs w:val="20"/>
              </w:rPr>
            </w:pPr>
            <w:r w:rsidRPr="001F362B">
              <w:rPr>
                <w:rFonts w:cs="Calibri"/>
                <w:color w:val="000000"/>
                <w:szCs w:val="20"/>
              </w:rPr>
              <w:t>4.1</w:t>
            </w:r>
          </w:p>
        </w:tc>
        <w:tc>
          <w:tcPr>
            <w:tcW w:w="681" w:type="pct"/>
            <w:tcBorders>
              <w:top w:val="nil"/>
              <w:left w:val="nil"/>
              <w:bottom w:val="nil"/>
              <w:right w:val="nil"/>
            </w:tcBorders>
            <w:tcMar>
              <w:left w:w="115" w:type="dxa"/>
              <w:right w:w="432" w:type="dxa"/>
            </w:tcMar>
            <w:vAlign w:val="center"/>
          </w:tcPr>
          <w:p w14:paraId="65DD45DE" w14:textId="34AF3BCA" w:rsidR="001F362B" w:rsidRPr="001F362B" w:rsidRDefault="001F362B" w:rsidP="001F362B">
            <w:pPr>
              <w:pStyle w:val="Tabletext"/>
              <w:jc w:val="right"/>
              <w:rPr>
                <w:szCs w:val="20"/>
              </w:rPr>
            </w:pPr>
            <w:r w:rsidRPr="001F362B">
              <w:rPr>
                <w:szCs w:val="20"/>
              </w:rPr>
              <w:t>4.2</w:t>
            </w:r>
          </w:p>
        </w:tc>
      </w:tr>
      <w:tr w:rsidR="001F362B" w:rsidRPr="00C729DA" w14:paraId="018C2131" w14:textId="74CE3135" w:rsidTr="003A1AD0">
        <w:trPr>
          <w:trHeight w:val="290"/>
        </w:trPr>
        <w:tc>
          <w:tcPr>
            <w:tcW w:w="427" w:type="pct"/>
            <w:tcBorders>
              <w:top w:val="nil"/>
              <w:left w:val="nil"/>
              <w:bottom w:val="nil"/>
              <w:right w:val="nil"/>
            </w:tcBorders>
            <w:shd w:val="clear" w:color="auto" w:fill="auto"/>
            <w:noWrap/>
            <w:vAlign w:val="center"/>
            <w:hideMark/>
          </w:tcPr>
          <w:p w14:paraId="4BC5023A" w14:textId="77777777" w:rsidR="001F362B" w:rsidRPr="00E01E95" w:rsidRDefault="001F362B" w:rsidP="001F362B">
            <w:pPr>
              <w:pStyle w:val="Tabletext"/>
              <w:keepNext/>
              <w:jc w:val="right"/>
            </w:pPr>
            <w:r w:rsidRPr="00E01E95">
              <w:t>15</w:t>
            </w:r>
          </w:p>
        </w:tc>
        <w:tc>
          <w:tcPr>
            <w:tcW w:w="1661" w:type="pct"/>
            <w:tcBorders>
              <w:top w:val="nil"/>
              <w:left w:val="nil"/>
              <w:bottom w:val="nil"/>
              <w:right w:val="nil"/>
            </w:tcBorders>
            <w:shd w:val="clear" w:color="auto" w:fill="auto"/>
            <w:noWrap/>
            <w:vAlign w:val="center"/>
            <w:hideMark/>
          </w:tcPr>
          <w:p w14:paraId="5FF341E9" w14:textId="77777777" w:rsidR="001F362B" w:rsidRPr="00E01E95" w:rsidRDefault="001F362B" w:rsidP="001F362B">
            <w:pPr>
              <w:pStyle w:val="Tabletext"/>
              <w:keepNext/>
            </w:pPr>
            <w:r w:rsidRPr="00E01E95">
              <w:t>2300 Health Technology</w:t>
            </w:r>
          </w:p>
        </w:tc>
        <w:tc>
          <w:tcPr>
            <w:tcW w:w="775" w:type="pct"/>
            <w:tcBorders>
              <w:top w:val="nil"/>
              <w:left w:val="nil"/>
              <w:bottom w:val="nil"/>
              <w:right w:val="nil"/>
            </w:tcBorders>
            <w:shd w:val="clear" w:color="auto" w:fill="auto"/>
            <w:noWrap/>
            <w:vAlign w:val="center"/>
            <w:hideMark/>
          </w:tcPr>
          <w:p w14:paraId="1234757E" w14:textId="3845CAD3" w:rsidR="001F362B" w:rsidRPr="001F362B" w:rsidRDefault="001F362B" w:rsidP="001F362B">
            <w:pPr>
              <w:pStyle w:val="Tabletext"/>
              <w:jc w:val="right"/>
              <w:rPr>
                <w:szCs w:val="20"/>
              </w:rPr>
            </w:pPr>
            <w:r w:rsidRPr="001F362B">
              <w:rPr>
                <w:rFonts w:cs="Calibri"/>
                <w:color w:val="000000"/>
                <w:szCs w:val="20"/>
              </w:rPr>
              <w:t>23,382</w:t>
            </w:r>
          </w:p>
        </w:tc>
        <w:tc>
          <w:tcPr>
            <w:tcW w:w="681" w:type="pct"/>
            <w:tcBorders>
              <w:top w:val="nil"/>
              <w:left w:val="nil"/>
              <w:bottom w:val="nil"/>
              <w:right w:val="single" w:sz="4" w:space="0" w:color="00274C" w:themeColor="accent1"/>
            </w:tcBorders>
            <w:tcMar>
              <w:left w:w="115" w:type="dxa"/>
              <w:right w:w="288" w:type="dxa"/>
            </w:tcMar>
            <w:vAlign w:val="center"/>
          </w:tcPr>
          <w:p w14:paraId="475A053B" w14:textId="69815FC9" w:rsidR="001F362B" w:rsidRPr="001F362B" w:rsidRDefault="001F362B" w:rsidP="001F362B">
            <w:pPr>
              <w:pStyle w:val="Tabletext"/>
              <w:jc w:val="right"/>
              <w:rPr>
                <w:szCs w:val="20"/>
              </w:rPr>
            </w:pPr>
            <w:r w:rsidRPr="001F362B">
              <w:rPr>
                <w:szCs w:val="20"/>
              </w:rPr>
              <w:t>110</w:t>
            </w:r>
          </w:p>
        </w:tc>
        <w:tc>
          <w:tcPr>
            <w:tcW w:w="775" w:type="pct"/>
            <w:tcBorders>
              <w:top w:val="nil"/>
              <w:left w:val="single" w:sz="4" w:space="0" w:color="00274C" w:themeColor="accent1"/>
              <w:bottom w:val="nil"/>
              <w:right w:val="nil"/>
            </w:tcBorders>
            <w:tcMar>
              <w:left w:w="115" w:type="dxa"/>
              <w:right w:w="432" w:type="dxa"/>
            </w:tcMar>
            <w:vAlign w:val="center"/>
          </w:tcPr>
          <w:p w14:paraId="2542BD1C" w14:textId="355D33C4" w:rsidR="001F362B" w:rsidRPr="001F362B" w:rsidRDefault="001F362B" w:rsidP="001F362B">
            <w:pPr>
              <w:pStyle w:val="Tabletext"/>
              <w:jc w:val="right"/>
              <w:rPr>
                <w:szCs w:val="20"/>
              </w:rPr>
            </w:pPr>
            <w:r w:rsidRPr="001F362B">
              <w:rPr>
                <w:rFonts w:cs="Calibri"/>
                <w:color w:val="000000"/>
                <w:szCs w:val="20"/>
              </w:rPr>
              <w:t>7.6</w:t>
            </w:r>
          </w:p>
        </w:tc>
        <w:tc>
          <w:tcPr>
            <w:tcW w:w="681" w:type="pct"/>
            <w:tcBorders>
              <w:top w:val="nil"/>
              <w:left w:val="nil"/>
              <w:bottom w:val="nil"/>
              <w:right w:val="nil"/>
            </w:tcBorders>
            <w:tcMar>
              <w:left w:w="115" w:type="dxa"/>
              <w:right w:w="432" w:type="dxa"/>
            </w:tcMar>
            <w:vAlign w:val="center"/>
          </w:tcPr>
          <w:p w14:paraId="0C5DA295" w14:textId="21B1B00E" w:rsidR="001F362B" w:rsidRPr="001F362B" w:rsidRDefault="001F362B" w:rsidP="001F362B">
            <w:pPr>
              <w:pStyle w:val="Tabletext"/>
              <w:jc w:val="right"/>
              <w:rPr>
                <w:szCs w:val="20"/>
              </w:rPr>
            </w:pPr>
            <w:r w:rsidRPr="001F362B">
              <w:rPr>
                <w:szCs w:val="20"/>
              </w:rPr>
              <w:t>7.5</w:t>
            </w:r>
          </w:p>
        </w:tc>
      </w:tr>
      <w:tr w:rsidR="001F362B" w:rsidRPr="00C729DA" w14:paraId="721E98C6" w14:textId="7F32E593" w:rsidTr="003A1AD0">
        <w:trPr>
          <w:trHeight w:val="290"/>
        </w:trPr>
        <w:tc>
          <w:tcPr>
            <w:tcW w:w="427" w:type="pct"/>
            <w:tcBorders>
              <w:top w:val="nil"/>
              <w:left w:val="nil"/>
              <w:bottom w:val="nil"/>
              <w:right w:val="nil"/>
            </w:tcBorders>
            <w:shd w:val="clear" w:color="auto" w:fill="auto"/>
            <w:noWrap/>
            <w:vAlign w:val="center"/>
            <w:hideMark/>
          </w:tcPr>
          <w:p w14:paraId="77E2140A" w14:textId="77777777" w:rsidR="001F362B" w:rsidRPr="00E01E95" w:rsidRDefault="001F362B" w:rsidP="001F362B">
            <w:pPr>
              <w:pStyle w:val="Tabletext"/>
              <w:keepNext/>
              <w:jc w:val="right"/>
            </w:pPr>
            <w:r w:rsidRPr="00E01E95">
              <w:t>100</w:t>
            </w:r>
          </w:p>
        </w:tc>
        <w:tc>
          <w:tcPr>
            <w:tcW w:w="1661" w:type="pct"/>
            <w:tcBorders>
              <w:top w:val="nil"/>
              <w:left w:val="nil"/>
              <w:bottom w:val="nil"/>
              <w:right w:val="nil"/>
            </w:tcBorders>
            <w:shd w:val="clear" w:color="auto" w:fill="auto"/>
            <w:noWrap/>
            <w:vAlign w:val="center"/>
            <w:hideMark/>
          </w:tcPr>
          <w:p w14:paraId="3727A92A" w14:textId="77777777" w:rsidR="001F362B" w:rsidRPr="00E01E95" w:rsidRDefault="001F362B" w:rsidP="001F362B">
            <w:pPr>
              <w:pStyle w:val="Tabletext"/>
              <w:keepNext/>
            </w:pPr>
            <w:r w:rsidRPr="00E01E95">
              <w:t>2400 Consumer Non-Durables</w:t>
            </w:r>
          </w:p>
        </w:tc>
        <w:tc>
          <w:tcPr>
            <w:tcW w:w="775" w:type="pct"/>
            <w:tcBorders>
              <w:top w:val="nil"/>
              <w:left w:val="nil"/>
              <w:bottom w:val="nil"/>
              <w:right w:val="nil"/>
            </w:tcBorders>
            <w:shd w:val="clear" w:color="auto" w:fill="auto"/>
            <w:noWrap/>
            <w:vAlign w:val="center"/>
            <w:hideMark/>
          </w:tcPr>
          <w:p w14:paraId="07917412" w14:textId="7FD0FC42" w:rsidR="001F362B" w:rsidRPr="001F362B" w:rsidRDefault="001F362B" w:rsidP="001F362B">
            <w:pPr>
              <w:pStyle w:val="Tabletext"/>
              <w:jc w:val="right"/>
              <w:rPr>
                <w:szCs w:val="20"/>
              </w:rPr>
            </w:pPr>
            <w:r w:rsidRPr="001F362B">
              <w:rPr>
                <w:rFonts w:cs="Calibri"/>
                <w:color w:val="000000"/>
                <w:szCs w:val="20"/>
              </w:rPr>
              <w:t>13,664</w:t>
            </w:r>
          </w:p>
        </w:tc>
        <w:tc>
          <w:tcPr>
            <w:tcW w:w="681" w:type="pct"/>
            <w:tcBorders>
              <w:top w:val="nil"/>
              <w:left w:val="nil"/>
              <w:bottom w:val="nil"/>
              <w:right w:val="single" w:sz="4" w:space="0" w:color="00274C" w:themeColor="accent1"/>
            </w:tcBorders>
            <w:tcMar>
              <w:left w:w="115" w:type="dxa"/>
              <w:right w:w="288" w:type="dxa"/>
            </w:tcMar>
            <w:vAlign w:val="center"/>
          </w:tcPr>
          <w:p w14:paraId="5F221A2C" w14:textId="17899EFD" w:rsidR="001F362B" w:rsidRPr="001F362B" w:rsidRDefault="001F362B" w:rsidP="001F362B">
            <w:pPr>
              <w:pStyle w:val="Tabletext"/>
              <w:jc w:val="right"/>
              <w:rPr>
                <w:szCs w:val="20"/>
              </w:rPr>
            </w:pPr>
            <w:r w:rsidRPr="001F362B">
              <w:rPr>
                <w:szCs w:val="20"/>
              </w:rPr>
              <w:t>65</w:t>
            </w:r>
          </w:p>
        </w:tc>
        <w:tc>
          <w:tcPr>
            <w:tcW w:w="775" w:type="pct"/>
            <w:tcBorders>
              <w:top w:val="nil"/>
              <w:left w:val="single" w:sz="4" w:space="0" w:color="00274C" w:themeColor="accent1"/>
              <w:bottom w:val="nil"/>
              <w:right w:val="nil"/>
            </w:tcBorders>
            <w:tcMar>
              <w:left w:w="115" w:type="dxa"/>
              <w:right w:w="432" w:type="dxa"/>
            </w:tcMar>
            <w:vAlign w:val="center"/>
          </w:tcPr>
          <w:p w14:paraId="5E9E2220" w14:textId="00D46A7B" w:rsidR="001F362B" w:rsidRPr="001F362B" w:rsidRDefault="001F362B" w:rsidP="001F362B">
            <w:pPr>
              <w:pStyle w:val="Tabletext"/>
              <w:jc w:val="right"/>
              <w:rPr>
                <w:szCs w:val="20"/>
              </w:rPr>
            </w:pPr>
            <w:r w:rsidRPr="001F362B">
              <w:rPr>
                <w:rFonts w:cs="Calibri"/>
                <w:color w:val="000000"/>
                <w:szCs w:val="20"/>
              </w:rPr>
              <w:t>4.4</w:t>
            </w:r>
          </w:p>
        </w:tc>
        <w:tc>
          <w:tcPr>
            <w:tcW w:w="681" w:type="pct"/>
            <w:tcBorders>
              <w:top w:val="nil"/>
              <w:left w:val="nil"/>
              <w:bottom w:val="nil"/>
              <w:right w:val="nil"/>
            </w:tcBorders>
            <w:tcMar>
              <w:left w:w="115" w:type="dxa"/>
              <w:right w:w="432" w:type="dxa"/>
            </w:tcMar>
            <w:vAlign w:val="center"/>
          </w:tcPr>
          <w:p w14:paraId="73900ADA" w14:textId="158E2E5E" w:rsidR="001F362B" w:rsidRPr="001F362B" w:rsidRDefault="001F362B" w:rsidP="001F362B">
            <w:pPr>
              <w:pStyle w:val="Tabletext"/>
              <w:jc w:val="right"/>
              <w:rPr>
                <w:szCs w:val="20"/>
              </w:rPr>
            </w:pPr>
            <w:r w:rsidRPr="001F362B">
              <w:rPr>
                <w:szCs w:val="20"/>
              </w:rPr>
              <w:t>4.4</w:t>
            </w:r>
          </w:p>
        </w:tc>
      </w:tr>
      <w:tr w:rsidR="001F362B" w:rsidRPr="00C729DA" w14:paraId="3F56BD8C" w14:textId="77FD363E" w:rsidTr="003A1AD0">
        <w:trPr>
          <w:trHeight w:val="290"/>
        </w:trPr>
        <w:tc>
          <w:tcPr>
            <w:tcW w:w="427" w:type="pct"/>
            <w:tcBorders>
              <w:top w:val="nil"/>
              <w:left w:val="nil"/>
              <w:bottom w:val="nil"/>
              <w:right w:val="nil"/>
            </w:tcBorders>
            <w:shd w:val="clear" w:color="auto" w:fill="auto"/>
            <w:noWrap/>
            <w:vAlign w:val="center"/>
            <w:hideMark/>
          </w:tcPr>
          <w:p w14:paraId="1AD7D3A6" w14:textId="77777777" w:rsidR="001F362B" w:rsidRPr="00E01E95" w:rsidRDefault="001F362B" w:rsidP="001F362B">
            <w:pPr>
              <w:pStyle w:val="Tabletext"/>
              <w:keepNext/>
              <w:jc w:val="right"/>
            </w:pPr>
            <w:r w:rsidRPr="00E01E95">
              <w:t>100</w:t>
            </w:r>
          </w:p>
        </w:tc>
        <w:tc>
          <w:tcPr>
            <w:tcW w:w="1661" w:type="pct"/>
            <w:tcBorders>
              <w:top w:val="nil"/>
              <w:left w:val="nil"/>
              <w:bottom w:val="nil"/>
              <w:right w:val="nil"/>
            </w:tcBorders>
            <w:shd w:val="clear" w:color="auto" w:fill="auto"/>
            <w:noWrap/>
            <w:vAlign w:val="center"/>
            <w:hideMark/>
          </w:tcPr>
          <w:p w14:paraId="64DF5A8C" w14:textId="77777777" w:rsidR="001F362B" w:rsidRPr="00E01E95" w:rsidRDefault="001F362B" w:rsidP="001F362B">
            <w:pPr>
              <w:pStyle w:val="Tabletext"/>
              <w:keepNext/>
            </w:pPr>
            <w:r w:rsidRPr="00E01E95">
              <w:t>3100 Industrial Services</w:t>
            </w:r>
          </w:p>
        </w:tc>
        <w:tc>
          <w:tcPr>
            <w:tcW w:w="775" w:type="pct"/>
            <w:tcBorders>
              <w:top w:val="nil"/>
              <w:left w:val="nil"/>
              <w:bottom w:val="nil"/>
              <w:right w:val="nil"/>
            </w:tcBorders>
            <w:shd w:val="clear" w:color="auto" w:fill="auto"/>
            <w:noWrap/>
            <w:vAlign w:val="center"/>
            <w:hideMark/>
          </w:tcPr>
          <w:p w14:paraId="67A1A57E" w14:textId="03722E76" w:rsidR="001F362B" w:rsidRPr="001F362B" w:rsidRDefault="001F362B" w:rsidP="001F362B">
            <w:pPr>
              <w:pStyle w:val="Tabletext"/>
              <w:jc w:val="right"/>
              <w:rPr>
                <w:szCs w:val="20"/>
              </w:rPr>
            </w:pPr>
            <w:r w:rsidRPr="001F362B">
              <w:rPr>
                <w:rFonts w:cs="Calibri"/>
                <w:color w:val="000000"/>
                <w:szCs w:val="20"/>
              </w:rPr>
              <w:t>11,456</w:t>
            </w:r>
          </w:p>
        </w:tc>
        <w:tc>
          <w:tcPr>
            <w:tcW w:w="681" w:type="pct"/>
            <w:tcBorders>
              <w:top w:val="nil"/>
              <w:left w:val="nil"/>
              <w:bottom w:val="nil"/>
              <w:right w:val="single" w:sz="4" w:space="0" w:color="00274C" w:themeColor="accent1"/>
            </w:tcBorders>
            <w:tcMar>
              <w:left w:w="115" w:type="dxa"/>
              <w:right w:w="288" w:type="dxa"/>
            </w:tcMar>
            <w:vAlign w:val="center"/>
          </w:tcPr>
          <w:p w14:paraId="19F21C34" w14:textId="7AA18F0B" w:rsidR="001F362B" w:rsidRPr="001F362B" w:rsidRDefault="001F362B" w:rsidP="001F362B">
            <w:pPr>
              <w:pStyle w:val="Tabletext"/>
              <w:jc w:val="right"/>
              <w:rPr>
                <w:szCs w:val="20"/>
              </w:rPr>
            </w:pPr>
            <w:r w:rsidRPr="001F362B">
              <w:rPr>
                <w:szCs w:val="20"/>
              </w:rPr>
              <w:t>51</w:t>
            </w:r>
          </w:p>
        </w:tc>
        <w:tc>
          <w:tcPr>
            <w:tcW w:w="775" w:type="pct"/>
            <w:tcBorders>
              <w:top w:val="nil"/>
              <w:left w:val="single" w:sz="4" w:space="0" w:color="00274C" w:themeColor="accent1"/>
              <w:bottom w:val="nil"/>
              <w:right w:val="nil"/>
            </w:tcBorders>
            <w:tcMar>
              <w:left w:w="115" w:type="dxa"/>
              <w:right w:w="432" w:type="dxa"/>
            </w:tcMar>
            <w:vAlign w:val="center"/>
          </w:tcPr>
          <w:p w14:paraId="4816DBD7" w14:textId="23A58880" w:rsidR="001F362B" w:rsidRPr="001F362B" w:rsidRDefault="001F362B" w:rsidP="001F362B">
            <w:pPr>
              <w:pStyle w:val="Tabletext"/>
              <w:jc w:val="right"/>
              <w:rPr>
                <w:szCs w:val="20"/>
              </w:rPr>
            </w:pPr>
            <w:r w:rsidRPr="001F362B">
              <w:rPr>
                <w:rFonts w:cs="Calibri"/>
                <w:color w:val="000000"/>
                <w:szCs w:val="20"/>
              </w:rPr>
              <w:t>3.7</w:t>
            </w:r>
          </w:p>
        </w:tc>
        <w:tc>
          <w:tcPr>
            <w:tcW w:w="681" w:type="pct"/>
            <w:tcBorders>
              <w:top w:val="nil"/>
              <w:left w:val="nil"/>
              <w:bottom w:val="nil"/>
              <w:right w:val="nil"/>
            </w:tcBorders>
            <w:tcMar>
              <w:left w:w="115" w:type="dxa"/>
              <w:right w:w="432" w:type="dxa"/>
            </w:tcMar>
            <w:vAlign w:val="center"/>
          </w:tcPr>
          <w:p w14:paraId="2FFC8F90" w14:textId="24313018" w:rsidR="001F362B" w:rsidRPr="001F362B" w:rsidRDefault="001F362B" w:rsidP="001F362B">
            <w:pPr>
              <w:pStyle w:val="Tabletext"/>
              <w:jc w:val="right"/>
              <w:rPr>
                <w:szCs w:val="20"/>
              </w:rPr>
            </w:pPr>
            <w:r w:rsidRPr="001F362B">
              <w:rPr>
                <w:szCs w:val="20"/>
              </w:rPr>
              <w:t>3.5</w:t>
            </w:r>
          </w:p>
        </w:tc>
      </w:tr>
      <w:tr w:rsidR="001F362B" w:rsidRPr="00C729DA" w14:paraId="29AB6724" w14:textId="071C5398" w:rsidTr="003A1AD0">
        <w:trPr>
          <w:trHeight w:val="290"/>
        </w:trPr>
        <w:tc>
          <w:tcPr>
            <w:tcW w:w="427" w:type="pct"/>
            <w:tcBorders>
              <w:top w:val="nil"/>
              <w:left w:val="nil"/>
              <w:bottom w:val="nil"/>
              <w:right w:val="nil"/>
            </w:tcBorders>
            <w:shd w:val="clear" w:color="auto" w:fill="auto"/>
            <w:noWrap/>
            <w:vAlign w:val="center"/>
            <w:hideMark/>
          </w:tcPr>
          <w:p w14:paraId="7DB2777A" w14:textId="77777777" w:rsidR="001F362B" w:rsidRPr="00E01E95" w:rsidRDefault="001F362B" w:rsidP="001F362B">
            <w:pPr>
              <w:pStyle w:val="Tabletext"/>
              <w:keepNext/>
              <w:jc w:val="right"/>
            </w:pPr>
            <w:r w:rsidRPr="00E01E95">
              <w:t>4</w:t>
            </w:r>
          </w:p>
        </w:tc>
        <w:tc>
          <w:tcPr>
            <w:tcW w:w="1661" w:type="pct"/>
            <w:tcBorders>
              <w:top w:val="nil"/>
              <w:left w:val="nil"/>
              <w:bottom w:val="nil"/>
              <w:right w:val="nil"/>
            </w:tcBorders>
            <w:shd w:val="clear" w:color="auto" w:fill="auto"/>
            <w:noWrap/>
            <w:vAlign w:val="center"/>
            <w:hideMark/>
          </w:tcPr>
          <w:p w14:paraId="429E786F" w14:textId="77777777" w:rsidR="001F362B" w:rsidRPr="00E01E95" w:rsidRDefault="001F362B" w:rsidP="001F362B">
            <w:pPr>
              <w:pStyle w:val="Tabletext"/>
              <w:keepNext/>
            </w:pPr>
            <w:r w:rsidRPr="00E01E95">
              <w:t>3200 Commercial Services</w:t>
            </w:r>
          </w:p>
        </w:tc>
        <w:tc>
          <w:tcPr>
            <w:tcW w:w="775" w:type="pct"/>
            <w:tcBorders>
              <w:top w:val="nil"/>
              <w:left w:val="nil"/>
              <w:bottom w:val="nil"/>
              <w:right w:val="nil"/>
            </w:tcBorders>
            <w:shd w:val="clear" w:color="auto" w:fill="auto"/>
            <w:noWrap/>
            <w:vAlign w:val="center"/>
            <w:hideMark/>
          </w:tcPr>
          <w:p w14:paraId="547F1091" w14:textId="4AF55203" w:rsidR="001F362B" w:rsidRPr="001F362B" w:rsidRDefault="001F362B" w:rsidP="001F362B">
            <w:pPr>
              <w:pStyle w:val="Tabletext"/>
              <w:jc w:val="right"/>
              <w:rPr>
                <w:szCs w:val="20"/>
              </w:rPr>
            </w:pPr>
            <w:r w:rsidRPr="001F362B">
              <w:rPr>
                <w:rFonts w:cs="Calibri"/>
                <w:color w:val="000000"/>
                <w:szCs w:val="20"/>
              </w:rPr>
              <w:t>12,551</w:t>
            </w:r>
          </w:p>
        </w:tc>
        <w:tc>
          <w:tcPr>
            <w:tcW w:w="681" w:type="pct"/>
            <w:tcBorders>
              <w:top w:val="nil"/>
              <w:left w:val="nil"/>
              <w:bottom w:val="nil"/>
              <w:right w:val="single" w:sz="4" w:space="0" w:color="00274C" w:themeColor="accent1"/>
            </w:tcBorders>
            <w:tcMar>
              <w:left w:w="115" w:type="dxa"/>
              <w:right w:w="288" w:type="dxa"/>
            </w:tcMar>
            <w:vAlign w:val="center"/>
          </w:tcPr>
          <w:p w14:paraId="0254782A" w14:textId="5957EF3A" w:rsidR="001F362B" w:rsidRPr="001F362B" w:rsidRDefault="001F362B" w:rsidP="001F362B">
            <w:pPr>
              <w:pStyle w:val="Tabletext"/>
              <w:jc w:val="right"/>
              <w:rPr>
                <w:szCs w:val="20"/>
              </w:rPr>
            </w:pPr>
            <w:r w:rsidRPr="001F362B">
              <w:rPr>
                <w:szCs w:val="20"/>
              </w:rPr>
              <w:t>62</w:t>
            </w:r>
          </w:p>
        </w:tc>
        <w:tc>
          <w:tcPr>
            <w:tcW w:w="775" w:type="pct"/>
            <w:tcBorders>
              <w:top w:val="nil"/>
              <w:left w:val="single" w:sz="4" w:space="0" w:color="00274C" w:themeColor="accent1"/>
              <w:bottom w:val="nil"/>
              <w:right w:val="nil"/>
            </w:tcBorders>
            <w:tcMar>
              <w:left w:w="115" w:type="dxa"/>
              <w:right w:w="432" w:type="dxa"/>
            </w:tcMar>
            <w:vAlign w:val="center"/>
          </w:tcPr>
          <w:p w14:paraId="64BF9E3F" w14:textId="5ED427BA" w:rsidR="001F362B" w:rsidRPr="001F362B" w:rsidRDefault="001F362B" w:rsidP="001F362B">
            <w:pPr>
              <w:pStyle w:val="Tabletext"/>
              <w:jc w:val="right"/>
              <w:rPr>
                <w:szCs w:val="20"/>
              </w:rPr>
            </w:pPr>
            <w:r w:rsidRPr="001F362B">
              <w:rPr>
                <w:rFonts w:cs="Calibri"/>
                <w:color w:val="000000"/>
                <w:szCs w:val="20"/>
              </w:rPr>
              <w:t>4.1</w:t>
            </w:r>
          </w:p>
        </w:tc>
        <w:tc>
          <w:tcPr>
            <w:tcW w:w="681" w:type="pct"/>
            <w:tcBorders>
              <w:top w:val="nil"/>
              <w:left w:val="nil"/>
              <w:bottom w:val="nil"/>
              <w:right w:val="nil"/>
            </w:tcBorders>
            <w:tcMar>
              <w:left w:w="115" w:type="dxa"/>
              <w:right w:w="432" w:type="dxa"/>
            </w:tcMar>
            <w:vAlign w:val="center"/>
          </w:tcPr>
          <w:p w14:paraId="2626C149" w14:textId="66B297B2" w:rsidR="001F362B" w:rsidRPr="001F362B" w:rsidRDefault="001F362B" w:rsidP="001F362B">
            <w:pPr>
              <w:pStyle w:val="Tabletext"/>
              <w:jc w:val="right"/>
              <w:rPr>
                <w:szCs w:val="20"/>
              </w:rPr>
            </w:pPr>
            <w:r w:rsidRPr="001F362B">
              <w:rPr>
                <w:szCs w:val="20"/>
              </w:rPr>
              <w:t>4.2</w:t>
            </w:r>
          </w:p>
        </w:tc>
      </w:tr>
      <w:tr w:rsidR="001F362B" w:rsidRPr="00C729DA" w14:paraId="352FEC61" w14:textId="37D1E4A9" w:rsidTr="003A1AD0">
        <w:trPr>
          <w:trHeight w:val="290"/>
        </w:trPr>
        <w:tc>
          <w:tcPr>
            <w:tcW w:w="427" w:type="pct"/>
            <w:tcBorders>
              <w:top w:val="nil"/>
              <w:left w:val="nil"/>
              <w:bottom w:val="nil"/>
              <w:right w:val="nil"/>
            </w:tcBorders>
            <w:shd w:val="clear" w:color="auto" w:fill="auto"/>
            <w:noWrap/>
            <w:vAlign w:val="center"/>
            <w:hideMark/>
          </w:tcPr>
          <w:p w14:paraId="2FA0891A" w14:textId="77777777" w:rsidR="001F362B" w:rsidRPr="00E01E95" w:rsidRDefault="001F362B" w:rsidP="001F362B">
            <w:pPr>
              <w:pStyle w:val="Tabletext"/>
              <w:keepNext/>
              <w:jc w:val="right"/>
            </w:pPr>
            <w:r w:rsidRPr="00E01E95">
              <w:t>1</w:t>
            </w:r>
          </w:p>
        </w:tc>
        <w:tc>
          <w:tcPr>
            <w:tcW w:w="1661" w:type="pct"/>
            <w:tcBorders>
              <w:top w:val="nil"/>
              <w:left w:val="nil"/>
              <w:bottom w:val="nil"/>
              <w:right w:val="nil"/>
            </w:tcBorders>
            <w:shd w:val="clear" w:color="auto" w:fill="auto"/>
            <w:noWrap/>
            <w:vAlign w:val="center"/>
            <w:hideMark/>
          </w:tcPr>
          <w:p w14:paraId="3CB866B0" w14:textId="77777777" w:rsidR="001F362B" w:rsidRPr="00E01E95" w:rsidRDefault="001F362B" w:rsidP="001F362B">
            <w:pPr>
              <w:pStyle w:val="Tabletext"/>
              <w:keepNext/>
            </w:pPr>
            <w:r w:rsidRPr="00E01E95">
              <w:t>3250 Distribution Services</w:t>
            </w:r>
          </w:p>
        </w:tc>
        <w:tc>
          <w:tcPr>
            <w:tcW w:w="775" w:type="pct"/>
            <w:tcBorders>
              <w:top w:val="nil"/>
              <w:left w:val="nil"/>
              <w:bottom w:val="nil"/>
              <w:right w:val="nil"/>
            </w:tcBorders>
            <w:shd w:val="clear" w:color="auto" w:fill="auto"/>
            <w:noWrap/>
            <w:vAlign w:val="center"/>
            <w:hideMark/>
          </w:tcPr>
          <w:p w14:paraId="09484947" w14:textId="0C71F149" w:rsidR="001F362B" w:rsidRPr="001F362B" w:rsidRDefault="001F362B" w:rsidP="001F362B">
            <w:pPr>
              <w:pStyle w:val="Tabletext"/>
              <w:jc w:val="right"/>
              <w:rPr>
                <w:szCs w:val="20"/>
              </w:rPr>
            </w:pPr>
            <w:r w:rsidRPr="001F362B">
              <w:rPr>
                <w:rFonts w:cs="Calibri"/>
                <w:color w:val="000000"/>
                <w:szCs w:val="20"/>
              </w:rPr>
              <w:t>7,044</w:t>
            </w:r>
          </w:p>
        </w:tc>
        <w:tc>
          <w:tcPr>
            <w:tcW w:w="681" w:type="pct"/>
            <w:tcBorders>
              <w:top w:val="nil"/>
              <w:left w:val="nil"/>
              <w:bottom w:val="nil"/>
              <w:right w:val="single" w:sz="4" w:space="0" w:color="00274C" w:themeColor="accent1"/>
            </w:tcBorders>
            <w:tcMar>
              <w:left w:w="115" w:type="dxa"/>
              <w:right w:w="288" w:type="dxa"/>
            </w:tcMar>
            <w:vAlign w:val="center"/>
          </w:tcPr>
          <w:p w14:paraId="7A320D0A" w14:textId="072D631F" w:rsidR="001F362B" w:rsidRPr="001F362B" w:rsidRDefault="001F362B" w:rsidP="001F362B">
            <w:pPr>
              <w:pStyle w:val="Tabletext"/>
              <w:jc w:val="right"/>
              <w:rPr>
                <w:szCs w:val="20"/>
              </w:rPr>
            </w:pPr>
            <w:r w:rsidRPr="001F362B">
              <w:rPr>
                <w:szCs w:val="20"/>
              </w:rPr>
              <w:t>35</w:t>
            </w:r>
          </w:p>
        </w:tc>
        <w:tc>
          <w:tcPr>
            <w:tcW w:w="775" w:type="pct"/>
            <w:tcBorders>
              <w:top w:val="nil"/>
              <w:left w:val="single" w:sz="4" w:space="0" w:color="00274C" w:themeColor="accent1"/>
              <w:bottom w:val="nil"/>
              <w:right w:val="nil"/>
            </w:tcBorders>
            <w:tcMar>
              <w:left w:w="115" w:type="dxa"/>
              <w:right w:w="432" w:type="dxa"/>
            </w:tcMar>
            <w:vAlign w:val="center"/>
          </w:tcPr>
          <w:p w14:paraId="0A3E0AC1" w14:textId="364D78B1" w:rsidR="001F362B" w:rsidRPr="001F362B" w:rsidRDefault="001F362B" w:rsidP="001F362B">
            <w:pPr>
              <w:pStyle w:val="Tabletext"/>
              <w:jc w:val="right"/>
              <w:rPr>
                <w:szCs w:val="20"/>
              </w:rPr>
            </w:pPr>
            <w:r w:rsidRPr="001F362B">
              <w:rPr>
                <w:rFonts w:cs="Calibri"/>
                <w:color w:val="000000"/>
                <w:szCs w:val="20"/>
              </w:rPr>
              <w:t>2.3</w:t>
            </w:r>
          </w:p>
        </w:tc>
        <w:tc>
          <w:tcPr>
            <w:tcW w:w="681" w:type="pct"/>
            <w:tcBorders>
              <w:top w:val="nil"/>
              <w:left w:val="nil"/>
              <w:bottom w:val="nil"/>
              <w:right w:val="nil"/>
            </w:tcBorders>
            <w:tcMar>
              <w:left w:w="115" w:type="dxa"/>
              <w:right w:w="432" w:type="dxa"/>
            </w:tcMar>
            <w:vAlign w:val="center"/>
          </w:tcPr>
          <w:p w14:paraId="092F3C0C" w14:textId="7E3DFF10" w:rsidR="001F362B" w:rsidRPr="001F362B" w:rsidRDefault="001F362B" w:rsidP="001F362B">
            <w:pPr>
              <w:pStyle w:val="Tabletext"/>
              <w:jc w:val="right"/>
              <w:rPr>
                <w:szCs w:val="20"/>
              </w:rPr>
            </w:pPr>
            <w:r w:rsidRPr="001F362B">
              <w:rPr>
                <w:szCs w:val="20"/>
              </w:rPr>
              <w:t>2.4</w:t>
            </w:r>
          </w:p>
        </w:tc>
      </w:tr>
      <w:tr w:rsidR="001F362B" w:rsidRPr="00C729DA" w14:paraId="023BC65E" w14:textId="741F5918" w:rsidTr="003A1AD0">
        <w:trPr>
          <w:trHeight w:val="290"/>
        </w:trPr>
        <w:tc>
          <w:tcPr>
            <w:tcW w:w="427" w:type="pct"/>
            <w:tcBorders>
              <w:top w:val="nil"/>
              <w:left w:val="nil"/>
              <w:bottom w:val="nil"/>
              <w:right w:val="nil"/>
            </w:tcBorders>
            <w:shd w:val="clear" w:color="auto" w:fill="auto"/>
            <w:noWrap/>
            <w:vAlign w:val="center"/>
            <w:hideMark/>
          </w:tcPr>
          <w:p w14:paraId="0A8C18F0" w14:textId="77777777" w:rsidR="001F362B" w:rsidRPr="00E01E95" w:rsidRDefault="001F362B" w:rsidP="001F362B">
            <w:pPr>
              <w:pStyle w:val="Tabletext"/>
              <w:keepNext/>
              <w:jc w:val="right"/>
            </w:pPr>
            <w:r w:rsidRPr="00E01E95">
              <w:t>9</w:t>
            </w:r>
          </w:p>
        </w:tc>
        <w:tc>
          <w:tcPr>
            <w:tcW w:w="1661" w:type="pct"/>
            <w:tcBorders>
              <w:top w:val="nil"/>
              <w:left w:val="nil"/>
              <w:bottom w:val="nil"/>
              <w:right w:val="nil"/>
            </w:tcBorders>
            <w:shd w:val="clear" w:color="auto" w:fill="auto"/>
            <w:noWrap/>
            <w:vAlign w:val="center"/>
            <w:hideMark/>
          </w:tcPr>
          <w:p w14:paraId="3BA55E8B" w14:textId="77777777" w:rsidR="001F362B" w:rsidRPr="00E01E95" w:rsidRDefault="001F362B" w:rsidP="001F362B">
            <w:pPr>
              <w:pStyle w:val="Tabletext"/>
              <w:keepNext/>
            </w:pPr>
            <w:r w:rsidRPr="00E01E95">
              <w:t>3300 Technology Services</w:t>
            </w:r>
          </w:p>
        </w:tc>
        <w:tc>
          <w:tcPr>
            <w:tcW w:w="775" w:type="pct"/>
            <w:tcBorders>
              <w:top w:val="nil"/>
              <w:left w:val="nil"/>
              <w:bottom w:val="nil"/>
              <w:right w:val="nil"/>
            </w:tcBorders>
            <w:shd w:val="clear" w:color="auto" w:fill="auto"/>
            <w:noWrap/>
            <w:vAlign w:val="center"/>
            <w:hideMark/>
          </w:tcPr>
          <w:p w14:paraId="5228CC8B" w14:textId="299D89F5" w:rsidR="001F362B" w:rsidRPr="001F362B" w:rsidRDefault="001F362B" w:rsidP="001F362B">
            <w:pPr>
              <w:pStyle w:val="Tabletext"/>
              <w:jc w:val="right"/>
              <w:rPr>
                <w:szCs w:val="20"/>
              </w:rPr>
            </w:pPr>
            <w:r w:rsidRPr="001F362B">
              <w:rPr>
                <w:rFonts w:cs="Calibri"/>
                <w:color w:val="000000"/>
                <w:szCs w:val="20"/>
              </w:rPr>
              <w:t>24,185</w:t>
            </w:r>
          </w:p>
        </w:tc>
        <w:tc>
          <w:tcPr>
            <w:tcW w:w="681" w:type="pct"/>
            <w:tcBorders>
              <w:top w:val="nil"/>
              <w:left w:val="nil"/>
              <w:bottom w:val="nil"/>
              <w:right w:val="single" w:sz="4" w:space="0" w:color="00274C" w:themeColor="accent1"/>
            </w:tcBorders>
            <w:tcMar>
              <w:left w:w="115" w:type="dxa"/>
              <w:right w:w="288" w:type="dxa"/>
            </w:tcMar>
            <w:vAlign w:val="center"/>
          </w:tcPr>
          <w:p w14:paraId="2CDD0AC0" w14:textId="062E6C9A" w:rsidR="001F362B" w:rsidRPr="001F362B" w:rsidRDefault="001F362B" w:rsidP="001F362B">
            <w:pPr>
              <w:pStyle w:val="Tabletext"/>
              <w:jc w:val="right"/>
              <w:rPr>
                <w:szCs w:val="20"/>
              </w:rPr>
            </w:pPr>
            <w:r w:rsidRPr="001F362B">
              <w:rPr>
                <w:szCs w:val="20"/>
              </w:rPr>
              <w:t>129</w:t>
            </w:r>
          </w:p>
        </w:tc>
        <w:tc>
          <w:tcPr>
            <w:tcW w:w="775" w:type="pct"/>
            <w:tcBorders>
              <w:top w:val="nil"/>
              <w:left w:val="single" w:sz="4" w:space="0" w:color="00274C" w:themeColor="accent1"/>
              <w:bottom w:val="nil"/>
              <w:right w:val="nil"/>
            </w:tcBorders>
            <w:tcMar>
              <w:left w:w="115" w:type="dxa"/>
              <w:right w:w="432" w:type="dxa"/>
            </w:tcMar>
            <w:vAlign w:val="center"/>
          </w:tcPr>
          <w:p w14:paraId="71A9EB85" w14:textId="2C0E5A22" w:rsidR="001F362B" w:rsidRPr="001F362B" w:rsidRDefault="001F362B" w:rsidP="001F362B">
            <w:pPr>
              <w:pStyle w:val="Tabletext"/>
              <w:jc w:val="right"/>
              <w:rPr>
                <w:szCs w:val="20"/>
              </w:rPr>
            </w:pPr>
            <w:r w:rsidRPr="001F362B">
              <w:rPr>
                <w:rFonts w:cs="Calibri"/>
                <w:color w:val="000000"/>
                <w:szCs w:val="20"/>
              </w:rPr>
              <w:t>7.8</w:t>
            </w:r>
          </w:p>
        </w:tc>
        <w:tc>
          <w:tcPr>
            <w:tcW w:w="681" w:type="pct"/>
            <w:tcBorders>
              <w:top w:val="nil"/>
              <w:left w:val="nil"/>
              <w:bottom w:val="nil"/>
              <w:right w:val="nil"/>
            </w:tcBorders>
            <w:tcMar>
              <w:left w:w="115" w:type="dxa"/>
              <w:right w:w="432" w:type="dxa"/>
            </w:tcMar>
            <w:vAlign w:val="center"/>
          </w:tcPr>
          <w:p w14:paraId="1EBD4C9F" w14:textId="5BF94460" w:rsidR="001F362B" w:rsidRPr="001F362B" w:rsidRDefault="001F362B" w:rsidP="001F362B">
            <w:pPr>
              <w:pStyle w:val="Tabletext"/>
              <w:jc w:val="right"/>
              <w:rPr>
                <w:szCs w:val="20"/>
              </w:rPr>
            </w:pPr>
            <w:r w:rsidRPr="001F362B">
              <w:rPr>
                <w:szCs w:val="20"/>
              </w:rPr>
              <w:t>8.8</w:t>
            </w:r>
          </w:p>
        </w:tc>
      </w:tr>
      <w:tr w:rsidR="001F362B" w:rsidRPr="00C729DA" w14:paraId="2B72FAA7" w14:textId="5F313A9D" w:rsidTr="003A1AD0">
        <w:trPr>
          <w:trHeight w:val="290"/>
        </w:trPr>
        <w:tc>
          <w:tcPr>
            <w:tcW w:w="427" w:type="pct"/>
            <w:tcBorders>
              <w:top w:val="nil"/>
              <w:left w:val="nil"/>
              <w:bottom w:val="nil"/>
              <w:right w:val="nil"/>
            </w:tcBorders>
            <w:shd w:val="clear" w:color="auto" w:fill="auto"/>
            <w:noWrap/>
            <w:vAlign w:val="center"/>
            <w:hideMark/>
          </w:tcPr>
          <w:p w14:paraId="4A35BDC5" w14:textId="77777777" w:rsidR="001F362B" w:rsidRPr="00E01E95" w:rsidRDefault="001F362B" w:rsidP="001F362B">
            <w:pPr>
              <w:pStyle w:val="Tabletext"/>
              <w:keepNext/>
              <w:jc w:val="right"/>
            </w:pPr>
            <w:r w:rsidRPr="00E01E95">
              <w:t>16</w:t>
            </w:r>
          </w:p>
        </w:tc>
        <w:tc>
          <w:tcPr>
            <w:tcW w:w="1661" w:type="pct"/>
            <w:tcBorders>
              <w:top w:val="nil"/>
              <w:left w:val="nil"/>
              <w:bottom w:val="nil"/>
              <w:right w:val="nil"/>
            </w:tcBorders>
            <w:shd w:val="clear" w:color="auto" w:fill="auto"/>
            <w:noWrap/>
            <w:vAlign w:val="center"/>
            <w:hideMark/>
          </w:tcPr>
          <w:p w14:paraId="0ABDFC33" w14:textId="77777777" w:rsidR="001F362B" w:rsidRPr="00E01E95" w:rsidRDefault="001F362B" w:rsidP="001F362B">
            <w:pPr>
              <w:pStyle w:val="Tabletext"/>
              <w:keepNext/>
            </w:pPr>
            <w:r w:rsidRPr="00E01E95">
              <w:t>3350 Health Services</w:t>
            </w:r>
          </w:p>
        </w:tc>
        <w:tc>
          <w:tcPr>
            <w:tcW w:w="775" w:type="pct"/>
            <w:tcBorders>
              <w:top w:val="nil"/>
              <w:left w:val="nil"/>
              <w:bottom w:val="nil"/>
              <w:right w:val="nil"/>
            </w:tcBorders>
            <w:shd w:val="clear" w:color="auto" w:fill="auto"/>
            <w:noWrap/>
            <w:vAlign w:val="center"/>
            <w:hideMark/>
          </w:tcPr>
          <w:p w14:paraId="3580DB8A" w14:textId="04032F17" w:rsidR="001F362B" w:rsidRPr="001F362B" w:rsidRDefault="001F362B" w:rsidP="001F362B">
            <w:pPr>
              <w:pStyle w:val="Tabletext"/>
              <w:jc w:val="right"/>
              <w:rPr>
                <w:szCs w:val="20"/>
              </w:rPr>
            </w:pPr>
            <w:r w:rsidRPr="001F362B">
              <w:rPr>
                <w:rFonts w:cs="Calibri"/>
                <w:color w:val="000000"/>
                <w:szCs w:val="20"/>
              </w:rPr>
              <w:t>7,858</w:t>
            </w:r>
          </w:p>
        </w:tc>
        <w:tc>
          <w:tcPr>
            <w:tcW w:w="681" w:type="pct"/>
            <w:tcBorders>
              <w:top w:val="nil"/>
              <w:left w:val="nil"/>
              <w:bottom w:val="nil"/>
              <w:right w:val="single" w:sz="4" w:space="0" w:color="00274C" w:themeColor="accent1"/>
            </w:tcBorders>
            <w:tcMar>
              <w:left w:w="115" w:type="dxa"/>
              <w:right w:w="288" w:type="dxa"/>
            </w:tcMar>
            <w:vAlign w:val="center"/>
          </w:tcPr>
          <w:p w14:paraId="05EAD99E" w14:textId="7B4252FD" w:rsidR="001F362B" w:rsidRPr="001F362B" w:rsidRDefault="001F362B" w:rsidP="001F362B">
            <w:pPr>
              <w:pStyle w:val="Tabletext"/>
              <w:jc w:val="right"/>
              <w:rPr>
                <w:szCs w:val="20"/>
              </w:rPr>
            </w:pPr>
            <w:r w:rsidRPr="001F362B">
              <w:rPr>
                <w:szCs w:val="20"/>
              </w:rPr>
              <w:t>43</w:t>
            </w:r>
          </w:p>
        </w:tc>
        <w:tc>
          <w:tcPr>
            <w:tcW w:w="775" w:type="pct"/>
            <w:tcBorders>
              <w:top w:val="nil"/>
              <w:left w:val="single" w:sz="4" w:space="0" w:color="00274C" w:themeColor="accent1"/>
              <w:bottom w:val="nil"/>
              <w:right w:val="nil"/>
            </w:tcBorders>
            <w:tcMar>
              <w:left w:w="115" w:type="dxa"/>
              <w:right w:w="432" w:type="dxa"/>
            </w:tcMar>
            <w:vAlign w:val="center"/>
          </w:tcPr>
          <w:p w14:paraId="7EA2847B" w14:textId="6D05A275" w:rsidR="001F362B" w:rsidRPr="001F362B" w:rsidRDefault="001F362B" w:rsidP="001F362B">
            <w:pPr>
              <w:pStyle w:val="Tabletext"/>
              <w:jc w:val="right"/>
              <w:rPr>
                <w:szCs w:val="20"/>
              </w:rPr>
            </w:pPr>
            <w:r w:rsidRPr="001F362B">
              <w:rPr>
                <w:rFonts w:cs="Calibri"/>
                <w:color w:val="000000"/>
                <w:szCs w:val="20"/>
              </w:rPr>
              <w:t>2.5</w:t>
            </w:r>
          </w:p>
        </w:tc>
        <w:tc>
          <w:tcPr>
            <w:tcW w:w="681" w:type="pct"/>
            <w:tcBorders>
              <w:top w:val="nil"/>
              <w:left w:val="nil"/>
              <w:bottom w:val="nil"/>
              <w:right w:val="nil"/>
            </w:tcBorders>
            <w:tcMar>
              <w:left w:w="115" w:type="dxa"/>
              <w:right w:w="432" w:type="dxa"/>
            </w:tcMar>
            <w:vAlign w:val="center"/>
          </w:tcPr>
          <w:p w14:paraId="3BC14EA8" w14:textId="787512EF" w:rsidR="001F362B" w:rsidRPr="001F362B" w:rsidRDefault="001F362B" w:rsidP="001F362B">
            <w:pPr>
              <w:pStyle w:val="Tabletext"/>
              <w:jc w:val="right"/>
              <w:rPr>
                <w:szCs w:val="20"/>
              </w:rPr>
            </w:pPr>
            <w:r w:rsidRPr="001F362B">
              <w:rPr>
                <w:szCs w:val="20"/>
              </w:rPr>
              <w:t>2.9</w:t>
            </w:r>
          </w:p>
        </w:tc>
      </w:tr>
      <w:tr w:rsidR="001F362B" w:rsidRPr="00C729DA" w14:paraId="51AD1D5F" w14:textId="01F35322" w:rsidTr="003A1AD0">
        <w:trPr>
          <w:trHeight w:val="290"/>
        </w:trPr>
        <w:tc>
          <w:tcPr>
            <w:tcW w:w="427" w:type="pct"/>
            <w:tcBorders>
              <w:top w:val="nil"/>
              <w:left w:val="nil"/>
              <w:bottom w:val="nil"/>
              <w:right w:val="nil"/>
            </w:tcBorders>
            <w:shd w:val="clear" w:color="auto" w:fill="auto"/>
            <w:noWrap/>
            <w:vAlign w:val="center"/>
            <w:hideMark/>
          </w:tcPr>
          <w:p w14:paraId="75069103" w14:textId="77777777" w:rsidR="001F362B" w:rsidRPr="00E01E95" w:rsidRDefault="001F362B" w:rsidP="001F362B">
            <w:pPr>
              <w:pStyle w:val="Tabletext"/>
              <w:keepNext/>
              <w:jc w:val="right"/>
            </w:pPr>
            <w:r w:rsidRPr="00E01E95">
              <w:t>8</w:t>
            </w:r>
          </w:p>
        </w:tc>
        <w:tc>
          <w:tcPr>
            <w:tcW w:w="1661" w:type="pct"/>
            <w:tcBorders>
              <w:top w:val="nil"/>
              <w:left w:val="nil"/>
              <w:bottom w:val="nil"/>
              <w:right w:val="nil"/>
            </w:tcBorders>
            <w:shd w:val="clear" w:color="auto" w:fill="auto"/>
            <w:noWrap/>
            <w:vAlign w:val="center"/>
            <w:hideMark/>
          </w:tcPr>
          <w:p w14:paraId="17F610B6" w14:textId="77777777" w:rsidR="001F362B" w:rsidRPr="00E01E95" w:rsidRDefault="001F362B" w:rsidP="001F362B">
            <w:pPr>
              <w:pStyle w:val="Tabletext"/>
              <w:keepNext/>
            </w:pPr>
            <w:r w:rsidRPr="00E01E95">
              <w:t>3400 Consumer Services</w:t>
            </w:r>
          </w:p>
        </w:tc>
        <w:tc>
          <w:tcPr>
            <w:tcW w:w="775" w:type="pct"/>
            <w:tcBorders>
              <w:top w:val="nil"/>
              <w:left w:val="nil"/>
              <w:bottom w:val="nil"/>
              <w:right w:val="nil"/>
            </w:tcBorders>
            <w:shd w:val="clear" w:color="auto" w:fill="auto"/>
            <w:noWrap/>
            <w:vAlign w:val="center"/>
            <w:hideMark/>
          </w:tcPr>
          <w:p w14:paraId="55EBC9E4" w14:textId="694797B1" w:rsidR="001F362B" w:rsidRPr="001F362B" w:rsidRDefault="001F362B" w:rsidP="001F362B">
            <w:pPr>
              <w:pStyle w:val="Tabletext"/>
              <w:jc w:val="right"/>
              <w:rPr>
                <w:szCs w:val="20"/>
              </w:rPr>
            </w:pPr>
            <w:r w:rsidRPr="001F362B">
              <w:rPr>
                <w:rFonts w:cs="Calibri"/>
                <w:color w:val="000000"/>
                <w:szCs w:val="20"/>
              </w:rPr>
              <w:t>17,732</w:t>
            </w:r>
          </w:p>
        </w:tc>
        <w:tc>
          <w:tcPr>
            <w:tcW w:w="681" w:type="pct"/>
            <w:tcBorders>
              <w:top w:val="nil"/>
              <w:left w:val="nil"/>
              <w:bottom w:val="nil"/>
              <w:right w:val="single" w:sz="4" w:space="0" w:color="00274C" w:themeColor="accent1"/>
            </w:tcBorders>
            <w:tcMar>
              <w:left w:w="115" w:type="dxa"/>
              <w:right w:w="288" w:type="dxa"/>
            </w:tcMar>
            <w:vAlign w:val="center"/>
          </w:tcPr>
          <w:p w14:paraId="4E5B0BBC" w14:textId="765E947D" w:rsidR="001F362B" w:rsidRPr="001F362B" w:rsidRDefault="001F362B" w:rsidP="001F362B">
            <w:pPr>
              <w:pStyle w:val="Tabletext"/>
              <w:jc w:val="right"/>
              <w:rPr>
                <w:szCs w:val="20"/>
              </w:rPr>
            </w:pPr>
            <w:r w:rsidRPr="001F362B">
              <w:rPr>
                <w:szCs w:val="20"/>
              </w:rPr>
              <w:t>88</w:t>
            </w:r>
          </w:p>
        </w:tc>
        <w:tc>
          <w:tcPr>
            <w:tcW w:w="775" w:type="pct"/>
            <w:tcBorders>
              <w:top w:val="nil"/>
              <w:left w:val="single" w:sz="4" w:space="0" w:color="00274C" w:themeColor="accent1"/>
              <w:bottom w:val="nil"/>
              <w:right w:val="nil"/>
            </w:tcBorders>
            <w:tcMar>
              <w:left w:w="115" w:type="dxa"/>
              <w:right w:w="432" w:type="dxa"/>
            </w:tcMar>
            <w:vAlign w:val="center"/>
          </w:tcPr>
          <w:p w14:paraId="6EC8F97E" w14:textId="1BCC1EA5" w:rsidR="001F362B" w:rsidRPr="001F362B" w:rsidRDefault="001F362B" w:rsidP="001F362B">
            <w:pPr>
              <w:pStyle w:val="Tabletext"/>
              <w:jc w:val="right"/>
              <w:rPr>
                <w:szCs w:val="20"/>
              </w:rPr>
            </w:pPr>
            <w:r w:rsidRPr="001F362B">
              <w:rPr>
                <w:rFonts w:cs="Calibri"/>
                <w:color w:val="000000"/>
                <w:szCs w:val="20"/>
              </w:rPr>
              <w:t>5.7</w:t>
            </w:r>
          </w:p>
        </w:tc>
        <w:tc>
          <w:tcPr>
            <w:tcW w:w="681" w:type="pct"/>
            <w:tcBorders>
              <w:top w:val="nil"/>
              <w:left w:val="nil"/>
              <w:bottom w:val="nil"/>
              <w:right w:val="nil"/>
            </w:tcBorders>
            <w:tcMar>
              <w:left w:w="115" w:type="dxa"/>
              <w:right w:w="432" w:type="dxa"/>
            </w:tcMar>
            <w:vAlign w:val="center"/>
          </w:tcPr>
          <w:p w14:paraId="2F18552E" w14:textId="2ACE4FAC" w:rsidR="001F362B" w:rsidRPr="001F362B" w:rsidRDefault="001F362B" w:rsidP="001F362B">
            <w:pPr>
              <w:pStyle w:val="Tabletext"/>
              <w:jc w:val="right"/>
              <w:rPr>
                <w:szCs w:val="20"/>
              </w:rPr>
            </w:pPr>
            <w:r w:rsidRPr="001F362B">
              <w:rPr>
                <w:szCs w:val="20"/>
              </w:rPr>
              <w:t>6.0</w:t>
            </w:r>
          </w:p>
        </w:tc>
      </w:tr>
      <w:tr w:rsidR="001F362B" w:rsidRPr="00C729DA" w14:paraId="4F9A4259" w14:textId="5388A099" w:rsidTr="003A1AD0">
        <w:trPr>
          <w:trHeight w:val="290"/>
        </w:trPr>
        <w:tc>
          <w:tcPr>
            <w:tcW w:w="427" w:type="pct"/>
            <w:tcBorders>
              <w:top w:val="nil"/>
              <w:left w:val="nil"/>
              <w:bottom w:val="nil"/>
              <w:right w:val="nil"/>
            </w:tcBorders>
            <w:shd w:val="clear" w:color="auto" w:fill="auto"/>
            <w:noWrap/>
            <w:vAlign w:val="center"/>
            <w:hideMark/>
          </w:tcPr>
          <w:p w14:paraId="794CB4C7" w14:textId="77777777" w:rsidR="001F362B" w:rsidRPr="00E01E95" w:rsidRDefault="001F362B" w:rsidP="001F362B">
            <w:pPr>
              <w:pStyle w:val="Tabletext"/>
              <w:keepNext/>
              <w:jc w:val="right"/>
            </w:pPr>
            <w:r w:rsidRPr="00E01E95">
              <w:t>10</w:t>
            </w:r>
          </w:p>
        </w:tc>
        <w:tc>
          <w:tcPr>
            <w:tcW w:w="1661" w:type="pct"/>
            <w:tcBorders>
              <w:top w:val="nil"/>
              <w:left w:val="nil"/>
              <w:bottom w:val="nil"/>
              <w:right w:val="nil"/>
            </w:tcBorders>
            <w:shd w:val="clear" w:color="auto" w:fill="auto"/>
            <w:noWrap/>
            <w:vAlign w:val="center"/>
            <w:hideMark/>
          </w:tcPr>
          <w:p w14:paraId="0EC02C62" w14:textId="77777777" w:rsidR="001F362B" w:rsidRPr="00E01E95" w:rsidRDefault="001F362B" w:rsidP="001F362B">
            <w:pPr>
              <w:pStyle w:val="Tabletext"/>
              <w:keepNext/>
            </w:pPr>
            <w:r w:rsidRPr="00E01E95">
              <w:t>3500 Retail Trade</w:t>
            </w:r>
          </w:p>
        </w:tc>
        <w:tc>
          <w:tcPr>
            <w:tcW w:w="775" w:type="pct"/>
            <w:tcBorders>
              <w:top w:val="nil"/>
              <w:left w:val="nil"/>
              <w:bottom w:val="nil"/>
              <w:right w:val="nil"/>
            </w:tcBorders>
            <w:shd w:val="clear" w:color="auto" w:fill="auto"/>
            <w:noWrap/>
            <w:vAlign w:val="center"/>
            <w:hideMark/>
          </w:tcPr>
          <w:p w14:paraId="7D736944" w14:textId="00C8DDCB" w:rsidR="001F362B" w:rsidRPr="001F362B" w:rsidRDefault="001F362B" w:rsidP="001F362B">
            <w:pPr>
              <w:pStyle w:val="Tabletext"/>
              <w:jc w:val="right"/>
              <w:rPr>
                <w:szCs w:val="20"/>
              </w:rPr>
            </w:pPr>
            <w:r w:rsidRPr="001F362B">
              <w:rPr>
                <w:rFonts w:cs="Calibri"/>
                <w:color w:val="000000"/>
                <w:szCs w:val="20"/>
              </w:rPr>
              <w:t>17,610</w:t>
            </w:r>
          </w:p>
        </w:tc>
        <w:tc>
          <w:tcPr>
            <w:tcW w:w="681" w:type="pct"/>
            <w:tcBorders>
              <w:top w:val="nil"/>
              <w:left w:val="nil"/>
              <w:bottom w:val="nil"/>
              <w:right w:val="single" w:sz="4" w:space="0" w:color="00274C" w:themeColor="accent1"/>
            </w:tcBorders>
            <w:tcMar>
              <w:left w:w="115" w:type="dxa"/>
              <w:right w:w="288" w:type="dxa"/>
            </w:tcMar>
            <w:vAlign w:val="center"/>
          </w:tcPr>
          <w:p w14:paraId="00472F19" w14:textId="5713C879" w:rsidR="001F362B" w:rsidRPr="001F362B" w:rsidRDefault="001F362B" w:rsidP="001F362B">
            <w:pPr>
              <w:pStyle w:val="Tabletext"/>
              <w:jc w:val="right"/>
              <w:rPr>
                <w:szCs w:val="20"/>
              </w:rPr>
            </w:pPr>
            <w:r w:rsidRPr="001F362B">
              <w:rPr>
                <w:szCs w:val="20"/>
              </w:rPr>
              <w:t>91</w:t>
            </w:r>
          </w:p>
        </w:tc>
        <w:tc>
          <w:tcPr>
            <w:tcW w:w="775" w:type="pct"/>
            <w:tcBorders>
              <w:top w:val="nil"/>
              <w:left w:val="single" w:sz="4" w:space="0" w:color="00274C" w:themeColor="accent1"/>
              <w:bottom w:val="nil"/>
              <w:right w:val="nil"/>
            </w:tcBorders>
            <w:tcMar>
              <w:left w:w="115" w:type="dxa"/>
              <w:right w:w="432" w:type="dxa"/>
            </w:tcMar>
            <w:vAlign w:val="center"/>
          </w:tcPr>
          <w:p w14:paraId="3B85F416" w14:textId="6DB19D04" w:rsidR="001F362B" w:rsidRPr="001F362B" w:rsidRDefault="001F362B" w:rsidP="001F362B">
            <w:pPr>
              <w:pStyle w:val="Tabletext"/>
              <w:jc w:val="right"/>
              <w:rPr>
                <w:szCs w:val="20"/>
              </w:rPr>
            </w:pPr>
            <w:r w:rsidRPr="001F362B">
              <w:rPr>
                <w:rFonts w:cs="Calibri"/>
                <w:color w:val="000000"/>
                <w:szCs w:val="20"/>
              </w:rPr>
              <w:t>5.7</w:t>
            </w:r>
          </w:p>
        </w:tc>
        <w:tc>
          <w:tcPr>
            <w:tcW w:w="681" w:type="pct"/>
            <w:tcBorders>
              <w:top w:val="nil"/>
              <w:left w:val="nil"/>
              <w:bottom w:val="nil"/>
              <w:right w:val="nil"/>
            </w:tcBorders>
            <w:tcMar>
              <w:left w:w="115" w:type="dxa"/>
              <w:right w:w="432" w:type="dxa"/>
            </w:tcMar>
            <w:vAlign w:val="center"/>
          </w:tcPr>
          <w:p w14:paraId="1CF1B60D" w14:textId="115B86E3" w:rsidR="001F362B" w:rsidRPr="001F362B" w:rsidRDefault="001F362B" w:rsidP="001F362B">
            <w:pPr>
              <w:pStyle w:val="Tabletext"/>
              <w:jc w:val="right"/>
              <w:rPr>
                <w:szCs w:val="20"/>
              </w:rPr>
            </w:pPr>
            <w:r w:rsidRPr="001F362B">
              <w:rPr>
                <w:szCs w:val="20"/>
              </w:rPr>
              <w:t>6.2</w:t>
            </w:r>
          </w:p>
        </w:tc>
      </w:tr>
      <w:tr w:rsidR="001F362B" w:rsidRPr="00C729DA" w14:paraId="6B879604" w14:textId="7FE1E430" w:rsidTr="003A1AD0">
        <w:trPr>
          <w:trHeight w:val="290"/>
        </w:trPr>
        <w:tc>
          <w:tcPr>
            <w:tcW w:w="427" w:type="pct"/>
            <w:tcBorders>
              <w:top w:val="nil"/>
              <w:left w:val="nil"/>
              <w:bottom w:val="nil"/>
              <w:right w:val="nil"/>
            </w:tcBorders>
            <w:shd w:val="clear" w:color="auto" w:fill="auto"/>
            <w:noWrap/>
            <w:vAlign w:val="center"/>
            <w:hideMark/>
          </w:tcPr>
          <w:p w14:paraId="6BF038DB" w14:textId="77777777" w:rsidR="001F362B" w:rsidRPr="00E01E95" w:rsidRDefault="001F362B" w:rsidP="001F362B">
            <w:pPr>
              <w:pStyle w:val="Tabletext"/>
              <w:keepNext/>
              <w:jc w:val="right"/>
            </w:pPr>
            <w:r w:rsidRPr="00E01E95">
              <w:t>12</w:t>
            </w:r>
          </w:p>
        </w:tc>
        <w:tc>
          <w:tcPr>
            <w:tcW w:w="1661" w:type="pct"/>
            <w:tcBorders>
              <w:top w:val="nil"/>
              <w:left w:val="nil"/>
              <w:bottom w:val="nil"/>
              <w:right w:val="nil"/>
            </w:tcBorders>
            <w:shd w:val="clear" w:color="auto" w:fill="auto"/>
            <w:noWrap/>
            <w:vAlign w:val="center"/>
            <w:hideMark/>
          </w:tcPr>
          <w:p w14:paraId="79C2124E" w14:textId="77777777" w:rsidR="001F362B" w:rsidRPr="00E01E95" w:rsidRDefault="001F362B" w:rsidP="001F362B">
            <w:pPr>
              <w:pStyle w:val="Tabletext"/>
              <w:keepNext/>
            </w:pPr>
            <w:r w:rsidRPr="00E01E95">
              <w:t>4600 Transportation</w:t>
            </w:r>
          </w:p>
        </w:tc>
        <w:tc>
          <w:tcPr>
            <w:tcW w:w="775" w:type="pct"/>
            <w:tcBorders>
              <w:top w:val="nil"/>
              <w:left w:val="nil"/>
              <w:bottom w:val="nil"/>
              <w:right w:val="nil"/>
            </w:tcBorders>
            <w:shd w:val="clear" w:color="auto" w:fill="auto"/>
            <w:noWrap/>
            <w:vAlign w:val="center"/>
            <w:hideMark/>
          </w:tcPr>
          <w:p w14:paraId="25453824" w14:textId="2B0D31D5" w:rsidR="001F362B" w:rsidRPr="001F362B" w:rsidRDefault="001F362B" w:rsidP="001F362B">
            <w:pPr>
              <w:pStyle w:val="Tabletext"/>
              <w:jc w:val="right"/>
              <w:rPr>
                <w:szCs w:val="20"/>
              </w:rPr>
            </w:pPr>
            <w:r w:rsidRPr="001F362B">
              <w:rPr>
                <w:rFonts w:cs="Calibri"/>
                <w:color w:val="000000"/>
                <w:szCs w:val="20"/>
              </w:rPr>
              <w:t>7,923</w:t>
            </w:r>
          </w:p>
        </w:tc>
        <w:tc>
          <w:tcPr>
            <w:tcW w:w="681" w:type="pct"/>
            <w:tcBorders>
              <w:top w:val="nil"/>
              <w:left w:val="nil"/>
              <w:bottom w:val="nil"/>
              <w:right w:val="single" w:sz="4" w:space="0" w:color="00274C" w:themeColor="accent1"/>
            </w:tcBorders>
            <w:tcMar>
              <w:left w:w="115" w:type="dxa"/>
              <w:right w:w="288" w:type="dxa"/>
            </w:tcMar>
            <w:vAlign w:val="center"/>
          </w:tcPr>
          <w:p w14:paraId="39C677CB" w14:textId="423D1F7E" w:rsidR="001F362B" w:rsidRPr="001F362B" w:rsidRDefault="001F362B" w:rsidP="001F362B">
            <w:pPr>
              <w:pStyle w:val="Tabletext"/>
              <w:jc w:val="right"/>
              <w:rPr>
                <w:szCs w:val="20"/>
              </w:rPr>
            </w:pPr>
            <w:r w:rsidRPr="001F362B">
              <w:rPr>
                <w:szCs w:val="20"/>
              </w:rPr>
              <w:t>37</w:t>
            </w:r>
          </w:p>
        </w:tc>
        <w:tc>
          <w:tcPr>
            <w:tcW w:w="775" w:type="pct"/>
            <w:tcBorders>
              <w:top w:val="nil"/>
              <w:left w:val="single" w:sz="4" w:space="0" w:color="00274C" w:themeColor="accent1"/>
              <w:bottom w:val="nil"/>
              <w:right w:val="nil"/>
            </w:tcBorders>
            <w:tcMar>
              <w:left w:w="115" w:type="dxa"/>
              <w:right w:w="432" w:type="dxa"/>
            </w:tcMar>
            <w:vAlign w:val="center"/>
          </w:tcPr>
          <w:p w14:paraId="17FC12FB" w14:textId="53BA7753" w:rsidR="001F362B" w:rsidRPr="001F362B" w:rsidRDefault="001F362B" w:rsidP="001F362B">
            <w:pPr>
              <w:pStyle w:val="Tabletext"/>
              <w:jc w:val="right"/>
              <w:rPr>
                <w:szCs w:val="20"/>
              </w:rPr>
            </w:pPr>
            <w:r w:rsidRPr="001F362B">
              <w:rPr>
                <w:rFonts w:cs="Calibri"/>
                <w:color w:val="000000"/>
                <w:szCs w:val="20"/>
              </w:rPr>
              <w:t>2.6</w:t>
            </w:r>
          </w:p>
        </w:tc>
        <w:tc>
          <w:tcPr>
            <w:tcW w:w="681" w:type="pct"/>
            <w:tcBorders>
              <w:top w:val="nil"/>
              <w:left w:val="nil"/>
              <w:bottom w:val="nil"/>
              <w:right w:val="nil"/>
            </w:tcBorders>
            <w:tcMar>
              <w:left w:w="115" w:type="dxa"/>
              <w:right w:w="432" w:type="dxa"/>
            </w:tcMar>
            <w:vAlign w:val="center"/>
          </w:tcPr>
          <w:p w14:paraId="3C70DF4E" w14:textId="19486744" w:rsidR="001F362B" w:rsidRPr="001F362B" w:rsidRDefault="001F362B" w:rsidP="001F362B">
            <w:pPr>
              <w:pStyle w:val="Tabletext"/>
              <w:jc w:val="right"/>
              <w:rPr>
                <w:szCs w:val="20"/>
              </w:rPr>
            </w:pPr>
            <w:r w:rsidRPr="001F362B">
              <w:rPr>
                <w:szCs w:val="20"/>
              </w:rPr>
              <w:t>2.5</w:t>
            </w:r>
          </w:p>
        </w:tc>
      </w:tr>
      <w:tr w:rsidR="001F362B" w:rsidRPr="00C729DA" w14:paraId="5FA1CCE8" w14:textId="51338F0C" w:rsidTr="003A1AD0">
        <w:trPr>
          <w:trHeight w:val="290"/>
        </w:trPr>
        <w:tc>
          <w:tcPr>
            <w:tcW w:w="427" w:type="pct"/>
            <w:tcBorders>
              <w:top w:val="nil"/>
              <w:left w:val="nil"/>
              <w:bottom w:val="nil"/>
              <w:right w:val="nil"/>
            </w:tcBorders>
            <w:shd w:val="clear" w:color="auto" w:fill="auto"/>
            <w:noWrap/>
            <w:vAlign w:val="center"/>
            <w:hideMark/>
          </w:tcPr>
          <w:p w14:paraId="4B930898" w14:textId="77777777" w:rsidR="001F362B" w:rsidRPr="00E01E95" w:rsidRDefault="001F362B" w:rsidP="001F362B">
            <w:pPr>
              <w:pStyle w:val="Tabletext"/>
              <w:keepNext/>
              <w:jc w:val="right"/>
            </w:pPr>
            <w:r w:rsidRPr="00E01E95">
              <w:t>100</w:t>
            </w:r>
          </w:p>
        </w:tc>
        <w:tc>
          <w:tcPr>
            <w:tcW w:w="1661" w:type="pct"/>
            <w:tcBorders>
              <w:top w:val="nil"/>
              <w:left w:val="nil"/>
              <w:bottom w:val="nil"/>
              <w:right w:val="nil"/>
            </w:tcBorders>
            <w:shd w:val="clear" w:color="auto" w:fill="auto"/>
            <w:noWrap/>
            <w:vAlign w:val="center"/>
            <w:hideMark/>
          </w:tcPr>
          <w:p w14:paraId="62BD93D8" w14:textId="77777777" w:rsidR="001F362B" w:rsidRPr="00E01E95" w:rsidRDefault="001F362B" w:rsidP="001F362B">
            <w:pPr>
              <w:pStyle w:val="Tabletext"/>
              <w:keepNext/>
            </w:pPr>
            <w:r w:rsidRPr="00E01E95">
              <w:t>4700 Utilities</w:t>
            </w:r>
          </w:p>
        </w:tc>
        <w:tc>
          <w:tcPr>
            <w:tcW w:w="775" w:type="pct"/>
            <w:tcBorders>
              <w:top w:val="nil"/>
              <w:left w:val="nil"/>
              <w:bottom w:val="nil"/>
              <w:right w:val="nil"/>
            </w:tcBorders>
            <w:shd w:val="clear" w:color="auto" w:fill="auto"/>
            <w:noWrap/>
            <w:vAlign w:val="center"/>
            <w:hideMark/>
          </w:tcPr>
          <w:p w14:paraId="1DDDC380" w14:textId="360473C6" w:rsidR="001F362B" w:rsidRPr="001F362B" w:rsidRDefault="001F362B" w:rsidP="001F362B">
            <w:pPr>
              <w:pStyle w:val="Tabletext"/>
              <w:jc w:val="right"/>
              <w:rPr>
                <w:szCs w:val="20"/>
              </w:rPr>
            </w:pPr>
            <w:r w:rsidRPr="001F362B">
              <w:rPr>
                <w:rFonts w:cs="Calibri"/>
                <w:color w:val="000000"/>
                <w:szCs w:val="20"/>
              </w:rPr>
              <w:t>13,706</w:t>
            </w:r>
          </w:p>
        </w:tc>
        <w:tc>
          <w:tcPr>
            <w:tcW w:w="681" w:type="pct"/>
            <w:tcBorders>
              <w:top w:val="nil"/>
              <w:left w:val="nil"/>
              <w:bottom w:val="nil"/>
              <w:right w:val="single" w:sz="4" w:space="0" w:color="00274C" w:themeColor="accent1"/>
            </w:tcBorders>
            <w:tcMar>
              <w:left w:w="115" w:type="dxa"/>
              <w:right w:w="288" w:type="dxa"/>
            </w:tcMar>
            <w:vAlign w:val="center"/>
          </w:tcPr>
          <w:p w14:paraId="10469D7F" w14:textId="7027E95E" w:rsidR="001F362B" w:rsidRPr="001F362B" w:rsidRDefault="001F362B" w:rsidP="001F362B">
            <w:pPr>
              <w:pStyle w:val="Tabletext"/>
              <w:jc w:val="right"/>
              <w:rPr>
                <w:szCs w:val="20"/>
              </w:rPr>
            </w:pPr>
            <w:r w:rsidRPr="001F362B">
              <w:rPr>
                <w:szCs w:val="20"/>
              </w:rPr>
              <w:t>66</w:t>
            </w:r>
          </w:p>
        </w:tc>
        <w:tc>
          <w:tcPr>
            <w:tcW w:w="775" w:type="pct"/>
            <w:tcBorders>
              <w:top w:val="nil"/>
              <w:left w:val="single" w:sz="4" w:space="0" w:color="00274C" w:themeColor="accent1"/>
              <w:bottom w:val="nil"/>
              <w:right w:val="nil"/>
            </w:tcBorders>
            <w:tcMar>
              <w:left w:w="115" w:type="dxa"/>
              <w:right w:w="432" w:type="dxa"/>
            </w:tcMar>
            <w:vAlign w:val="center"/>
          </w:tcPr>
          <w:p w14:paraId="4203A5C9" w14:textId="66BC9BF3" w:rsidR="001F362B" w:rsidRPr="001F362B" w:rsidRDefault="001F362B" w:rsidP="001F362B">
            <w:pPr>
              <w:pStyle w:val="Tabletext"/>
              <w:jc w:val="right"/>
              <w:rPr>
                <w:szCs w:val="20"/>
              </w:rPr>
            </w:pPr>
            <w:r w:rsidRPr="001F362B">
              <w:rPr>
                <w:rFonts w:cs="Calibri"/>
                <w:color w:val="000000"/>
                <w:szCs w:val="20"/>
              </w:rPr>
              <w:t>4.4</w:t>
            </w:r>
          </w:p>
        </w:tc>
        <w:tc>
          <w:tcPr>
            <w:tcW w:w="681" w:type="pct"/>
            <w:tcBorders>
              <w:top w:val="nil"/>
              <w:left w:val="nil"/>
              <w:bottom w:val="nil"/>
              <w:right w:val="nil"/>
            </w:tcBorders>
            <w:tcMar>
              <w:left w:w="115" w:type="dxa"/>
              <w:right w:w="432" w:type="dxa"/>
            </w:tcMar>
            <w:vAlign w:val="center"/>
          </w:tcPr>
          <w:p w14:paraId="20FBF57A" w14:textId="009BD851" w:rsidR="001F362B" w:rsidRPr="001F362B" w:rsidRDefault="001F362B" w:rsidP="001F362B">
            <w:pPr>
              <w:pStyle w:val="Tabletext"/>
              <w:jc w:val="right"/>
              <w:rPr>
                <w:szCs w:val="20"/>
              </w:rPr>
            </w:pPr>
            <w:r w:rsidRPr="001F362B">
              <w:rPr>
                <w:szCs w:val="20"/>
              </w:rPr>
              <w:t>4.5</w:t>
            </w:r>
          </w:p>
        </w:tc>
      </w:tr>
      <w:tr w:rsidR="001F362B" w:rsidRPr="00C729DA" w14:paraId="3428B0F4" w14:textId="7D04FA8B" w:rsidTr="003A1AD0">
        <w:trPr>
          <w:trHeight w:val="290"/>
        </w:trPr>
        <w:tc>
          <w:tcPr>
            <w:tcW w:w="427" w:type="pct"/>
            <w:tcBorders>
              <w:top w:val="nil"/>
              <w:left w:val="nil"/>
              <w:bottom w:val="nil"/>
              <w:right w:val="nil"/>
            </w:tcBorders>
            <w:shd w:val="clear" w:color="auto" w:fill="auto"/>
            <w:noWrap/>
            <w:vAlign w:val="center"/>
            <w:hideMark/>
          </w:tcPr>
          <w:p w14:paraId="5D3EBE17" w14:textId="77777777" w:rsidR="001F362B" w:rsidRPr="00E01E95" w:rsidRDefault="001F362B" w:rsidP="001F362B">
            <w:pPr>
              <w:pStyle w:val="Tabletext"/>
              <w:keepNext/>
              <w:jc w:val="right"/>
            </w:pPr>
            <w:r w:rsidRPr="00E01E95">
              <w:t>5</w:t>
            </w:r>
          </w:p>
        </w:tc>
        <w:tc>
          <w:tcPr>
            <w:tcW w:w="1661" w:type="pct"/>
            <w:tcBorders>
              <w:top w:val="nil"/>
              <w:left w:val="nil"/>
              <w:bottom w:val="nil"/>
              <w:right w:val="nil"/>
            </w:tcBorders>
            <w:shd w:val="clear" w:color="auto" w:fill="auto"/>
            <w:noWrap/>
            <w:vAlign w:val="center"/>
            <w:hideMark/>
          </w:tcPr>
          <w:p w14:paraId="4B0F6214" w14:textId="77777777" w:rsidR="001F362B" w:rsidRPr="00E01E95" w:rsidRDefault="001F362B" w:rsidP="001F362B">
            <w:pPr>
              <w:pStyle w:val="Tabletext"/>
              <w:keepNext/>
            </w:pPr>
            <w:r w:rsidRPr="00E01E95">
              <w:t>4801 Banks</w:t>
            </w:r>
          </w:p>
        </w:tc>
        <w:tc>
          <w:tcPr>
            <w:tcW w:w="775" w:type="pct"/>
            <w:tcBorders>
              <w:top w:val="nil"/>
              <w:left w:val="nil"/>
              <w:bottom w:val="nil"/>
              <w:right w:val="nil"/>
            </w:tcBorders>
            <w:shd w:val="clear" w:color="auto" w:fill="auto"/>
            <w:noWrap/>
            <w:vAlign w:val="center"/>
            <w:hideMark/>
          </w:tcPr>
          <w:p w14:paraId="28327E6C" w14:textId="49D836AB" w:rsidR="001F362B" w:rsidRPr="001F362B" w:rsidRDefault="001F362B" w:rsidP="001F362B">
            <w:pPr>
              <w:pStyle w:val="Tabletext"/>
              <w:jc w:val="right"/>
              <w:rPr>
                <w:szCs w:val="20"/>
              </w:rPr>
            </w:pPr>
            <w:r w:rsidRPr="001F362B">
              <w:rPr>
                <w:rFonts w:cs="Calibri"/>
                <w:color w:val="000000"/>
                <w:szCs w:val="20"/>
              </w:rPr>
              <w:t>18,460</w:t>
            </w:r>
          </w:p>
        </w:tc>
        <w:tc>
          <w:tcPr>
            <w:tcW w:w="681" w:type="pct"/>
            <w:tcBorders>
              <w:top w:val="nil"/>
              <w:left w:val="nil"/>
              <w:bottom w:val="nil"/>
              <w:right w:val="single" w:sz="4" w:space="0" w:color="00274C" w:themeColor="accent1"/>
            </w:tcBorders>
            <w:tcMar>
              <w:left w:w="115" w:type="dxa"/>
              <w:right w:w="288" w:type="dxa"/>
            </w:tcMar>
            <w:vAlign w:val="center"/>
          </w:tcPr>
          <w:p w14:paraId="39FAF35C" w14:textId="52548E46" w:rsidR="001F362B" w:rsidRPr="001F362B" w:rsidRDefault="001F362B" w:rsidP="001F362B">
            <w:pPr>
              <w:pStyle w:val="Tabletext"/>
              <w:jc w:val="right"/>
              <w:rPr>
                <w:szCs w:val="20"/>
              </w:rPr>
            </w:pPr>
            <w:r w:rsidRPr="001F362B">
              <w:rPr>
                <w:szCs w:val="20"/>
              </w:rPr>
              <w:t>81</w:t>
            </w:r>
          </w:p>
        </w:tc>
        <w:tc>
          <w:tcPr>
            <w:tcW w:w="775" w:type="pct"/>
            <w:tcBorders>
              <w:top w:val="nil"/>
              <w:left w:val="single" w:sz="4" w:space="0" w:color="00274C" w:themeColor="accent1"/>
              <w:bottom w:val="nil"/>
              <w:right w:val="nil"/>
            </w:tcBorders>
            <w:tcMar>
              <w:left w:w="115" w:type="dxa"/>
              <w:right w:w="432" w:type="dxa"/>
            </w:tcMar>
            <w:vAlign w:val="center"/>
          </w:tcPr>
          <w:p w14:paraId="430CB3A9" w14:textId="5BDB3D51" w:rsidR="001F362B" w:rsidRPr="001F362B" w:rsidRDefault="001F362B" w:rsidP="001F362B">
            <w:pPr>
              <w:pStyle w:val="Tabletext"/>
              <w:jc w:val="right"/>
              <w:rPr>
                <w:szCs w:val="20"/>
              </w:rPr>
            </w:pPr>
            <w:r w:rsidRPr="001F362B">
              <w:rPr>
                <w:rFonts w:cs="Calibri"/>
                <w:color w:val="000000"/>
                <w:szCs w:val="20"/>
              </w:rPr>
              <w:t>6.0</w:t>
            </w:r>
          </w:p>
        </w:tc>
        <w:tc>
          <w:tcPr>
            <w:tcW w:w="681" w:type="pct"/>
            <w:tcBorders>
              <w:top w:val="nil"/>
              <w:left w:val="nil"/>
              <w:bottom w:val="nil"/>
              <w:right w:val="nil"/>
            </w:tcBorders>
            <w:tcMar>
              <w:left w:w="115" w:type="dxa"/>
              <w:right w:w="432" w:type="dxa"/>
            </w:tcMar>
            <w:vAlign w:val="center"/>
          </w:tcPr>
          <w:p w14:paraId="59553C53" w14:textId="52B41244" w:rsidR="001F362B" w:rsidRPr="001F362B" w:rsidRDefault="001F362B" w:rsidP="001F362B">
            <w:pPr>
              <w:pStyle w:val="Tabletext"/>
              <w:jc w:val="right"/>
              <w:rPr>
                <w:szCs w:val="20"/>
              </w:rPr>
            </w:pPr>
            <w:r w:rsidRPr="001F362B">
              <w:rPr>
                <w:szCs w:val="20"/>
              </w:rPr>
              <w:t>5.5</w:t>
            </w:r>
          </w:p>
        </w:tc>
      </w:tr>
      <w:tr w:rsidR="001F362B" w:rsidRPr="00C729DA" w14:paraId="6C43CFDF" w14:textId="35F82581" w:rsidTr="003A1AD0">
        <w:trPr>
          <w:trHeight w:val="290"/>
        </w:trPr>
        <w:tc>
          <w:tcPr>
            <w:tcW w:w="427" w:type="pct"/>
            <w:tcBorders>
              <w:top w:val="nil"/>
              <w:left w:val="nil"/>
              <w:bottom w:val="nil"/>
              <w:right w:val="nil"/>
            </w:tcBorders>
            <w:shd w:val="clear" w:color="auto" w:fill="auto"/>
            <w:noWrap/>
            <w:vAlign w:val="center"/>
            <w:hideMark/>
          </w:tcPr>
          <w:p w14:paraId="18195191" w14:textId="77777777" w:rsidR="001F362B" w:rsidRPr="00E01E95" w:rsidRDefault="001F362B" w:rsidP="001F362B">
            <w:pPr>
              <w:pStyle w:val="Tabletext"/>
              <w:keepNext/>
              <w:jc w:val="right"/>
            </w:pPr>
            <w:r w:rsidRPr="00E01E95">
              <w:t>100</w:t>
            </w:r>
          </w:p>
        </w:tc>
        <w:tc>
          <w:tcPr>
            <w:tcW w:w="1661" w:type="pct"/>
            <w:tcBorders>
              <w:top w:val="nil"/>
              <w:left w:val="nil"/>
              <w:bottom w:val="nil"/>
              <w:right w:val="nil"/>
            </w:tcBorders>
            <w:shd w:val="clear" w:color="auto" w:fill="auto"/>
            <w:noWrap/>
            <w:vAlign w:val="center"/>
            <w:hideMark/>
          </w:tcPr>
          <w:p w14:paraId="1E5AE1BF" w14:textId="77777777" w:rsidR="001F362B" w:rsidRPr="00E01E95" w:rsidRDefault="001F362B" w:rsidP="001F362B">
            <w:pPr>
              <w:pStyle w:val="Tabletext"/>
              <w:keepNext/>
            </w:pPr>
            <w:r w:rsidRPr="00E01E95">
              <w:t>4802 Finance NEC</w:t>
            </w:r>
          </w:p>
        </w:tc>
        <w:tc>
          <w:tcPr>
            <w:tcW w:w="775" w:type="pct"/>
            <w:tcBorders>
              <w:top w:val="nil"/>
              <w:left w:val="nil"/>
              <w:bottom w:val="nil"/>
              <w:right w:val="nil"/>
            </w:tcBorders>
            <w:shd w:val="clear" w:color="auto" w:fill="auto"/>
            <w:noWrap/>
            <w:vAlign w:val="center"/>
            <w:hideMark/>
          </w:tcPr>
          <w:p w14:paraId="1F932D76" w14:textId="107D642B" w:rsidR="001F362B" w:rsidRPr="001F362B" w:rsidRDefault="001F362B" w:rsidP="001F362B">
            <w:pPr>
              <w:pStyle w:val="Tabletext"/>
              <w:jc w:val="right"/>
              <w:rPr>
                <w:szCs w:val="20"/>
              </w:rPr>
            </w:pPr>
            <w:r w:rsidRPr="001F362B">
              <w:rPr>
                <w:rFonts w:cs="Calibri"/>
                <w:color w:val="000000"/>
                <w:szCs w:val="20"/>
              </w:rPr>
              <w:t>12,219</w:t>
            </w:r>
          </w:p>
        </w:tc>
        <w:tc>
          <w:tcPr>
            <w:tcW w:w="681" w:type="pct"/>
            <w:tcBorders>
              <w:top w:val="nil"/>
              <w:left w:val="nil"/>
              <w:bottom w:val="nil"/>
              <w:right w:val="single" w:sz="4" w:space="0" w:color="00274C" w:themeColor="accent1"/>
            </w:tcBorders>
            <w:tcMar>
              <w:left w:w="115" w:type="dxa"/>
              <w:right w:w="288" w:type="dxa"/>
            </w:tcMar>
            <w:vAlign w:val="center"/>
          </w:tcPr>
          <w:p w14:paraId="0004300D" w14:textId="6BD7EBB2" w:rsidR="001F362B" w:rsidRPr="001F362B" w:rsidRDefault="001F362B" w:rsidP="001F362B">
            <w:pPr>
              <w:pStyle w:val="Tabletext"/>
              <w:jc w:val="right"/>
              <w:rPr>
                <w:szCs w:val="20"/>
              </w:rPr>
            </w:pPr>
            <w:r w:rsidRPr="001F362B">
              <w:rPr>
                <w:szCs w:val="20"/>
              </w:rPr>
              <w:t>59</w:t>
            </w:r>
          </w:p>
        </w:tc>
        <w:tc>
          <w:tcPr>
            <w:tcW w:w="775" w:type="pct"/>
            <w:tcBorders>
              <w:top w:val="nil"/>
              <w:left w:val="single" w:sz="4" w:space="0" w:color="00274C" w:themeColor="accent1"/>
              <w:bottom w:val="nil"/>
              <w:right w:val="nil"/>
            </w:tcBorders>
            <w:tcMar>
              <w:left w:w="115" w:type="dxa"/>
              <w:right w:w="432" w:type="dxa"/>
            </w:tcMar>
            <w:vAlign w:val="center"/>
          </w:tcPr>
          <w:p w14:paraId="0BC3882E" w14:textId="27F30438" w:rsidR="001F362B" w:rsidRPr="001F362B" w:rsidRDefault="001F362B" w:rsidP="001F362B">
            <w:pPr>
              <w:pStyle w:val="Tabletext"/>
              <w:jc w:val="right"/>
              <w:rPr>
                <w:szCs w:val="20"/>
              </w:rPr>
            </w:pPr>
            <w:r w:rsidRPr="001F362B">
              <w:rPr>
                <w:rFonts w:cs="Calibri"/>
                <w:color w:val="000000"/>
                <w:szCs w:val="20"/>
              </w:rPr>
              <w:t>4.0</w:t>
            </w:r>
          </w:p>
        </w:tc>
        <w:tc>
          <w:tcPr>
            <w:tcW w:w="681" w:type="pct"/>
            <w:tcBorders>
              <w:top w:val="nil"/>
              <w:left w:val="nil"/>
              <w:bottom w:val="nil"/>
              <w:right w:val="nil"/>
            </w:tcBorders>
            <w:tcMar>
              <w:left w:w="115" w:type="dxa"/>
              <w:right w:w="432" w:type="dxa"/>
            </w:tcMar>
            <w:vAlign w:val="center"/>
          </w:tcPr>
          <w:p w14:paraId="674BF6AB" w14:textId="2B9A3653" w:rsidR="001F362B" w:rsidRPr="001F362B" w:rsidRDefault="001F362B" w:rsidP="001F362B">
            <w:pPr>
              <w:pStyle w:val="Tabletext"/>
              <w:jc w:val="right"/>
              <w:rPr>
                <w:szCs w:val="20"/>
              </w:rPr>
            </w:pPr>
            <w:r w:rsidRPr="001F362B">
              <w:rPr>
                <w:szCs w:val="20"/>
              </w:rPr>
              <w:t>4.0</w:t>
            </w:r>
          </w:p>
        </w:tc>
      </w:tr>
      <w:tr w:rsidR="001F362B" w:rsidRPr="00C729DA" w14:paraId="3327381D" w14:textId="6842F388" w:rsidTr="003A1AD0">
        <w:trPr>
          <w:trHeight w:val="290"/>
        </w:trPr>
        <w:tc>
          <w:tcPr>
            <w:tcW w:w="427" w:type="pct"/>
            <w:tcBorders>
              <w:top w:val="nil"/>
              <w:left w:val="nil"/>
              <w:bottom w:val="nil"/>
              <w:right w:val="nil"/>
            </w:tcBorders>
            <w:shd w:val="clear" w:color="auto" w:fill="auto"/>
            <w:noWrap/>
            <w:vAlign w:val="center"/>
            <w:hideMark/>
          </w:tcPr>
          <w:p w14:paraId="008A8D36" w14:textId="77777777" w:rsidR="001F362B" w:rsidRPr="00E01E95" w:rsidRDefault="001F362B" w:rsidP="001F362B">
            <w:pPr>
              <w:pStyle w:val="Tabletext"/>
              <w:keepNext/>
              <w:jc w:val="right"/>
            </w:pPr>
            <w:r w:rsidRPr="00E01E95">
              <w:t>3</w:t>
            </w:r>
          </w:p>
        </w:tc>
        <w:tc>
          <w:tcPr>
            <w:tcW w:w="1661" w:type="pct"/>
            <w:tcBorders>
              <w:top w:val="nil"/>
              <w:left w:val="nil"/>
              <w:bottom w:val="nil"/>
              <w:right w:val="nil"/>
            </w:tcBorders>
            <w:shd w:val="clear" w:color="auto" w:fill="auto"/>
            <w:noWrap/>
            <w:vAlign w:val="center"/>
            <w:hideMark/>
          </w:tcPr>
          <w:p w14:paraId="5E57F302" w14:textId="77777777" w:rsidR="001F362B" w:rsidRPr="00E01E95" w:rsidRDefault="001F362B" w:rsidP="001F362B">
            <w:pPr>
              <w:pStyle w:val="Tabletext"/>
              <w:keepNext/>
            </w:pPr>
            <w:r w:rsidRPr="00E01E95">
              <w:t>4803 Insurance</w:t>
            </w:r>
          </w:p>
        </w:tc>
        <w:tc>
          <w:tcPr>
            <w:tcW w:w="775" w:type="pct"/>
            <w:tcBorders>
              <w:top w:val="nil"/>
              <w:left w:val="nil"/>
              <w:bottom w:val="nil"/>
              <w:right w:val="nil"/>
            </w:tcBorders>
            <w:shd w:val="clear" w:color="auto" w:fill="auto"/>
            <w:noWrap/>
            <w:vAlign w:val="center"/>
            <w:hideMark/>
          </w:tcPr>
          <w:p w14:paraId="6F127BE0" w14:textId="67FE9A72" w:rsidR="001F362B" w:rsidRPr="001F362B" w:rsidRDefault="001F362B" w:rsidP="001F362B">
            <w:pPr>
              <w:pStyle w:val="Tabletext"/>
              <w:jc w:val="right"/>
              <w:rPr>
                <w:szCs w:val="20"/>
              </w:rPr>
            </w:pPr>
            <w:r w:rsidRPr="001F362B">
              <w:rPr>
                <w:rFonts w:cs="Calibri"/>
                <w:color w:val="000000"/>
                <w:szCs w:val="20"/>
              </w:rPr>
              <w:t>10,720</w:t>
            </w:r>
          </w:p>
        </w:tc>
        <w:tc>
          <w:tcPr>
            <w:tcW w:w="681" w:type="pct"/>
            <w:tcBorders>
              <w:top w:val="nil"/>
              <w:left w:val="nil"/>
              <w:bottom w:val="nil"/>
              <w:right w:val="single" w:sz="4" w:space="0" w:color="00274C" w:themeColor="accent1"/>
            </w:tcBorders>
            <w:tcMar>
              <w:left w:w="115" w:type="dxa"/>
              <w:right w:w="288" w:type="dxa"/>
            </w:tcMar>
            <w:vAlign w:val="center"/>
          </w:tcPr>
          <w:p w14:paraId="050F87DD" w14:textId="41E4A656" w:rsidR="001F362B" w:rsidRPr="001F362B" w:rsidRDefault="001F362B" w:rsidP="001F362B">
            <w:pPr>
              <w:pStyle w:val="Tabletext"/>
              <w:jc w:val="right"/>
              <w:rPr>
                <w:szCs w:val="20"/>
              </w:rPr>
            </w:pPr>
            <w:r w:rsidRPr="001F362B">
              <w:rPr>
                <w:szCs w:val="20"/>
              </w:rPr>
              <w:t>48</w:t>
            </w:r>
          </w:p>
        </w:tc>
        <w:tc>
          <w:tcPr>
            <w:tcW w:w="775" w:type="pct"/>
            <w:tcBorders>
              <w:top w:val="nil"/>
              <w:left w:val="single" w:sz="4" w:space="0" w:color="00274C" w:themeColor="accent1"/>
              <w:bottom w:val="nil"/>
              <w:right w:val="nil"/>
            </w:tcBorders>
            <w:tcMar>
              <w:left w:w="115" w:type="dxa"/>
              <w:right w:w="432" w:type="dxa"/>
            </w:tcMar>
            <w:vAlign w:val="center"/>
          </w:tcPr>
          <w:p w14:paraId="6B859A72" w14:textId="5C208DFD" w:rsidR="001F362B" w:rsidRPr="001F362B" w:rsidRDefault="001F362B" w:rsidP="001F362B">
            <w:pPr>
              <w:pStyle w:val="Tabletext"/>
              <w:jc w:val="right"/>
              <w:rPr>
                <w:szCs w:val="20"/>
              </w:rPr>
            </w:pPr>
            <w:r w:rsidRPr="001F362B">
              <w:rPr>
                <w:rFonts w:cs="Calibri"/>
                <w:color w:val="000000"/>
                <w:szCs w:val="20"/>
              </w:rPr>
              <w:t>3.5</w:t>
            </w:r>
          </w:p>
        </w:tc>
        <w:tc>
          <w:tcPr>
            <w:tcW w:w="681" w:type="pct"/>
            <w:tcBorders>
              <w:top w:val="nil"/>
              <w:left w:val="nil"/>
              <w:bottom w:val="nil"/>
              <w:right w:val="nil"/>
            </w:tcBorders>
            <w:tcMar>
              <w:left w:w="115" w:type="dxa"/>
              <w:right w:w="432" w:type="dxa"/>
            </w:tcMar>
            <w:vAlign w:val="center"/>
          </w:tcPr>
          <w:p w14:paraId="7F82F2C8" w14:textId="14A94742" w:rsidR="001F362B" w:rsidRPr="001F362B" w:rsidRDefault="001F362B" w:rsidP="001F362B">
            <w:pPr>
              <w:pStyle w:val="Tabletext"/>
              <w:jc w:val="right"/>
              <w:rPr>
                <w:szCs w:val="20"/>
              </w:rPr>
            </w:pPr>
            <w:r w:rsidRPr="001F362B">
              <w:rPr>
                <w:szCs w:val="20"/>
              </w:rPr>
              <w:t>3.3</w:t>
            </w:r>
          </w:p>
        </w:tc>
      </w:tr>
      <w:tr w:rsidR="001F362B" w:rsidRPr="00C729DA" w14:paraId="04753A3E" w14:textId="5DA8EE19" w:rsidTr="003A1AD0">
        <w:trPr>
          <w:trHeight w:val="290"/>
        </w:trPr>
        <w:tc>
          <w:tcPr>
            <w:tcW w:w="427" w:type="pct"/>
            <w:tcBorders>
              <w:top w:val="nil"/>
              <w:left w:val="nil"/>
              <w:bottom w:val="nil"/>
              <w:right w:val="nil"/>
            </w:tcBorders>
            <w:shd w:val="clear" w:color="auto" w:fill="auto"/>
            <w:noWrap/>
            <w:vAlign w:val="center"/>
            <w:hideMark/>
          </w:tcPr>
          <w:p w14:paraId="02A06E35" w14:textId="77777777" w:rsidR="001F362B" w:rsidRPr="00E01E95" w:rsidRDefault="001F362B" w:rsidP="001F362B">
            <w:pPr>
              <w:pStyle w:val="Tabletext"/>
              <w:keepNext/>
              <w:jc w:val="right"/>
            </w:pPr>
            <w:r w:rsidRPr="00E01E95">
              <w:t>100</w:t>
            </w:r>
          </w:p>
        </w:tc>
        <w:tc>
          <w:tcPr>
            <w:tcW w:w="1661" w:type="pct"/>
            <w:tcBorders>
              <w:top w:val="nil"/>
              <w:left w:val="nil"/>
              <w:bottom w:val="nil"/>
              <w:right w:val="nil"/>
            </w:tcBorders>
            <w:shd w:val="clear" w:color="auto" w:fill="auto"/>
            <w:noWrap/>
            <w:vAlign w:val="center"/>
            <w:hideMark/>
          </w:tcPr>
          <w:p w14:paraId="5FB0872C" w14:textId="77777777" w:rsidR="001F362B" w:rsidRPr="00E01E95" w:rsidRDefault="001F362B" w:rsidP="001F362B">
            <w:pPr>
              <w:pStyle w:val="Tabletext"/>
              <w:keepNext/>
            </w:pPr>
            <w:r w:rsidRPr="00E01E95">
              <w:t>4885 Real Estate Dev</w:t>
            </w:r>
          </w:p>
        </w:tc>
        <w:tc>
          <w:tcPr>
            <w:tcW w:w="775" w:type="pct"/>
            <w:tcBorders>
              <w:top w:val="nil"/>
              <w:left w:val="nil"/>
              <w:bottom w:val="nil"/>
              <w:right w:val="nil"/>
            </w:tcBorders>
            <w:shd w:val="clear" w:color="auto" w:fill="auto"/>
            <w:noWrap/>
            <w:vAlign w:val="center"/>
            <w:hideMark/>
          </w:tcPr>
          <w:p w14:paraId="123E8B5D" w14:textId="6C0C00A5" w:rsidR="001F362B" w:rsidRPr="001F362B" w:rsidRDefault="001F362B" w:rsidP="001F362B">
            <w:pPr>
              <w:pStyle w:val="Tabletext"/>
              <w:jc w:val="right"/>
              <w:rPr>
                <w:szCs w:val="20"/>
              </w:rPr>
            </w:pPr>
            <w:r w:rsidRPr="001F362B">
              <w:rPr>
                <w:rFonts w:cs="Calibri"/>
                <w:color w:val="000000"/>
                <w:szCs w:val="20"/>
              </w:rPr>
              <w:t>407</w:t>
            </w:r>
          </w:p>
        </w:tc>
        <w:tc>
          <w:tcPr>
            <w:tcW w:w="681" w:type="pct"/>
            <w:tcBorders>
              <w:top w:val="nil"/>
              <w:left w:val="nil"/>
              <w:bottom w:val="nil"/>
              <w:right w:val="single" w:sz="4" w:space="0" w:color="00274C" w:themeColor="accent1"/>
            </w:tcBorders>
            <w:tcMar>
              <w:left w:w="115" w:type="dxa"/>
              <w:right w:w="288" w:type="dxa"/>
            </w:tcMar>
            <w:vAlign w:val="center"/>
          </w:tcPr>
          <w:p w14:paraId="6ED6ABD9" w14:textId="28D42A17" w:rsidR="001F362B" w:rsidRPr="001F362B" w:rsidRDefault="001F362B" w:rsidP="001F362B">
            <w:pPr>
              <w:pStyle w:val="Tabletext"/>
              <w:jc w:val="right"/>
              <w:rPr>
                <w:szCs w:val="20"/>
              </w:rPr>
            </w:pPr>
            <w:r w:rsidRPr="001F362B">
              <w:rPr>
                <w:szCs w:val="20"/>
              </w:rPr>
              <w:t>2</w:t>
            </w:r>
          </w:p>
        </w:tc>
        <w:tc>
          <w:tcPr>
            <w:tcW w:w="775" w:type="pct"/>
            <w:tcBorders>
              <w:top w:val="nil"/>
              <w:left w:val="single" w:sz="4" w:space="0" w:color="00274C" w:themeColor="accent1"/>
              <w:bottom w:val="nil"/>
              <w:right w:val="nil"/>
            </w:tcBorders>
            <w:tcMar>
              <w:left w:w="115" w:type="dxa"/>
              <w:right w:w="432" w:type="dxa"/>
            </w:tcMar>
            <w:vAlign w:val="center"/>
          </w:tcPr>
          <w:p w14:paraId="34C31045" w14:textId="1639E32B" w:rsidR="001F362B" w:rsidRPr="001F362B" w:rsidRDefault="001F362B" w:rsidP="001F362B">
            <w:pPr>
              <w:pStyle w:val="Tabletext"/>
              <w:jc w:val="right"/>
              <w:rPr>
                <w:szCs w:val="20"/>
              </w:rPr>
            </w:pPr>
            <w:r w:rsidRPr="001F362B">
              <w:rPr>
                <w:rFonts w:cs="Calibri"/>
                <w:color w:val="000000"/>
                <w:szCs w:val="20"/>
              </w:rPr>
              <w:t>0.1</w:t>
            </w:r>
          </w:p>
        </w:tc>
        <w:tc>
          <w:tcPr>
            <w:tcW w:w="681" w:type="pct"/>
            <w:tcBorders>
              <w:top w:val="nil"/>
              <w:left w:val="nil"/>
              <w:bottom w:val="nil"/>
              <w:right w:val="nil"/>
            </w:tcBorders>
            <w:tcMar>
              <w:left w:w="115" w:type="dxa"/>
              <w:right w:w="432" w:type="dxa"/>
            </w:tcMar>
            <w:vAlign w:val="center"/>
          </w:tcPr>
          <w:p w14:paraId="3A540314" w14:textId="7991FC7B" w:rsidR="001F362B" w:rsidRPr="001F362B" w:rsidRDefault="001F362B" w:rsidP="001F362B">
            <w:pPr>
              <w:pStyle w:val="Tabletext"/>
              <w:jc w:val="right"/>
              <w:rPr>
                <w:szCs w:val="20"/>
              </w:rPr>
            </w:pPr>
            <w:r w:rsidRPr="001F362B">
              <w:rPr>
                <w:szCs w:val="20"/>
              </w:rPr>
              <w:t>0.1</w:t>
            </w:r>
          </w:p>
        </w:tc>
      </w:tr>
      <w:tr w:rsidR="001F362B" w:rsidRPr="00C729DA" w14:paraId="5FAB7279" w14:textId="4406F234" w:rsidTr="003A1AD0">
        <w:trPr>
          <w:trHeight w:val="290"/>
        </w:trPr>
        <w:tc>
          <w:tcPr>
            <w:tcW w:w="427" w:type="pct"/>
            <w:tcBorders>
              <w:top w:val="nil"/>
              <w:left w:val="nil"/>
              <w:bottom w:val="nil"/>
              <w:right w:val="nil"/>
            </w:tcBorders>
            <w:shd w:val="clear" w:color="auto" w:fill="auto"/>
            <w:noWrap/>
            <w:vAlign w:val="center"/>
            <w:hideMark/>
          </w:tcPr>
          <w:p w14:paraId="20480CA1" w14:textId="77777777" w:rsidR="001F362B" w:rsidRPr="00E01E95" w:rsidRDefault="001F362B" w:rsidP="001F362B">
            <w:pPr>
              <w:pStyle w:val="Tabletext"/>
              <w:keepNext/>
              <w:jc w:val="right"/>
            </w:pPr>
            <w:r w:rsidRPr="00E01E95">
              <w:t>13</w:t>
            </w:r>
          </w:p>
        </w:tc>
        <w:tc>
          <w:tcPr>
            <w:tcW w:w="1661" w:type="pct"/>
            <w:tcBorders>
              <w:top w:val="nil"/>
              <w:left w:val="nil"/>
              <w:bottom w:val="nil"/>
              <w:right w:val="nil"/>
            </w:tcBorders>
            <w:shd w:val="clear" w:color="auto" w:fill="auto"/>
            <w:noWrap/>
            <w:vAlign w:val="center"/>
            <w:hideMark/>
          </w:tcPr>
          <w:p w14:paraId="0719477F" w14:textId="77777777" w:rsidR="001F362B" w:rsidRPr="00E01E95" w:rsidRDefault="001F362B" w:rsidP="001F362B">
            <w:pPr>
              <w:pStyle w:val="Tabletext"/>
              <w:keepNext/>
            </w:pPr>
            <w:r w:rsidRPr="00E01E95">
              <w:t>4890 REIT</w:t>
            </w:r>
          </w:p>
        </w:tc>
        <w:tc>
          <w:tcPr>
            <w:tcW w:w="775" w:type="pct"/>
            <w:tcBorders>
              <w:top w:val="nil"/>
              <w:left w:val="nil"/>
              <w:bottom w:val="nil"/>
              <w:right w:val="nil"/>
            </w:tcBorders>
            <w:shd w:val="clear" w:color="auto" w:fill="auto"/>
            <w:noWrap/>
            <w:vAlign w:val="center"/>
            <w:hideMark/>
          </w:tcPr>
          <w:p w14:paraId="6FD87FCB" w14:textId="3EE69C32" w:rsidR="001F362B" w:rsidRPr="001F362B" w:rsidRDefault="001F362B" w:rsidP="001F362B">
            <w:pPr>
              <w:pStyle w:val="Tabletext"/>
              <w:jc w:val="right"/>
              <w:rPr>
                <w:szCs w:val="20"/>
              </w:rPr>
            </w:pPr>
            <w:r w:rsidRPr="001F362B">
              <w:rPr>
                <w:rFonts w:cs="Calibri"/>
                <w:color w:val="000000"/>
                <w:szCs w:val="20"/>
              </w:rPr>
              <w:t>17,525</w:t>
            </w:r>
          </w:p>
        </w:tc>
        <w:tc>
          <w:tcPr>
            <w:tcW w:w="681" w:type="pct"/>
            <w:tcBorders>
              <w:top w:val="nil"/>
              <w:left w:val="nil"/>
              <w:bottom w:val="nil"/>
              <w:right w:val="single" w:sz="4" w:space="0" w:color="00274C" w:themeColor="accent1"/>
            </w:tcBorders>
            <w:tcMar>
              <w:left w:w="115" w:type="dxa"/>
              <w:right w:w="288" w:type="dxa"/>
            </w:tcMar>
            <w:vAlign w:val="center"/>
          </w:tcPr>
          <w:p w14:paraId="527A31F4" w14:textId="5F91CBDB" w:rsidR="001F362B" w:rsidRPr="001F362B" w:rsidRDefault="001F362B" w:rsidP="001F362B">
            <w:pPr>
              <w:pStyle w:val="Tabletext"/>
              <w:jc w:val="right"/>
              <w:rPr>
                <w:szCs w:val="20"/>
              </w:rPr>
            </w:pPr>
            <w:r w:rsidRPr="001F362B">
              <w:rPr>
                <w:szCs w:val="20"/>
              </w:rPr>
              <w:t>73</w:t>
            </w:r>
          </w:p>
        </w:tc>
        <w:tc>
          <w:tcPr>
            <w:tcW w:w="775" w:type="pct"/>
            <w:tcBorders>
              <w:top w:val="nil"/>
              <w:left w:val="single" w:sz="4" w:space="0" w:color="00274C" w:themeColor="accent1"/>
              <w:bottom w:val="nil"/>
              <w:right w:val="nil"/>
            </w:tcBorders>
            <w:tcMar>
              <w:left w:w="115" w:type="dxa"/>
              <w:right w:w="432" w:type="dxa"/>
            </w:tcMar>
            <w:vAlign w:val="center"/>
          </w:tcPr>
          <w:p w14:paraId="598689DC" w14:textId="543FCBC1" w:rsidR="001F362B" w:rsidRPr="001F362B" w:rsidRDefault="001F362B" w:rsidP="001F362B">
            <w:pPr>
              <w:pStyle w:val="Tabletext"/>
              <w:jc w:val="right"/>
              <w:rPr>
                <w:szCs w:val="20"/>
              </w:rPr>
            </w:pPr>
            <w:r w:rsidRPr="001F362B">
              <w:rPr>
                <w:rFonts w:cs="Calibri"/>
                <w:color w:val="000000"/>
                <w:szCs w:val="20"/>
              </w:rPr>
              <w:t>5.7</w:t>
            </w:r>
          </w:p>
        </w:tc>
        <w:tc>
          <w:tcPr>
            <w:tcW w:w="681" w:type="pct"/>
            <w:tcBorders>
              <w:top w:val="nil"/>
              <w:left w:val="nil"/>
              <w:bottom w:val="nil"/>
              <w:right w:val="nil"/>
            </w:tcBorders>
            <w:tcMar>
              <w:left w:w="115" w:type="dxa"/>
              <w:right w:w="432" w:type="dxa"/>
            </w:tcMar>
            <w:vAlign w:val="center"/>
          </w:tcPr>
          <w:p w14:paraId="19639604" w14:textId="5C42C31C" w:rsidR="001F362B" w:rsidRPr="001F362B" w:rsidRDefault="001F362B" w:rsidP="001F362B">
            <w:pPr>
              <w:pStyle w:val="Tabletext"/>
              <w:jc w:val="right"/>
              <w:rPr>
                <w:szCs w:val="20"/>
              </w:rPr>
            </w:pPr>
            <w:r w:rsidRPr="001F362B">
              <w:rPr>
                <w:szCs w:val="20"/>
              </w:rPr>
              <w:t>5.0</w:t>
            </w:r>
          </w:p>
        </w:tc>
      </w:tr>
      <w:tr w:rsidR="001F362B" w:rsidRPr="00C729DA" w14:paraId="0E546813" w14:textId="1C7EC9CF" w:rsidTr="003A1AD0">
        <w:trPr>
          <w:trHeight w:val="290"/>
        </w:trPr>
        <w:tc>
          <w:tcPr>
            <w:tcW w:w="427" w:type="pct"/>
            <w:tcBorders>
              <w:top w:val="nil"/>
              <w:left w:val="nil"/>
              <w:bottom w:val="nil"/>
              <w:right w:val="nil"/>
            </w:tcBorders>
            <w:shd w:val="clear" w:color="auto" w:fill="auto"/>
            <w:noWrap/>
            <w:vAlign w:val="center"/>
            <w:hideMark/>
          </w:tcPr>
          <w:p w14:paraId="4F53832B" w14:textId="77777777" w:rsidR="001F362B" w:rsidRPr="00E01E95" w:rsidRDefault="001F362B" w:rsidP="001F362B">
            <w:pPr>
              <w:pStyle w:val="Tabletext"/>
              <w:keepNext/>
              <w:jc w:val="right"/>
            </w:pPr>
            <w:r w:rsidRPr="00E01E95">
              <w:t>100</w:t>
            </w:r>
          </w:p>
        </w:tc>
        <w:tc>
          <w:tcPr>
            <w:tcW w:w="1661" w:type="pct"/>
            <w:tcBorders>
              <w:top w:val="nil"/>
              <w:left w:val="nil"/>
              <w:bottom w:val="nil"/>
              <w:right w:val="nil"/>
            </w:tcBorders>
            <w:shd w:val="clear" w:color="auto" w:fill="auto"/>
            <w:noWrap/>
            <w:vAlign w:val="center"/>
            <w:hideMark/>
          </w:tcPr>
          <w:p w14:paraId="51DBE216" w14:textId="77777777" w:rsidR="001F362B" w:rsidRPr="00E01E95" w:rsidRDefault="001F362B" w:rsidP="001F362B">
            <w:pPr>
              <w:pStyle w:val="Tabletext"/>
              <w:keepNext/>
            </w:pPr>
            <w:r w:rsidRPr="00E01E95">
              <w:t>4900 Communications</w:t>
            </w:r>
          </w:p>
        </w:tc>
        <w:tc>
          <w:tcPr>
            <w:tcW w:w="775" w:type="pct"/>
            <w:tcBorders>
              <w:top w:val="nil"/>
              <w:left w:val="nil"/>
              <w:right w:val="nil"/>
            </w:tcBorders>
            <w:shd w:val="clear" w:color="auto" w:fill="auto"/>
            <w:noWrap/>
            <w:vAlign w:val="center"/>
            <w:hideMark/>
          </w:tcPr>
          <w:p w14:paraId="7B7D3B2F" w14:textId="7C2B29A6" w:rsidR="001F362B" w:rsidRPr="001F362B" w:rsidRDefault="001F362B" w:rsidP="001F362B">
            <w:pPr>
              <w:pStyle w:val="Tabletext"/>
              <w:jc w:val="right"/>
              <w:rPr>
                <w:szCs w:val="20"/>
              </w:rPr>
            </w:pPr>
            <w:r w:rsidRPr="001F362B">
              <w:rPr>
                <w:rFonts w:cs="Calibri"/>
                <w:color w:val="000000"/>
                <w:szCs w:val="20"/>
              </w:rPr>
              <w:t>2,168</w:t>
            </w:r>
          </w:p>
        </w:tc>
        <w:tc>
          <w:tcPr>
            <w:tcW w:w="681" w:type="pct"/>
            <w:tcBorders>
              <w:top w:val="nil"/>
              <w:left w:val="nil"/>
              <w:right w:val="single" w:sz="4" w:space="0" w:color="00274C" w:themeColor="accent1"/>
            </w:tcBorders>
            <w:tcMar>
              <w:left w:w="115" w:type="dxa"/>
              <w:right w:w="288" w:type="dxa"/>
            </w:tcMar>
            <w:vAlign w:val="center"/>
          </w:tcPr>
          <w:p w14:paraId="57A769F8" w14:textId="66B3F6F6" w:rsidR="001F362B" w:rsidRPr="001F362B" w:rsidRDefault="001F362B" w:rsidP="001F362B">
            <w:pPr>
              <w:pStyle w:val="Tabletext"/>
              <w:jc w:val="right"/>
              <w:rPr>
                <w:szCs w:val="20"/>
              </w:rPr>
            </w:pPr>
            <w:r w:rsidRPr="001F362B">
              <w:rPr>
                <w:szCs w:val="20"/>
              </w:rPr>
              <w:t>16</w:t>
            </w:r>
          </w:p>
        </w:tc>
        <w:tc>
          <w:tcPr>
            <w:tcW w:w="775" w:type="pct"/>
            <w:tcBorders>
              <w:top w:val="nil"/>
              <w:left w:val="single" w:sz="4" w:space="0" w:color="00274C" w:themeColor="accent1"/>
              <w:right w:val="nil"/>
            </w:tcBorders>
            <w:tcMar>
              <w:left w:w="115" w:type="dxa"/>
              <w:right w:w="432" w:type="dxa"/>
            </w:tcMar>
            <w:vAlign w:val="center"/>
          </w:tcPr>
          <w:p w14:paraId="4710C013" w14:textId="63267891" w:rsidR="001F362B" w:rsidRPr="001F362B" w:rsidRDefault="001F362B" w:rsidP="001F362B">
            <w:pPr>
              <w:pStyle w:val="Tabletext"/>
              <w:jc w:val="right"/>
              <w:rPr>
                <w:szCs w:val="20"/>
              </w:rPr>
            </w:pPr>
            <w:r w:rsidRPr="001F362B">
              <w:rPr>
                <w:rFonts w:cs="Calibri"/>
                <w:color w:val="000000"/>
                <w:szCs w:val="20"/>
              </w:rPr>
              <w:t>0.7</w:t>
            </w:r>
          </w:p>
        </w:tc>
        <w:tc>
          <w:tcPr>
            <w:tcW w:w="681" w:type="pct"/>
            <w:tcBorders>
              <w:top w:val="nil"/>
              <w:left w:val="nil"/>
              <w:right w:val="nil"/>
            </w:tcBorders>
            <w:tcMar>
              <w:left w:w="115" w:type="dxa"/>
              <w:right w:w="432" w:type="dxa"/>
            </w:tcMar>
            <w:vAlign w:val="center"/>
          </w:tcPr>
          <w:p w14:paraId="68A56361" w14:textId="325F999F" w:rsidR="001F362B" w:rsidRPr="001F362B" w:rsidRDefault="001F362B" w:rsidP="001F362B">
            <w:pPr>
              <w:pStyle w:val="Tabletext"/>
              <w:jc w:val="right"/>
              <w:rPr>
                <w:szCs w:val="20"/>
              </w:rPr>
            </w:pPr>
            <w:r w:rsidRPr="001F362B">
              <w:rPr>
                <w:szCs w:val="20"/>
              </w:rPr>
              <w:t>1.1</w:t>
            </w:r>
          </w:p>
        </w:tc>
      </w:tr>
      <w:tr w:rsidR="001F362B" w:rsidRPr="00C729DA" w14:paraId="1A324500" w14:textId="2BE26F35" w:rsidTr="003A1AD0">
        <w:trPr>
          <w:trHeight w:val="290"/>
        </w:trPr>
        <w:tc>
          <w:tcPr>
            <w:tcW w:w="427" w:type="pct"/>
            <w:tcBorders>
              <w:top w:val="nil"/>
              <w:left w:val="nil"/>
              <w:right w:val="nil"/>
            </w:tcBorders>
            <w:shd w:val="clear" w:color="auto" w:fill="auto"/>
            <w:noWrap/>
            <w:vAlign w:val="center"/>
            <w:hideMark/>
          </w:tcPr>
          <w:p w14:paraId="572946E4" w14:textId="77777777" w:rsidR="001F362B" w:rsidRPr="00E01E95" w:rsidRDefault="001F362B" w:rsidP="001F362B">
            <w:pPr>
              <w:pStyle w:val="Tabletext"/>
              <w:keepNext/>
              <w:jc w:val="right"/>
            </w:pPr>
            <w:r w:rsidRPr="00E01E95">
              <w:t>100</w:t>
            </w:r>
          </w:p>
        </w:tc>
        <w:tc>
          <w:tcPr>
            <w:tcW w:w="1661" w:type="pct"/>
            <w:tcBorders>
              <w:top w:val="nil"/>
              <w:left w:val="nil"/>
              <w:right w:val="nil"/>
            </w:tcBorders>
            <w:shd w:val="clear" w:color="auto" w:fill="auto"/>
            <w:noWrap/>
            <w:vAlign w:val="center"/>
            <w:hideMark/>
          </w:tcPr>
          <w:p w14:paraId="65917630" w14:textId="77777777" w:rsidR="001F362B" w:rsidRPr="00E01E95" w:rsidRDefault="001F362B" w:rsidP="001F362B">
            <w:pPr>
              <w:pStyle w:val="Tabletext"/>
              <w:keepNext/>
            </w:pPr>
            <w:r w:rsidRPr="00E01E95">
              <w:t>6000 Miscellaneous</w:t>
            </w:r>
          </w:p>
        </w:tc>
        <w:tc>
          <w:tcPr>
            <w:tcW w:w="775" w:type="pct"/>
            <w:tcBorders>
              <w:top w:val="nil"/>
              <w:left w:val="nil"/>
              <w:bottom w:val="single" w:sz="4" w:space="0" w:color="00274C" w:themeColor="accent1"/>
              <w:right w:val="nil"/>
            </w:tcBorders>
            <w:shd w:val="clear" w:color="auto" w:fill="auto"/>
            <w:noWrap/>
            <w:vAlign w:val="center"/>
            <w:hideMark/>
          </w:tcPr>
          <w:p w14:paraId="186FF5B8" w14:textId="06EC5931" w:rsidR="001F362B" w:rsidRPr="001F362B" w:rsidRDefault="001F362B" w:rsidP="001F362B">
            <w:pPr>
              <w:pStyle w:val="Tabletext"/>
              <w:jc w:val="right"/>
              <w:rPr>
                <w:szCs w:val="20"/>
              </w:rPr>
            </w:pPr>
            <w:r w:rsidRPr="001F362B">
              <w:rPr>
                <w:rFonts w:cs="Calibri"/>
                <w:color w:val="000000"/>
                <w:szCs w:val="20"/>
              </w:rPr>
              <w:t>204</w:t>
            </w:r>
          </w:p>
        </w:tc>
        <w:tc>
          <w:tcPr>
            <w:tcW w:w="681" w:type="pct"/>
            <w:tcBorders>
              <w:top w:val="nil"/>
              <w:left w:val="nil"/>
              <w:bottom w:val="single" w:sz="4" w:space="0" w:color="00274C" w:themeColor="accent1"/>
              <w:right w:val="single" w:sz="4" w:space="0" w:color="00274C" w:themeColor="accent1"/>
            </w:tcBorders>
            <w:tcMar>
              <w:left w:w="115" w:type="dxa"/>
              <w:right w:w="288" w:type="dxa"/>
            </w:tcMar>
            <w:vAlign w:val="center"/>
          </w:tcPr>
          <w:p w14:paraId="2B7F0217" w14:textId="6AD03A8A" w:rsidR="001F362B" w:rsidRPr="001F362B" w:rsidRDefault="001F362B" w:rsidP="001F362B">
            <w:pPr>
              <w:pStyle w:val="Tabletext"/>
              <w:jc w:val="right"/>
              <w:rPr>
                <w:szCs w:val="20"/>
              </w:rPr>
            </w:pPr>
            <w:r w:rsidRPr="001F362B">
              <w:rPr>
                <w:szCs w:val="20"/>
              </w:rPr>
              <w:t>1</w:t>
            </w:r>
          </w:p>
        </w:tc>
        <w:tc>
          <w:tcPr>
            <w:tcW w:w="775" w:type="pct"/>
            <w:tcBorders>
              <w:top w:val="nil"/>
              <w:left w:val="single" w:sz="4" w:space="0" w:color="00274C" w:themeColor="accent1"/>
              <w:bottom w:val="single" w:sz="4" w:space="0" w:color="00274C" w:themeColor="accent1"/>
              <w:right w:val="nil"/>
            </w:tcBorders>
            <w:tcMar>
              <w:left w:w="115" w:type="dxa"/>
              <w:right w:w="432" w:type="dxa"/>
            </w:tcMar>
            <w:vAlign w:val="center"/>
          </w:tcPr>
          <w:p w14:paraId="28D11E78" w14:textId="62128300" w:rsidR="001F362B" w:rsidRPr="001F362B" w:rsidRDefault="001F362B" w:rsidP="001F362B">
            <w:pPr>
              <w:pStyle w:val="Tabletext"/>
              <w:jc w:val="right"/>
              <w:rPr>
                <w:szCs w:val="20"/>
              </w:rPr>
            </w:pPr>
            <w:r w:rsidRPr="001F362B">
              <w:rPr>
                <w:rFonts w:cs="Calibri"/>
                <w:color w:val="000000"/>
                <w:szCs w:val="20"/>
              </w:rPr>
              <w:t>0.1</w:t>
            </w:r>
          </w:p>
        </w:tc>
        <w:tc>
          <w:tcPr>
            <w:tcW w:w="681" w:type="pct"/>
            <w:tcBorders>
              <w:top w:val="nil"/>
              <w:left w:val="nil"/>
              <w:bottom w:val="single" w:sz="4" w:space="0" w:color="00274C" w:themeColor="accent1"/>
              <w:right w:val="nil"/>
            </w:tcBorders>
            <w:tcMar>
              <w:left w:w="115" w:type="dxa"/>
              <w:right w:w="432" w:type="dxa"/>
            </w:tcMar>
            <w:vAlign w:val="center"/>
          </w:tcPr>
          <w:p w14:paraId="798AAFBE" w14:textId="2F06B831" w:rsidR="001F362B" w:rsidRPr="001F362B" w:rsidRDefault="001F362B" w:rsidP="001F362B">
            <w:pPr>
              <w:pStyle w:val="Tabletext"/>
              <w:jc w:val="right"/>
              <w:rPr>
                <w:szCs w:val="20"/>
              </w:rPr>
            </w:pPr>
            <w:r w:rsidRPr="001F362B">
              <w:rPr>
                <w:szCs w:val="20"/>
              </w:rPr>
              <w:t>0.1</w:t>
            </w:r>
          </w:p>
        </w:tc>
      </w:tr>
      <w:tr w:rsidR="00E01E95" w:rsidRPr="00C729DA" w14:paraId="63C67FE3" w14:textId="5884F72B" w:rsidTr="003A1AD0">
        <w:trPr>
          <w:trHeight w:val="290"/>
        </w:trPr>
        <w:tc>
          <w:tcPr>
            <w:tcW w:w="427" w:type="pct"/>
            <w:tcBorders>
              <w:top w:val="nil"/>
              <w:left w:val="nil"/>
              <w:bottom w:val="single" w:sz="4" w:space="0" w:color="00274C" w:themeColor="accent1"/>
              <w:right w:val="nil"/>
            </w:tcBorders>
            <w:shd w:val="clear" w:color="auto" w:fill="auto"/>
            <w:noWrap/>
            <w:vAlign w:val="center"/>
          </w:tcPr>
          <w:p w14:paraId="2285CB7D" w14:textId="1FDF76AA" w:rsidR="00E01E95" w:rsidRPr="00E01E95" w:rsidRDefault="00E01E95" w:rsidP="00E01E95">
            <w:pPr>
              <w:pStyle w:val="Tabletext"/>
            </w:pPr>
          </w:p>
        </w:tc>
        <w:tc>
          <w:tcPr>
            <w:tcW w:w="1661" w:type="pct"/>
            <w:tcBorders>
              <w:top w:val="nil"/>
              <w:left w:val="nil"/>
              <w:bottom w:val="single" w:sz="4" w:space="0" w:color="00274C" w:themeColor="accent1"/>
              <w:right w:val="nil"/>
            </w:tcBorders>
            <w:shd w:val="clear" w:color="auto" w:fill="auto"/>
            <w:noWrap/>
            <w:vAlign w:val="center"/>
          </w:tcPr>
          <w:p w14:paraId="01DC3F93" w14:textId="5AD8180C" w:rsidR="00E01E95" w:rsidRPr="00E01E95" w:rsidRDefault="00E01E95" w:rsidP="00E01E95">
            <w:pPr>
              <w:pStyle w:val="Tabletext"/>
            </w:pPr>
          </w:p>
        </w:tc>
        <w:tc>
          <w:tcPr>
            <w:tcW w:w="775" w:type="pct"/>
            <w:tcBorders>
              <w:top w:val="single" w:sz="4" w:space="0" w:color="00274C" w:themeColor="accent1"/>
              <w:left w:val="nil"/>
              <w:bottom w:val="single" w:sz="4" w:space="0" w:color="00274C" w:themeColor="accent1"/>
              <w:right w:val="nil"/>
            </w:tcBorders>
            <w:shd w:val="clear" w:color="auto" w:fill="auto"/>
            <w:noWrap/>
            <w:vAlign w:val="center"/>
          </w:tcPr>
          <w:p w14:paraId="797F909D" w14:textId="05A069AA" w:rsidR="00E01E95" w:rsidRPr="008D1A30" w:rsidRDefault="00E01E95" w:rsidP="008D1A30">
            <w:pPr>
              <w:pStyle w:val="Tabletext"/>
              <w:jc w:val="right"/>
            </w:pPr>
            <w:r w:rsidRPr="008D1A30">
              <w:t>3</w:t>
            </w:r>
            <w:r w:rsidR="001F362B">
              <w:t>09,269</w:t>
            </w:r>
          </w:p>
        </w:tc>
        <w:tc>
          <w:tcPr>
            <w:tcW w:w="681" w:type="pct"/>
            <w:tcBorders>
              <w:top w:val="single" w:sz="4" w:space="0" w:color="00274C" w:themeColor="accent1"/>
              <w:left w:val="nil"/>
              <w:bottom w:val="single" w:sz="4" w:space="0" w:color="00274C" w:themeColor="accent1"/>
              <w:right w:val="single" w:sz="4" w:space="0" w:color="00274C" w:themeColor="accent1"/>
            </w:tcBorders>
            <w:tcMar>
              <w:left w:w="115" w:type="dxa"/>
              <w:right w:w="288" w:type="dxa"/>
            </w:tcMar>
            <w:vAlign w:val="center"/>
          </w:tcPr>
          <w:p w14:paraId="2DDBC94E" w14:textId="33C8CE0B" w:rsidR="00E01E95" w:rsidRPr="008D1A30" w:rsidRDefault="00E01E95" w:rsidP="008D1A30">
            <w:pPr>
              <w:pStyle w:val="Tabletext"/>
              <w:jc w:val="right"/>
            </w:pPr>
            <w:r w:rsidRPr="008D1A30">
              <w:t>1,471</w:t>
            </w:r>
          </w:p>
        </w:tc>
        <w:tc>
          <w:tcPr>
            <w:tcW w:w="775" w:type="pct"/>
            <w:tcBorders>
              <w:top w:val="single" w:sz="4" w:space="0" w:color="00274C" w:themeColor="accent1"/>
              <w:left w:val="single" w:sz="4" w:space="0" w:color="00274C" w:themeColor="accent1"/>
              <w:bottom w:val="single" w:sz="4" w:space="0" w:color="00274C" w:themeColor="accent1"/>
              <w:right w:val="nil"/>
            </w:tcBorders>
            <w:tcMar>
              <w:left w:w="115" w:type="dxa"/>
              <w:right w:w="432" w:type="dxa"/>
            </w:tcMar>
            <w:vAlign w:val="center"/>
          </w:tcPr>
          <w:p w14:paraId="000B233D" w14:textId="5E2C5FCA" w:rsidR="00E01E95" w:rsidRPr="008D1A30" w:rsidRDefault="00E01E95" w:rsidP="008D1A30">
            <w:pPr>
              <w:pStyle w:val="Tabletext"/>
              <w:jc w:val="right"/>
            </w:pPr>
            <w:r w:rsidRPr="008D1A30">
              <w:t>100.0</w:t>
            </w:r>
          </w:p>
        </w:tc>
        <w:tc>
          <w:tcPr>
            <w:tcW w:w="681" w:type="pct"/>
            <w:tcBorders>
              <w:top w:val="single" w:sz="4" w:space="0" w:color="00274C" w:themeColor="accent1"/>
              <w:left w:val="nil"/>
              <w:bottom w:val="single" w:sz="4" w:space="0" w:color="00274C" w:themeColor="accent1"/>
              <w:right w:val="nil"/>
            </w:tcBorders>
            <w:tcMar>
              <w:left w:w="115" w:type="dxa"/>
              <w:right w:w="432" w:type="dxa"/>
            </w:tcMar>
            <w:vAlign w:val="center"/>
          </w:tcPr>
          <w:p w14:paraId="46537CE1" w14:textId="391286C4" w:rsidR="00E01E95" w:rsidRPr="008D1A30" w:rsidRDefault="00E01E95" w:rsidP="008D1A30">
            <w:pPr>
              <w:pStyle w:val="Tabletext"/>
              <w:jc w:val="right"/>
            </w:pPr>
            <w:r w:rsidRPr="008D1A30">
              <w:t>100.0</w:t>
            </w:r>
          </w:p>
        </w:tc>
      </w:tr>
    </w:tbl>
    <w:p w14:paraId="34C526E2" w14:textId="77777777" w:rsidR="00182FF2" w:rsidRPr="00182FF2" w:rsidRDefault="00182FF2" w:rsidP="00182FF2">
      <w:pPr>
        <w:pStyle w:val="NoSpacing"/>
      </w:pPr>
    </w:p>
    <w:p w14:paraId="163374FA" w14:textId="53E5DFBD" w:rsidR="00182FF2" w:rsidRPr="000D0E85" w:rsidRDefault="00182FF2" w:rsidP="00182FF2">
      <w:pPr>
        <w:pStyle w:val="ListParagraph"/>
        <w:numPr>
          <w:ilvl w:val="1"/>
          <w:numId w:val="43"/>
        </w:numPr>
        <w:rPr>
          <w:b/>
          <w:bCs/>
        </w:rPr>
      </w:pPr>
      <w:r>
        <w:t>Typical of samples of stock returns, the adjusted stock returns exhibit skewness. The average adjusted stock return is 1.5 per cent compared to the median of 1.2 per cent. 75 per cent of monthly stock returns lie within the range of -9.9 per cent to 12.6 per cent. The average monthly return on the S&amp;P 400 Midcap index is -1.1 per cent and 75 per cent of benchmark returns lie within the range of -4.3 per cent to 6.0 per cent. We have preliminary evidence that small stocks earn higher returns than large stocks, given the mean adjusted abnormal return of 0.4 per cent. The mean returns in the table are equal-weighted, and the S&amp;P 400 Midcap index is a value-weighted index. So, allocating funds based on market capitalization generated an average monthly return which was 0.4 per cent lower than allocating funds on an equal-weighted basis.</w:t>
      </w:r>
    </w:p>
    <w:p w14:paraId="4F1B5809" w14:textId="77777777" w:rsidR="00182FF2" w:rsidRPr="00182FF2" w:rsidRDefault="00182FF2" w:rsidP="00182FF2">
      <w:pPr>
        <w:pStyle w:val="ListParagraph"/>
        <w:numPr>
          <w:ilvl w:val="2"/>
          <w:numId w:val="43"/>
        </w:numPr>
        <w:rPr>
          <w:b/>
          <w:bCs/>
        </w:rPr>
      </w:pPr>
      <w:r>
        <w:t>Market capitalization is transformed to its natural logarithm of thousands of dollars (for example, if market capitalization is $2 billion, LN 2,000,000 = 14.5). If there is a relationship between company size and returns, it is more likely to be apparent in the log transformation. Market capitalization in the S&amp;P Midcap 400 is skewed towards a small number of large firms, typical of any index.</w:t>
      </w:r>
    </w:p>
    <w:p w14:paraId="670D3A77" w14:textId="77777777" w:rsidR="00182FF2" w:rsidRPr="00CE7848" w:rsidRDefault="00182FF2" w:rsidP="00182FF2">
      <w:pPr>
        <w:pStyle w:val="ListParagraph"/>
        <w:numPr>
          <w:ilvl w:val="2"/>
          <w:numId w:val="43"/>
        </w:numPr>
        <w:rPr>
          <w:b/>
          <w:bCs/>
        </w:rPr>
      </w:pPr>
      <w:r>
        <w:lastRenderedPageBreak/>
        <w:t>The five largest stocks in the sample, on average, are QUALCOMM (1300 Electronic Technology, $68 billion). NVIDIA (1300 Electronic Technology $58 billion), WorldCom (4900 Communications $55 billion), Dell (1300 Electronic Technology $51 billion) and Netflix (3300 Technology Services $50 billion).</w:t>
      </w:r>
    </w:p>
    <w:p w14:paraId="0188E856" w14:textId="77777777" w:rsidR="00182FF2" w:rsidRPr="000D0E85" w:rsidRDefault="00182FF2" w:rsidP="00182FF2">
      <w:pPr>
        <w:pStyle w:val="ListParagraph"/>
        <w:numPr>
          <w:ilvl w:val="2"/>
          <w:numId w:val="43"/>
        </w:numPr>
        <w:rPr>
          <w:b/>
          <w:bCs/>
        </w:rPr>
      </w:pPr>
      <w:r>
        <w:t>The five smallest stocks in the sample have average market capitalization of less than $135 million.</w:t>
      </w:r>
    </w:p>
    <w:p w14:paraId="01905D9C" w14:textId="13313C73" w:rsidR="008D1A30" w:rsidRDefault="008D1A30" w:rsidP="008D1A30">
      <w:pPr>
        <w:pStyle w:val="Caption"/>
      </w:pPr>
      <w:bookmarkStart w:id="6" w:name="_Ref125832911"/>
      <w:bookmarkStart w:id="7" w:name="_Toc125893681"/>
      <w:r>
        <w:t xml:space="preserve">Table </w:t>
      </w:r>
      <w:fldSimple w:instr=" SEQ Table \* ARABIC ">
        <w:r w:rsidR="00262423">
          <w:rPr>
            <w:noProof/>
          </w:rPr>
          <w:t>2</w:t>
        </w:r>
      </w:fldSimple>
      <w:bookmarkEnd w:id="6"/>
      <w:r>
        <w:t>. Distribution of stock returns, abnormal returns and benchmark returns</w:t>
      </w:r>
      <w:bookmarkEnd w:id="7"/>
    </w:p>
    <w:tbl>
      <w:tblPr>
        <w:tblStyle w:val="TableGrid"/>
        <w:tblW w:w="0" w:type="auto"/>
        <w:tblBorders>
          <w:top w:val="none" w:sz="0" w:space="0" w:color="auto"/>
          <w:left w:val="none" w:sz="0" w:space="0" w:color="auto"/>
          <w:bottom w:val="single" w:sz="4" w:space="0" w:color="00274C" w:themeColor="accent1"/>
          <w:right w:val="none" w:sz="0" w:space="0" w:color="auto"/>
          <w:insideH w:val="none" w:sz="0" w:space="0" w:color="auto"/>
          <w:insideV w:val="none" w:sz="0" w:space="0" w:color="auto"/>
        </w:tblBorders>
        <w:tblLook w:val="04A0" w:firstRow="1" w:lastRow="0" w:firstColumn="1" w:lastColumn="0" w:noHBand="0" w:noVBand="1"/>
      </w:tblPr>
      <w:tblGrid>
        <w:gridCol w:w="2875"/>
        <w:gridCol w:w="1618"/>
        <w:gridCol w:w="1619"/>
        <w:gridCol w:w="1619"/>
        <w:gridCol w:w="1619"/>
      </w:tblGrid>
      <w:tr w:rsidR="008D1A30" w14:paraId="5018C2C9" w14:textId="77777777" w:rsidTr="00EC4FE0">
        <w:tc>
          <w:tcPr>
            <w:tcW w:w="2875" w:type="dxa"/>
            <w:tcBorders>
              <w:top w:val="single" w:sz="4" w:space="0" w:color="00274C" w:themeColor="accent1"/>
              <w:bottom w:val="nil"/>
            </w:tcBorders>
            <w:tcMar>
              <w:top w:w="29" w:type="dxa"/>
              <w:left w:w="115" w:type="dxa"/>
              <w:bottom w:w="29" w:type="dxa"/>
              <w:right w:w="115" w:type="dxa"/>
            </w:tcMar>
            <w:vAlign w:val="center"/>
          </w:tcPr>
          <w:p w14:paraId="571DE08B" w14:textId="77777777" w:rsidR="008D1A30" w:rsidRPr="008D1A30" w:rsidRDefault="008D1A30" w:rsidP="008D1A30">
            <w:pPr>
              <w:pStyle w:val="Tabletext"/>
            </w:pPr>
          </w:p>
        </w:tc>
        <w:tc>
          <w:tcPr>
            <w:tcW w:w="1618" w:type="dxa"/>
            <w:tcBorders>
              <w:top w:val="single" w:sz="4" w:space="0" w:color="00274C" w:themeColor="accent1"/>
              <w:bottom w:val="single" w:sz="4" w:space="0" w:color="00274C" w:themeColor="accent1"/>
            </w:tcBorders>
            <w:tcMar>
              <w:top w:w="29" w:type="dxa"/>
              <w:left w:w="115" w:type="dxa"/>
              <w:bottom w:w="29" w:type="dxa"/>
              <w:right w:w="115" w:type="dxa"/>
            </w:tcMar>
            <w:vAlign w:val="center"/>
          </w:tcPr>
          <w:p w14:paraId="303C274A" w14:textId="62EDA86E" w:rsidR="008D1A30" w:rsidRPr="008D1A30" w:rsidRDefault="008D1A30" w:rsidP="008D1A30">
            <w:pPr>
              <w:pStyle w:val="Tabletext"/>
              <w:jc w:val="center"/>
            </w:pPr>
            <w:r w:rsidRPr="008D1A30">
              <w:t>Mean</w:t>
            </w:r>
          </w:p>
        </w:tc>
        <w:tc>
          <w:tcPr>
            <w:tcW w:w="1619" w:type="dxa"/>
            <w:tcBorders>
              <w:top w:val="single" w:sz="4" w:space="0" w:color="00274C" w:themeColor="accent1"/>
              <w:bottom w:val="single" w:sz="4" w:space="0" w:color="00274C" w:themeColor="accent1"/>
            </w:tcBorders>
            <w:tcMar>
              <w:top w:w="29" w:type="dxa"/>
              <w:left w:w="115" w:type="dxa"/>
              <w:bottom w:w="29" w:type="dxa"/>
              <w:right w:w="115" w:type="dxa"/>
            </w:tcMar>
            <w:vAlign w:val="center"/>
          </w:tcPr>
          <w:p w14:paraId="0EBBFFDA" w14:textId="1EC1797E" w:rsidR="008D1A30" w:rsidRPr="008D1A30" w:rsidRDefault="008D1A30" w:rsidP="008D1A30">
            <w:pPr>
              <w:pStyle w:val="Tabletext"/>
              <w:jc w:val="center"/>
            </w:pPr>
            <w:r w:rsidRPr="008D1A30">
              <w:t>12.5</w:t>
            </w:r>
          </w:p>
        </w:tc>
        <w:tc>
          <w:tcPr>
            <w:tcW w:w="1619" w:type="dxa"/>
            <w:tcBorders>
              <w:top w:val="single" w:sz="4" w:space="0" w:color="00274C" w:themeColor="accent1"/>
              <w:bottom w:val="single" w:sz="4" w:space="0" w:color="00274C" w:themeColor="accent1"/>
            </w:tcBorders>
            <w:tcMar>
              <w:top w:w="29" w:type="dxa"/>
              <w:left w:w="115" w:type="dxa"/>
              <w:bottom w:w="29" w:type="dxa"/>
              <w:right w:w="115" w:type="dxa"/>
            </w:tcMar>
            <w:vAlign w:val="center"/>
          </w:tcPr>
          <w:p w14:paraId="5D5309FD" w14:textId="1588CDD3" w:rsidR="008D1A30" w:rsidRPr="008D1A30" w:rsidRDefault="008D1A30" w:rsidP="008D1A30">
            <w:pPr>
              <w:pStyle w:val="Tabletext"/>
              <w:jc w:val="center"/>
            </w:pPr>
            <w:r w:rsidRPr="008D1A30">
              <w:t>Median</w:t>
            </w:r>
          </w:p>
        </w:tc>
        <w:tc>
          <w:tcPr>
            <w:tcW w:w="1619" w:type="dxa"/>
            <w:tcBorders>
              <w:top w:val="single" w:sz="4" w:space="0" w:color="00274C" w:themeColor="accent1"/>
              <w:bottom w:val="single" w:sz="4" w:space="0" w:color="00274C" w:themeColor="accent1"/>
            </w:tcBorders>
            <w:tcMar>
              <w:top w:w="29" w:type="dxa"/>
              <w:left w:w="115" w:type="dxa"/>
              <w:bottom w:w="29" w:type="dxa"/>
              <w:right w:w="115" w:type="dxa"/>
            </w:tcMar>
            <w:vAlign w:val="center"/>
          </w:tcPr>
          <w:p w14:paraId="55B306CD" w14:textId="2D9959EB" w:rsidR="008D1A30" w:rsidRPr="008D1A30" w:rsidRDefault="008D1A30" w:rsidP="008D1A30">
            <w:pPr>
              <w:pStyle w:val="Tabletext"/>
              <w:jc w:val="center"/>
            </w:pPr>
            <w:r w:rsidRPr="008D1A30">
              <w:t>87.5</w:t>
            </w:r>
          </w:p>
        </w:tc>
      </w:tr>
      <w:tr w:rsidR="001F362B" w14:paraId="21BB9528" w14:textId="77777777" w:rsidTr="00EC4FE0">
        <w:tc>
          <w:tcPr>
            <w:tcW w:w="2875" w:type="dxa"/>
            <w:tcBorders>
              <w:top w:val="nil"/>
            </w:tcBorders>
            <w:tcMar>
              <w:top w:w="29" w:type="dxa"/>
              <w:left w:w="115" w:type="dxa"/>
              <w:bottom w:w="29" w:type="dxa"/>
              <w:right w:w="115" w:type="dxa"/>
            </w:tcMar>
            <w:vAlign w:val="center"/>
          </w:tcPr>
          <w:p w14:paraId="60F56A77" w14:textId="738E6260" w:rsidR="001F362B" w:rsidRPr="008D1A30" w:rsidRDefault="001F362B" w:rsidP="001F362B">
            <w:pPr>
              <w:pStyle w:val="Tabletext"/>
            </w:pPr>
            <w:r w:rsidRPr="008D1A30">
              <w:t>Adjusted stock return</w:t>
            </w:r>
          </w:p>
        </w:tc>
        <w:tc>
          <w:tcPr>
            <w:tcW w:w="1618" w:type="dxa"/>
            <w:tcBorders>
              <w:top w:val="single" w:sz="4" w:space="0" w:color="00274C" w:themeColor="accent1"/>
            </w:tcBorders>
            <w:tcMar>
              <w:top w:w="29" w:type="dxa"/>
              <w:left w:w="115" w:type="dxa"/>
              <w:bottom w:w="29" w:type="dxa"/>
              <w:right w:w="504" w:type="dxa"/>
            </w:tcMar>
            <w:vAlign w:val="center"/>
          </w:tcPr>
          <w:p w14:paraId="42024214" w14:textId="7F90DEEA" w:rsidR="001F362B" w:rsidRPr="008D1A30" w:rsidRDefault="001F362B" w:rsidP="001F362B">
            <w:pPr>
              <w:pStyle w:val="Tabletext"/>
              <w:jc w:val="right"/>
            </w:pPr>
            <w:r>
              <w:rPr>
                <w:rFonts w:cs="Calibri"/>
                <w:color w:val="000000"/>
                <w:szCs w:val="20"/>
              </w:rPr>
              <w:t>1.5%</w:t>
            </w:r>
          </w:p>
        </w:tc>
        <w:tc>
          <w:tcPr>
            <w:tcW w:w="1619" w:type="dxa"/>
            <w:tcBorders>
              <w:top w:val="single" w:sz="4" w:space="0" w:color="00274C" w:themeColor="accent1"/>
            </w:tcBorders>
            <w:tcMar>
              <w:top w:w="29" w:type="dxa"/>
              <w:left w:w="115" w:type="dxa"/>
              <w:bottom w:w="29" w:type="dxa"/>
              <w:right w:w="504" w:type="dxa"/>
            </w:tcMar>
            <w:vAlign w:val="center"/>
          </w:tcPr>
          <w:p w14:paraId="6BADD3DA" w14:textId="59514B6B" w:rsidR="001F362B" w:rsidRPr="008D1A30" w:rsidRDefault="001F362B" w:rsidP="001F362B">
            <w:pPr>
              <w:pStyle w:val="Tabletext"/>
              <w:jc w:val="right"/>
            </w:pPr>
            <w:r>
              <w:rPr>
                <w:rFonts w:cs="Calibri"/>
                <w:color w:val="000000"/>
                <w:szCs w:val="20"/>
              </w:rPr>
              <w:t>-9.9%</w:t>
            </w:r>
          </w:p>
        </w:tc>
        <w:tc>
          <w:tcPr>
            <w:tcW w:w="1619" w:type="dxa"/>
            <w:tcBorders>
              <w:top w:val="single" w:sz="4" w:space="0" w:color="00274C" w:themeColor="accent1"/>
            </w:tcBorders>
            <w:tcMar>
              <w:top w:w="29" w:type="dxa"/>
              <w:left w:w="115" w:type="dxa"/>
              <w:bottom w:w="29" w:type="dxa"/>
              <w:right w:w="504" w:type="dxa"/>
            </w:tcMar>
            <w:vAlign w:val="center"/>
          </w:tcPr>
          <w:p w14:paraId="06A54331" w14:textId="5BEBAC2E" w:rsidR="001F362B" w:rsidRPr="008D1A30" w:rsidRDefault="001F362B" w:rsidP="001F362B">
            <w:pPr>
              <w:pStyle w:val="Tabletext"/>
              <w:jc w:val="right"/>
            </w:pPr>
            <w:r>
              <w:rPr>
                <w:rFonts w:cs="Calibri"/>
                <w:color w:val="000000"/>
                <w:szCs w:val="20"/>
              </w:rPr>
              <w:t>1.2%</w:t>
            </w:r>
          </w:p>
        </w:tc>
        <w:tc>
          <w:tcPr>
            <w:tcW w:w="1619" w:type="dxa"/>
            <w:tcBorders>
              <w:top w:val="single" w:sz="4" w:space="0" w:color="00274C" w:themeColor="accent1"/>
            </w:tcBorders>
            <w:tcMar>
              <w:top w:w="29" w:type="dxa"/>
              <w:left w:w="115" w:type="dxa"/>
              <w:bottom w:w="29" w:type="dxa"/>
              <w:right w:w="504" w:type="dxa"/>
            </w:tcMar>
            <w:vAlign w:val="center"/>
          </w:tcPr>
          <w:p w14:paraId="0D0F5EFC" w14:textId="5F0373D2" w:rsidR="001F362B" w:rsidRPr="008D1A30" w:rsidRDefault="001F362B" w:rsidP="001F362B">
            <w:pPr>
              <w:pStyle w:val="Tabletext"/>
              <w:jc w:val="right"/>
            </w:pPr>
            <w:r>
              <w:rPr>
                <w:rFonts w:cs="Calibri"/>
                <w:color w:val="000000"/>
                <w:szCs w:val="20"/>
              </w:rPr>
              <w:t>12.6%</w:t>
            </w:r>
          </w:p>
        </w:tc>
      </w:tr>
      <w:tr w:rsidR="001F362B" w14:paraId="475B2D5B" w14:textId="77777777" w:rsidTr="00EC4FE0">
        <w:tc>
          <w:tcPr>
            <w:tcW w:w="2875" w:type="dxa"/>
            <w:tcMar>
              <w:top w:w="29" w:type="dxa"/>
              <w:left w:w="115" w:type="dxa"/>
              <w:bottom w:w="29" w:type="dxa"/>
              <w:right w:w="115" w:type="dxa"/>
            </w:tcMar>
            <w:vAlign w:val="center"/>
          </w:tcPr>
          <w:p w14:paraId="3455EE6F" w14:textId="091974C6" w:rsidR="001F362B" w:rsidRPr="008D1A30" w:rsidRDefault="001F362B" w:rsidP="001F362B">
            <w:pPr>
              <w:pStyle w:val="Tabletext"/>
            </w:pPr>
            <w:r w:rsidRPr="008D1A30">
              <w:t>S&amp;P 400 Midcap</w:t>
            </w:r>
          </w:p>
        </w:tc>
        <w:tc>
          <w:tcPr>
            <w:tcW w:w="1618" w:type="dxa"/>
            <w:tcMar>
              <w:top w:w="29" w:type="dxa"/>
              <w:left w:w="115" w:type="dxa"/>
              <w:bottom w:w="29" w:type="dxa"/>
              <w:right w:w="504" w:type="dxa"/>
            </w:tcMar>
            <w:vAlign w:val="center"/>
          </w:tcPr>
          <w:p w14:paraId="5FA8D610" w14:textId="059FA2DD" w:rsidR="001F362B" w:rsidRPr="008D1A30" w:rsidRDefault="001F362B" w:rsidP="001F362B">
            <w:pPr>
              <w:pStyle w:val="Tabletext"/>
              <w:jc w:val="right"/>
            </w:pPr>
            <w:r>
              <w:rPr>
                <w:rFonts w:cs="Calibri"/>
                <w:color w:val="000000"/>
                <w:szCs w:val="20"/>
              </w:rPr>
              <w:t>1.1%</w:t>
            </w:r>
          </w:p>
        </w:tc>
        <w:tc>
          <w:tcPr>
            <w:tcW w:w="1619" w:type="dxa"/>
            <w:tcMar>
              <w:top w:w="29" w:type="dxa"/>
              <w:left w:w="115" w:type="dxa"/>
              <w:bottom w:w="29" w:type="dxa"/>
              <w:right w:w="504" w:type="dxa"/>
            </w:tcMar>
            <w:vAlign w:val="center"/>
          </w:tcPr>
          <w:p w14:paraId="6B29176D" w14:textId="6C7FD598" w:rsidR="001F362B" w:rsidRPr="008D1A30" w:rsidRDefault="001F362B" w:rsidP="001F362B">
            <w:pPr>
              <w:pStyle w:val="Tabletext"/>
              <w:jc w:val="right"/>
            </w:pPr>
            <w:r>
              <w:rPr>
                <w:rFonts w:cs="Calibri"/>
                <w:color w:val="000000"/>
                <w:szCs w:val="20"/>
              </w:rPr>
              <w:t>-4.3%</w:t>
            </w:r>
          </w:p>
        </w:tc>
        <w:tc>
          <w:tcPr>
            <w:tcW w:w="1619" w:type="dxa"/>
            <w:tcMar>
              <w:top w:w="29" w:type="dxa"/>
              <w:left w:w="115" w:type="dxa"/>
              <w:bottom w:w="29" w:type="dxa"/>
              <w:right w:w="504" w:type="dxa"/>
            </w:tcMar>
            <w:vAlign w:val="center"/>
          </w:tcPr>
          <w:p w14:paraId="227494DB" w14:textId="3F152DB6" w:rsidR="001F362B" w:rsidRPr="008D1A30" w:rsidRDefault="001F362B" w:rsidP="001F362B">
            <w:pPr>
              <w:pStyle w:val="Tabletext"/>
              <w:jc w:val="right"/>
            </w:pPr>
            <w:r>
              <w:rPr>
                <w:rFonts w:cs="Calibri"/>
                <w:color w:val="000000"/>
                <w:szCs w:val="20"/>
              </w:rPr>
              <w:t>1.5%</w:t>
            </w:r>
          </w:p>
        </w:tc>
        <w:tc>
          <w:tcPr>
            <w:tcW w:w="1619" w:type="dxa"/>
            <w:tcMar>
              <w:top w:w="29" w:type="dxa"/>
              <w:left w:w="115" w:type="dxa"/>
              <w:bottom w:w="29" w:type="dxa"/>
              <w:right w:w="504" w:type="dxa"/>
            </w:tcMar>
            <w:vAlign w:val="center"/>
          </w:tcPr>
          <w:p w14:paraId="6D7F4A88" w14:textId="2860B5E3" w:rsidR="001F362B" w:rsidRPr="008D1A30" w:rsidRDefault="001F362B" w:rsidP="001F362B">
            <w:pPr>
              <w:pStyle w:val="Tabletext"/>
              <w:jc w:val="right"/>
            </w:pPr>
            <w:r>
              <w:rPr>
                <w:rFonts w:cs="Calibri"/>
                <w:color w:val="000000"/>
                <w:szCs w:val="20"/>
              </w:rPr>
              <w:t>6.0%</w:t>
            </w:r>
          </w:p>
        </w:tc>
      </w:tr>
      <w:tr w:rsidR="001F362B" w14:paraId="0070FA6C" w14:textId="77777777" w:rsidTr="00EC4FE0">
        <w:tc>
          <w:tcPr>
            <w:tcW w:w="2875" w:type="dxa"/>
            <w:tcMar>
              <w:top w:w="29" w:type="dxa"/>
              <w:left w:w="115" w:type="dxa"/>
              <w:bottom w:w="29" w:type="dxa"/>
              <w:right w:w="115" w:type="dxa"/>
            </w:tcMar>
            <w:vAlign w:val="center"/>
          </w:tcPr>
          <w:p w14:paraId="0FE7CFE8" w14:textId="1BCBD4EC" w:rsidR="001F362B" w:rsidRPr="008D1A30" w:rsidRDefault="001F362B" w:rsidP="001F362B">
            <w:pPr>
              <w:pStyle w:val="Tabletext"/>
            </w:pPr>
            <w:r w:rsidRPr="008D1A30">
              <w:t>Adjusted abnormal return</w:t>
            </w:r>
          </w:p>
        </w:tc>
        <w:tc>
          <w:tcPr>
            <w:tcW w:w="1618" w:type="dxa"/>
            <w:tcMar>
              <w:top w:w="29" w:type="dxa"/>
              <w:left w:w="115" w:type="dxa"/>
              <w:bottom w:w="29" w:type="dxa"/>
              <w:right w:w="504" w:type="dxa"/>
            </w:tcMar>
            <w:vAlign w:val="center"/>
          </w:tcPr>
          <w:p w14:paraId="4B1FB492" w14:textId="125D9F22" w:rsidR="001F362B" w:rsidRPr="008D1A30" w:rsidRDefault="001F362B" w:rsidP="001F362B">
            <w:pPr>
              <w:pStyle w:val="Tabletext"/>
              <w:jc w:val="right"/>
            </w:pPr>
            <w:r>
              <w:rPr>
                <w:rFonts w:cs="Calibri"/>
                <w:color w:val="000000"/>
                <w:szCs w:val="20"/>
              </w:rPr>
              <w:t>0.4%</w:t>
            </w:r>
          </w:p>
        </w:tc>
        <w:tc>
          <w:tcPr>
            <w:tcW w:w="1619" w:type="dxa"/>
            <w:tcMar>
              <w:top w:w="29" w:type="dxa"/>
              <w:left w:w="115" w:type="dxa"/>
              <w:bottom w:w="29" w:type="dxa"/>
              <w:right w:w="504" w:type="dxa"/>
            </w:tcMar>
            <w:vAlign w:val="center"/>
          </w:tcPr>
          <w:p w14:paraId="1A5F3536" w14:textId="439DFF2A" w:rsidR="001F362B" w:rsidRPr="008D1A30" w:rsidRDefault="001F362B" w:rsidP="001F362B">
            <w:pPr>
              <w:pStyle w:val="Tabletext"/>
              <w:jc w:val="right"/>
            </w:pPr>
            <w:r>
              <w:rPr>
                <w:rFonts w:cs="Calibri"/>
                <w:color w:val="000000"/>
                <w:szCs w:val="20"/>
              </w:rPr>
              <w:t>-9.7%</w:t>
            </w:r>
          </w:p>
        </w:tc>
        <w:tc>
          <w:tcPr>
            <w:tcW w:w="1619" w:type="dxa"/>
            <w:tcMar>
              <w:top w:w="29" w:type="dxa"/>
              <w:left w:w="115" w:type="dxa"/>
              <w:bottom w:w="29" w:type="dxa"/>
              <w:right w:w="504" w:type="dxa"/>
            </w:tcMar>
            <w:vAlign w:val="center"/>
          </w:tcPr>
          <w:p w14:paraId="518908DF" w14:textId="46D5ED1D" w:rsidR="001F362B" w:rsidRPr="008D1A30" w:rsidRDefault="001F362B" w:rsidP="001F362B">
            <w:pPr>
              <w:pStyle w:val="Tabletext"/>
              <w:jc w:val="right"/>
            </w:pPr>
            <w:r>
              <w:rPr>
                <w:rFonts w:cs="Calibri"/>
                <w:color w:val="000000"/>
                <w:szCs w:val="20"/>
              </w:rPr>
              <w:t>0.0%</w:t>
            </w:r>
          </w:p>
        </w:tc>
        <w:tc>
          <w:tcPr>
            <w:tcW w:w="1619" w:type="dxa"/>
            <w:tcMar>
              <w:top w:w="29" w:type="dxa"/>
              <w:left w:w="115" w:type="dxa"/>
              <w:bottom w:w="29" w:type="dxa"/>
              <w:right w:w="504" w:type="dxa"/>
            </w:tcMar>
            <w:vAlign w:val="center"/>
          </w:tcPr>
          <w:p w14:paraId="11262BF4" w14:textId="608DDE56" w:rsidR="001F362B" w:rsidRPr="008D1A30" w:rsidRDefault="001F362B" w:rsidP="001F362B">
            <w:pPr>
              <w:pStyle w:val="Tabletext"/>
              <w:jc w:val="right"/>
            </w:pPr>
            <w:r>
              <w:rPr>
                <w:rFonts w:cs="Calibri"/>
                <w:color w:val="000000"/>
                <w:szCs w:val="20"/>
              </w:rPr>
              <w:t>10.3%</w:t>
            </w:r>
          </w:p>
        </w:tc>
      </w:tr>
      <w:tr w:rsidR="001F362B" w14:paraId="7A9BB0C0" w14:textId="77777777" w:rsidTr="00EC4FE0">
        <w:tc>
          <w:tcPr>
            <w:tcW w:w="2875" w:type="dxa"/>
            <w:tcMar>
              <w:top w:w="29" w:type="dxa"/>
              <w:left w:w="115" w:type="dxa"/>
              <w:bottom w:w="29" w:type="dxa"/>
              <w:right w:w="115" w:type="dxa"/>
            </w:tcMar>
            <w:vAlign w:val="center"/>
          </w:tcPr>
          <w:p w14:paraId="219BAF9B" w14:textId="2347B2D5" w:rsidR="001F362B" w:rsidRPr="008D1A30" w:rsidRDefault="001F362B" w:rsidP="001F362B">
            <w:pPr>
              <w:pStyle w:val="Tabletext"/>
            </w:pPr>
            <w:r>
              <w:t>Market capitalization ($b)</w:t>
            </w:r>
          </w:p>
        </w:tc>
        <w:tc>
          <w:tcPr>
            <w:tcW w:w="1618" w:type="dxa"/>
            <w:tcMar>
              <w:top w:w="29" w:type="dxa"/>
              <w:left w:w="115" w:type="dxa"/>
              <w:bottom w:w="29" w:type="dxa"/>
              <w:right w:w="576" w:type="dxa"/>
            </w:tcMar>
            <w:vAlign w:val="center"/>
          </w:tcPr>
          <w:p w14:paraId="6CAC9D68" w14:textId="75E315BA" w:rsidR="001F362B" w:rsidRPr="008D1A30" w:rsidRDefault="001F362B" w:rsidP="001F362B">
            <w:pPr>
              <w:pStyle w:val="Tabletext"/>
              <w:jc w:val="right"/>
            </w:pPr>
            <w:r>
              <w:rPr>
                <w:rFonts w:cs="Calibri"/>
                <w:color w:val="000000"/>
                <w:szCs w:val="20"/>
              </w:rPr>
              <w:t>4.4</w:t>
            </w:r>
          </w:p>
        </w:tc>
        <w:tc>
          <w:tcPr>
            <w:tcW w:w="1619" w:type="dxa"/>
            <w:tcMar>
              <w:top w:w="29" w:type="dxa"/>
              <w:left w:w="115" w:type="dxa"/>
              <w:bottom w:w="29" w:type="dxa"/>
              <w:right w:w="576" w:type="dxa"/>
            </w:tcMar>
            <w:vAlign w:val="center"/>
          </w:tcPr>
          <w:p w14:paraId="351F7F4A" w14:textId="687D199C" w:rsidR="001F362B" w:rsidRPr="008D1A30" w:rsidRDefault="001F362B" w:rsidP="001F362B">
            <w:pPr>
              <w:pStyle w:val="Tabletext"/>
              <w:jc w:val="right"/>
            </w:pPr>
            <w:r>
              <w:rPr>
                <w:rFonts w:cs="Calibri"/>
                <w:color w:val="000000"/>
                <w:szCs w:val="20"/>
              </w:rPr>
              <w:t>0.4</w:t>
            </w:r>
          </w:p>
        </w:tc>
        <w:tc>
          <w:tcPr>
            <w:tcW w:w="1619" w:type="dxa"/>
            <w:tcMar>
              <w:top w:w="29" w:type="dxa"/>
              <w:left w:w="115" w:type="dxa"/>
              <w:bottom w:w="29" w:type="dxa"/>
              <w:right w:w="576" w:type="dxa"/>
            </w:tcMar>
            <w:vAlign w:val="center"/>
          </w:tcPr>
          <w:p w14:paraId="146311ED" w14:textId="66B82D8F" w:rsidR="001F362B" w:rsidRPr="008D1A30" w:rsidRDefault="001F362B" w:rsidP="001F362B">
            <w:pPr>
              <w:pStyle w:val="Tabletext"/>
              <w:jc w:val="right"/>
            </w:pPr>
            <w:r>
              <w:rPr>
                <w:rFonts w:cs="Calibri"/>
                <w:color w:val="000000"/>
                <w:szCs w:val="20"/>
              </w:rPr>
              <w:t>2.0</w:t>
            </w:r>
          </w:p>
        </w:tc>
        <w:tc>
          <w:tcPr>
            <w:tcW w:w="1619" w:type="dxa"/>
            <w:tcMar>
              <w:top w:w="29" w:type="dxa"/>
              <w:left w:w="115" w:type="dxa"/>
              <w:bottom w:w="29" w:type="dxa"/>
              <w:right w:w="576" w:type="dxa"/>
            </w:tcMar>
            <w:vAlign w:val="center"/>
          </w:tcPr>
          <w:p w14:paraId="37B374FC" w14:textId="42B1F7E3" w:rsidR="001F362B" w:rsidRPr="008D1A30" w:rsidRDefault="001F362B" w:rsidP="001F362B">
            <w:pPr>
              <w:pStyle w:val="Tabletext"/>
              <w:jc w:val="right"/>
            </w:pPr>
            <w:r>
              <w:rPr>
                <w:rFonts w:cs="Calibri"/>
                <w:color w:val="000000"/>
                <w:szCs w:val="20"/>
              </w:rPr>
              <w:t>7.9</w:t>
            </w:r>
          </w:p>
        </w:tc>
      </w:tr>
      <w:tr w:rsidR="001F362B" w14:paraId="1909544A" w14:textId="77777777" w:rsidTr="00EC4FE0">
        <w:tc>
          <w:tcPr>
            <w:tcW w:w="2875" w:type="dxa"/>
            <w:tcMar>
              <w:top w:w="29" w:type="dxa"/>
              <w:left w:w="115" w:type="dxa"/>
              <w:bottom w:w="29" w:type="dxa"/>
              <w:right w:w="115" w:type="dxa"/>
            </w:tcMar>
            <w:vAlign w:val="center"/>
          </w:tcPr>
          <w:p w14:paraId="4D188657" w14:textId="174AC39D" w:rsidR="001F362B" w:rsidRDefault="001F362B" w:rsidP="001F362B">
            <w:pPr>
              <w:pStyle w:val="Tabletext"/>
            </w:pPr>
            <w:r>
              <w:t>LN market capitalization</w:t>
            </w:r>
          </w:p>
        </w:tc>
        <w:tc>
          <w:tcPr>
            <w:tcW w:w="1618" w:type="dxa"/>
            <w:tcMar>
              <w:top w:w="29" w:type="dxa"/>
              <w:left w:w="115" w:type="dxa"/>
              <w:bottom w:w="29" w:type="dxa"/>
              <w:right w:w="576" w:type="dxa"/>
            </w:tcMar>
            <w:vAlign w:val="center"/>
          </w:tcPr>
          <w:p w14:paraId="40E68D79" w14:textId="7ABBB069" w:rsidR="001F362B" w:rsidRPr="008D1A30" w:rsidRDefault="001F362B" w:rsidP="001F362B">
            <w:pPr>
              <w:pStyle w:val="Tabletext"/>
              <w:jc w:val="right"/>
            </w:pPr>
            <w:r>
              <w:rPr>
                <w:rFonts w:cs="Calibri"/>
                <w:color w:val="000000"/>
                <w:szCs w:val="20"/>
              </w:rPr>
              <w:t>14.5</w:t>
            </w:r>
          </w:p>
        </w:tc>
        <w:tc>
          <w:tcPr>
            <w:tcW w:w="1619" w:type="dxa"/>
            <w:tcMar>
              <w:top w:w="29" w:type="dxa"/>
              <w:left w:w="115" w:type="dxa"/>
              <w:bottom w:w="29" w:type="dxa"/>
              <w:right w:w="576" w:type="dxa"/>
            </w:tcMar>
            <w:vAlign w:val="center"/>
          </w:tcPr>
          <w:p w14:paraId="67CE3AF0" w14:textId="73EE2476" w:rsidR="001F362B" w:rsidRPr="008D1A30" w:rsidRDefault="001F362B" w:rsidP="001F362B">
            <w:pPr>
              <w:pStyle w:val="Tabletext"/>
              <w:jc w:val="right"/>
            </w:pPr>
            <w:r>
              <w:rPr>
                <w:rFonts w:cs="Calibri"/>
                <w:color w:val="000000"/>
                <w:szCs w:val="20"/>
              </w:rPr>
              <w:t>13.0</w:t>
            </w:r>
          </w:p>
        </w:tc>
        <w:tc>
          <w:tcPr>
            <w:tcW w:w="1619" w:type="dxa"/>
            <w:tcMar>
              <w:top w:w="29" w:type="dxa"/>
              <w:left w:w="115" w:type="dxa"/>
              <w:bottom w:w="29" w:type="dxa"/>
              <w:right w:w="576" w:type="dxa"/>
            </w:tcMar>
            <w:vAlign w:val="center"/>
          </w:tcPr>
          <w:p w14:paraId="6DB7FD2D" w14:textId="35757E98" w:rsidR="001F362B" w:rsidRPr="008D1A30" w:rsidRDefault="001F362B" w:rsidP="001F362B">
            <w:pPr>
              <w:pStyle w:val="Tabletext"/>
              <w:jc w:val="right"/>
            </w:pPr>
            <w:r>
              <w:rPr>
                <w:rFonts w:cs="Calibri"/>
                <w:color w:val="000000"/>
                <w:szCs w:val="20"/>
              </w:rPr>
              <w:t>14.5</w:t>
            </w:r>
          </w:p>
        </w:tc>
        <w:tc>
          <w:tcPr>
            <w:tcW w:w="1619" w:type="dxa"/>
            <w:tcMar>
              <w:top w:w="29" w:type="dxa"/>
              <w:left w:w="115" w:type="dxa"/>
              <w:bottom w:w="29" w:type="dxa"/>
              <w:right w:w="576" w:type="dxa"/>
            </w:tcMar>
            <w:vAlign w:val="center"/>
          </w:tcPr>
          <w:p w14:paraId="46788814" w14:textId="7A6319A9" w:rsidR="001F362B" w:rsidRPr="008D1A30" w:rsidRDefault="001F362B" w:rsidP="001F362B">
            <w:pPr>
              <w:pStyle w:val="Tabletext"/>
              <w:jc w:val="right"/>
            </w:pPr>
            <w:r>
              <w:rPr>
                <w:rFonts w:cs="Calibri"/>
                <w:color w:val="000000"/>
                <w:szCs w:val="20"/>
              </w:rPr>
              <w:t>15.9</w:t>
            </w:r>
          </w:p>
        </w:tc>
      </w:tr>
    </w:tbl>
    <w:p w14:paraId="27EB396C" w14:textId="698E78E1" w:rsidR="008A4BF5" w:rsidRDefault="001821C1" w:rsidP="008A4BF5">
      <w:pPr>
        <w:pStyle w:val="Heading1"/>
      </w:pPr>
      <w:bookmarkStart w:id="8" w:name="_Toc125893674"/>
      <w:r>
        <w:t>Results</w:t>
      </w:r>
      <w:bookmarkEnd w:id="8"/>
    </w:p>
    <w:p w14:paraId="5559396E" w14:textId="227832B8" w:rsidR="00AB619B" w:rsidRDefault="00AB619B" w:rsidP="00AB619B">
      <w:pPr>
        <w:pStyle w:val="Heading2"/>
      </w:pPr>
      <w:bookmarkStart w:id="9" w:name="_Toc125893675"/>
      <w:r>
        <w:t xml:space="preserve">Small companies earn higher returns than large </w:t>
      </w:r>
      <w:proofErr w:type="gramStart"/>
      <w:r>
        <w:t>companies</w:t>
      </w:r>
      <w:bookmarkEnd w:id="9"/>
      <w:proofErr w:type="gramEnd"/>
    </w:p>
    <w:p w14:paraId="36733142" w14:textId="1CCF3CB9" w:rsidR="0033549E" w:rsidRDefault="00D53EB8" w:rsidP="008A4BF5">
      <w:pPr>
        <w:pStyle w:val="ListParagraph"/>
        <w:numPr>
          <w:ilvl w:val="0"/>
          <w:numId w:val="43"/>
        </w:numPr>
      </w:pPr>
      <w:r>
        <w:t>The dependent variable is abnormal returns on a given stock in a given month, with abnormal returns computed as stock returns minus benchmark returns.</w:t>
      </w:r>
    </w:p>
    <w:p w14:paraId="6D147D8B" w14:textId="38B0C63D" w:rsidR="00D53EB8" w:rsidRDefault="00D53EB8" w:rsidP="008A4BF5">
      <w:pPr>
        <w:pStyle w:val="ListParagraph"/>
        <w:numPr>
          <w:ilvl w:val="0"/>
          <w:numId w:val="43"/>
        </w:numPr>
      </w:pPr>
      <w:r>
        <w:t>Our objective is to determine which persistent stock characteristics are associated with above-benchmark returns so we can form a portfolio weighted heavily towards those characteristics.</w:t>
      </w:r>
    </w:p>
    <w:p w14:paraId="70B1E674" w14:textId="4D23A35B" w:rsidR="00D53EB8" w:rsidRDefault="00D53EB8" w:rsidP="008A4BF5">
      <w:pPr>
        <w:pStyle w:val="ListParagraph"/>
        <w:numPr>
          <w:ilvl w:val="0"/>
          <w:numId w:val="43"/>
        </w:numPr>
      </w:pPr>
      <w:r>
        <w:t>So, we will test whether a stock’s natural logarithm of market capitalization at the start of the month is associated with comparatively higher stock returns. This means the first independent variable is the natural logarithm of market capitalization of the stock at the start of the month.</w:t>
      </w:r>
    </w:p>
    <w:p w14:paraId="123D2448" w14:textId="67D5DD70" w:rsidR="00D53EB8" w:rsidRDefault="00D53EB8" w:rsidP="008A4BF5">
      <w:pPr>
        <w:pStyle w:val="ListParagraph"/>
        <w:numPr>
          <w:ilvl w:val="0"/>
          <w:numId w:val="43"/>
        </w:numPr>
      </w:pPr>
      <w:r>
        <w:t xml:space="preserve">Stock </w:t>
      </w:r>
      <w:r w:rsidR="0077309D">
        <w:t>returns are primarily determined by news associated with the economy, a company’s industry and the company itself. Stock returns will therefore not be highly predictable according to a persistent characteristic like market capitalization. This means that the R-squared from the regression will be low. How implausible would it be to be able to predict stock returns with a high degree of certainty merely by computing share price times number of shares, given that all investors have access to this free information? However, it might be the case that, on average, stock characteristics are associated with above-benchmark returns. So, if we can diversify our portfolio across industries and companies, we can increase our exposure to the returns signal (</w:t>
      </w:r>
      <w:r w:rsidR="00BD4274">
        <w:t>for example,</w:t>
      </w:r>
      <w:r w:rsidR="0077309D">
        <w:t xml:space="preserve"> size) and mitigate exposure to industry- and company-specific risks. This would allow us to, on average, earn returns that exceed benchmark </w:t>
      </w:r>
      <w:r w:rsidR="00BD4274">
        <w:t xml:space="preserve">returns </w:t>
      </w:r>
      <w:r w:rsidR="0077309D">
        <w:t>without exposing the portfolio to undue risk.</w:t>
      </w:r>
    </w:p>
    <w:p w14:paraId="7397EC6B" w14:textId="59D1F3CF" w:rsidR="0077309D" w:rsidRDefault="0077309D" w:rsidP="008A4BF5">
      <w:pPr>
        <w:pStyle w:val="ListParagraph"/>
        <w:numPr>
          <w:ilvl w:val="0"/>
          <w:numId w:val="43"/>
        </w:numPr>
      </w:pPr>
      <w:r>
        <w:t>We don’t want to pick up a spurious relationship between size and returns, if indeed some industries happened to perform well over our sample period, and either large or small firms are concentrated in those industries. So, we include industry indicator (1, 0) variables to control for average industry abnormal returns over our sample period.</w:t>
      </w:r>
    </w:p>
    <w:p w14:paraId="1AB62C66" w14:textId="520EF14D" w:rsidR="0077309D" w:rsidRDefault="0077309D" w:rsidP="008A4BF5">
      <w:pPr>
        <w:pStyle w:val="ListParagraph"/>
        <w:numPr>
          <w:ilvl w:val="0"/>
          <w:numId w:val="43"/>
        </w:numPr>
      </w:pPr>
      <w:r>
        <w:t>Expressed as an equation our regression model is</w:t>
      </w:r>
      <w:r w:rsidR="00BF4CDB">
        <w:t xml:space="preserve"> given below. There is no intercept because there is a coefficient for each industry. We could instead have included an </w:t>
      </w:r>
      <w:r w:rsidR="00BF4CDB">
        <w:lastRenderedPageBreak/>
        <w:t>intercept and left out one industry indicator variable, and the interpretation of each industry coefficient would have been the incremental industry return, relative to whichever industry was left out of the indicator variables.</w:t>
      </w:r>
    </w:p>
    <w:p w14:paraId="3897FBEC" w14:textId="77777777" w:rsidR="0077309D" w:rsidRDefault="0077309D" w:rsidP="00524652">
      <w:pPr>
        <w:pStyle w:val="NoSpacing"/>
      </w:pPr>
    </w:p>
    <w:p w14:paraId="287C3755" w14:textId="77777777" w:rsidR="0077309D" w:rsidRPr="0077309D" w:rsidRDefault="0077309D" w:rsidP="0077309D">
      <w:pPr>
        <w:pStyle w:val="ListParagraph"/>
        <w:pBdr>
          <w:top w:val="single" w:sz="4" w:space="1" w:color="00274C" w:themeColor="accent1"/>
          <w:left w:val="single" w:sz="4" w:space="4" w:color="00274C" w:themeColor="accent1"/>
          <w:bottom w:val="single" w:sz="4" w:space="1" w:color="00274C" w:themeColor="accent1"/>
          <w:right w:val="single" w:sz="4" w:space="4" w:color="00274C" w:themeColor="accent1"/>
        </w:pBdr>
        <w:shd w:val="clear" w:color="auto" w:fill="F2F2F2" w:themeFill="background1" w:themeFillShade="F2"/>
        <w:ind w:left="360"/>
        <w:rPr>
          <w:sz w:val="20"/>
          <w:szCs w:val="20"/>
        </w:rPr>
      </w:pPr>
      <w:r w:rsidRPr="0077309D">
        <w:rPr>
          <w:sz w:val="20"/>
          <w:szCs w:val="20"/>
        </w:rPr>
        <w:t xml:space="preserve">Return on company i in month t minus S&amp;P 400 Midcap return in month </w:t>
      </w:r>
      <w:proofErr w:type="gramStart"/>
      <w:r w:rsidRPr="0077309D">
        <w:rPr>
          <w:sz w:val="20"/>
          <w:szCs w:val="20"/>
        </w:rPr>
        <w:t>t</w:t>
      </w:r>
      <w:proofErr w:type="gramEnd"/>
      <w:r w:rsidRPr="0077309D">
        <w:rPr>
          <w:sz w:val="20"/>
          <w:szCs w:val="20"/>
        </w:rPr>
        <w:t xml:space="preserve"> </w:t>
      </w:r>
    </w:p>
    <w:p w14:paraId="47FFC373" w14:textId="77777777" w:rsidR="00BF4CDB" w:rsidRDefault="0077309D" w:rsidP="0077309D">
      <w:pPr>
        <w:pStyle w:val="ListParagraph"/>
        <w:pBdr>
          <w:top w:val="single" w:sz="4" w:space="1" w:color="00274C" w:themeColor="accent1"/>
          <w:left w:val="single" w:sz="4" w:space="4" w:color="00274C" w:themeColor="accent1"/>
          <w:bottom w:val="single" w:sz="4" w:space="1" w:color="00274C" w:themeColor="accent1"/>
          <w:right w:val="single" w:sz="4" w:space="4" w:color="00274C" w:themeColor="accent1"/>
        </w:pBdr>
        <w:shd w:val="clear" w:color="auto" w:fill="F2F2F2" w:themeFill="background1" w:themeFillShade="F2"/>
        <w:ind w:left="360"/>
        <w:rPr>
          <w:sz w:val="20"/>
          <w:szCs w:val="20"/>
        </w:rPr>
      </w:pPr>
      <w:r w:rsidRPr="0077309D">
        <w:rPr>
          <w:sz w:val="20"/>
          <w:szCs w:val="20"/>
        </w:rPr>
        <w:t xml:space="preserve">= Coefficient 1 × LN Market capitalization </w:t>
      </w:r>
    </w:p>
    <w:p w14:paraId="426A8CEB" w14:textId="77777777" w:rsidR="00BF4CDB" w:rsidRDefault="0077309D" w:rsidP="0077309D">
      <w:pPr>
        <w:pStyle w:val="ListParagraph"/>
        <w:pBdr>
          <w:top w:val="single" w:sz="4" w:space="1" w:color="00274C" w:themeColor="accent1"/>
          <w:left w:val="single" w:sz="4" w:space="4" w:color="00274C" w:themeColor="accent1"/>
          <w:bottom w:val="single" w:sz="4" w:space="1" w:color="00274C" w:themeColor="accent1"/>
          <w:right w:val="single" w:sz="4" w:space="4" w:color="00274C" w:themeColor="accent1"/>
        </w:pBdr>
        <w:shd w:val="clear" w:color="auto" w:fill="F2F2F2" w:themeFill="background1" w:themeFillShade="F2"/>
        <w:ind w:left="360"/>
        <w:rPr>
          <w:sz w:val="20"/>
          <w:szCs w:val="20"/>
        </w:rPr>
      </w:pPr>
      <w:r w:rsidRPr="0077309D">
        <w:rPr>
          <w:sz w:val="20"/>
          <w:szCs w:val="20"/>
        </w:rPr>
        <w:t xml:space="preserve">+ the sum of 24 coefficients on industry indicator variables × 24 industry indicator variables </w:t>
      </w:r>
    </w:p>
    <w:p w14:paraId="79823B89" w14:textId="39F9E247" w:rsidR="0077309D" w:rsidRPr="0077309D" w:rsidRDefault="0077309D" w:rsidP="0077309D">
      <w:pPr>
        <w:pStyle w:val="ListParagraph"/>
        <w:pBdr>
          <w:top w:val="single" w:sz="4" w:space="1" w:color="00274C" w:themeColor="accent1"/>
          <w:left w:val="single" w:sz="4" w:space="4" w:color="00274C" w:themeColor="accent1"/>
          <w:bottom w:val="single" w:sz="4" w:space="1" w:color="00274C" w:themeColor="accent1"/>
          <w:right w:val="single" w:sz="4" w:space="4" w:color="00274C" w:themeColor="accent1"/>
        </w:pBdr>
        <w:shd w:val="clear" w:color="auto" w:fill="F2F2F2" w:themeFill="background1" w:themeFillShade="F2"/>
        <w:ind w:left="360"/>
        <w:rPr>
          <w:sz w:val="20"/>
          <w:szCs w:val="20"/>
        </w:rPr>
      </w:pPr>
      <w:r w:rsidRPr="0077309D">
        <w:rPr>
          <w:sz w:val="20"/>
          <w:szCs w:val="20"/>
        </w:rPr>
        <w:t>+ an error term for company i in month t</w:t>
      </w:r>
    </w:p>
    <w:p w14:paraId="5E824CCE" w14:textId="77777777" w:rsidR="00BF4CDB" w:rsidRPr="00524652" w:rsidRDefault="00BF4CDB" w:rsidP="00524652">
      <w:pPr>
        <w:pStyle w:val="NoSpacing"/>
      </w:pPr>
    </w:p>
    <w:p w14:paraId="72E804E6" w14:textId="77B57407" w:rsidR="00A43EEA" w:rsidRDefault="00A43EEA" w:rsidP="00A43EEA">
      <w:pPr>
        <w:pStyle w:val="ListParagraph"/>
        <w:numPr>
          <w:ilvl w:val="0"/>
          <w:numId w:val="43"/>
        </w:numPr>
      </w:pPr>
      <w:r>
        <w:t xml:space="preserve">Regression results are presented in </w:t>
      </w:r>
      <w:fldSimple w:instr=" REF _Ref125837183 ">
        <w:r>
          <w:t xml:space="preserve">Table </w:t>
        </w:r>
        <w:r>
          <w:rPr>
            <w:noProof/>
          </w:rPr>
          <w:t>3</w:t>
        </w:r>
      </w:fldSimple>
      <w:r>
        <w:t>.</w:t>
      </w:r>
    </w:p>
    <w:p w14:paraId="073126EF" w14:textId="5510CC62" w:rsidR="00A43EEA" w:rsidRDefault="00A43EEA" w:rsidP="00A43EEA">
      <w:pPr>
        <w:pStyle w:val="ListParagraph"/>
        <w:numPr>
          <w:ilvl w:val="1"/>
          <w:numId w:val="43"/>
        </w:numPr>
      </w:pPr>
      <w:r>
        <w:t>Industry indicator variables alone can explain 0.19 per cent of the variation of abnormal stock returns across time and across companies.</w:t>
      </w:r>
    </w:p>
    <w:p w14:paraId="007D9E07" w14:textId="4B9A24E1" w:rsidR="00A43EEA" w:rsidRDefault="00A43EEA" w:rsidP="00A43EEA">
      <w:pPr>
        <w:pStyle w:val="ListParagraph"/>
        <w:numPr>
          <w:ilvl w:val="1"/>
          <w:numId w:val="43"/>
        </w:numPr>
      </w:pPr>
      <w:r>
        <w:t>Small companies, on average, earn higher returns than large companies. The natural logarithm of market capitalization is inversely related to abnormal returns with a coefficient of -0.0047</w:t>
      </w:r>
      <w:r w:rsidR="00BD4274">
        <w:t>9</w:t>
      </w:r>
      <w:r>
        <w:t>. A one unit difference in a company’s natural logarithm of market capitalization is associated with a 0.4</w:t>
      </w:r>
      <w:r w:rsidR="00BD4274">
        <w:t>8 per cent</w:t>
      </w:r>
      <w:r>
        <w:t xml:space="preserve"> difference in monthly abnormal returns in the opposite direction. To put this in perspective, for the natural logarithm of market capitalization the 25</w:t>
      </w:r>
      <w:r w:rsidRPr="00A43EEA">
        <w:rPr>
          <w:vertAlign w:val="superscript"/>
        </w:rPr>
        <w:t>th</w:t>
      </w:r>
      <w:r>
        <w:t xml:space="preserve"> percentile is 13.7 and the 75</w:t>
      </w:r>
      <w:r w:rsidRPr="00A43EEA">
        <w:rPr>
          <w:vertAlign w:val="superscript"/>
        </w:rPr>
        <w:t>th</w:t>
      </w:r>
      <w:r>
        <w:t xml:space="preserve"> percentile is 15.3. </w:t>
      </w:r>
      <w:r w:rsidR="00486199">
        <w:t>The size reduction from the 75</w:t>
      </w:r>
      <w:r w:rsidR="00486199" w:rsidRPr="00486199">
        <w:rPr>
          <w:vertAlign w:val="superscript"/>
        </w:rPr>
        <w:t>th</w:t>
      </w:r>
      <w:r w:rsidR="00486199">
        <w:t xml:space="preserve"> percentile to the 25</w:t>
      </w:r>
      <w:r w:rsidR="00486199" w:rsidRPr="00486199">
        <w:rPr>
          <w:vertAlign w:val="superscript"/>
        </w:rPr>
        <w:t>th</w:t>
      </w:r>
      <w:r w:rsidR="00486199">
        <w:t xml:space="preserve"> percentile is associated with a</w:t>
      </w:r>
      <w:r w:rsidR="00BD4274">
        <w:t xml:space="preserve">n approximate </w:t>
      </w:r>
      <w:r w:rsidR="00486199">
        <w:t>0.</w:t>
      </w:r>
      <w:r w:rsidR="00BD4274">
        <w:t>8</w:t>
      </w:r>
      <w:r w:rsidR="00486199">
        <w:t xml:space="preserve"> per cent increase in average monthly returns, equivalent to about </w:t>
      </w:r>
      <w:r w:rsidR="00BD4274">
        <w:t>9.2</w:t>
      </w:r>
      <w:r w:rsidR="00486199">
        <w:t xml:space="preserve"> per cent a year.</w:t>
      </w:r>
      <w:r>
        <w:t xml:space="preserve"> </w:t>
      </w:r>
    </w:p>
    <w:p w14:paraId="06C80536" w14:textId="6D039B5A" w:rsidR="004F36C0" w:rsidRDefault="00262423" w:rsidP="00262423">
      <w:pPr>
        <w:pStyle w:val="Caption"/>
      </w:pPr>
      <w:bookmarkStart w:id="10" w:name="_Ref125837183"/>
      <w:bookmarkStart w:id="11" w:name="_Toc125893682"/>
      <w:r>
        <w:t xml:space="preserve">Table </w:t>
      </w:r>
      <w:fldSimple w:instr=" SEQ Table \* ARABIC ">
        <w:r>
          <w:rPr>
            <w:noProof/>
          </w:rPr>
          <w:t>3</w:t>
        </w:r>
      </w:fldSimple>
      <w:bookmarkEnd w:id="10"/>
      <w:r>
        <w:t>. Regression results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gridCol w:w="1627"/>
        <w:gridCol w:w="1627"/>
        <w:gridCol w:w="1628"/>
      </w:tblGrid>
      <w:tr w:rsidR="00262423" w14:paraId="7F47FBA9" w14:textId="77777777" w:rsidTr="00DE53D6">
        <w:tc>
          <w:tcPr>
            <w:tcW w:w="4472" w:type="dxa"/>
            <w:tcBorders>
              <w:top w:val="single" w:sz="4" w:space="0" w:color="00274C" w:themeColor="accent1"/>
            </w:tcBorders>
            <w:tcMar>
              <w:top w:w="29" w:type="dxa"/>
              <w:left w:w="115" w:type="dxa"/>
              <w:bottom w:w="29" w:type="dxa"/>
              <w:right w:w="115" w:type="dxa"/>
            </w:tcMar>
            <w:vAlign w:val="center"/>
          </w:tcPr>
          <w:p w14:paraId="5453775A" w14:textId="3C297B2C" w:rsidR="00262423" w:rsidRPr="00DE53D6" w:rsidRDefault="00262423" w:rsidP="00262423">
            <w:pPr>
              <w:pStyle w:val="Tabletext"/>
              <w:rPr>
                <w:szCs w:val="20"/>
              </w:rPr>
            </w:pPr>
            <w:r w:rsidRPr="00DE53D6">
              <w:rPr>
                <w:szCs w:val="20"/>
              </w:rPr>
              <w:t>Model</w:t>
            </w:r>
          </w:p>
        </w:tc>
        <w:tc>
          <w:tcPr>
            <w:tcW w:w="1627" w:type="dxa"/>
            <w:tcBorders>
              <w:top w:val="single" w:sz="4" w:space="0" w:color="00274C" w:themeColor="accent1"/>
              <w:bottom w:val="single" w:sz="4" w:space="0" w:color="00274C" w:themeColor="accent1"/>
            </w:tcBorders>
            <w:tcMar>
              <w:top w:w="29" w:type="dxa"/>
              <w:left w:w="29" w:type="dxa"/>
              <w:bottom w:w="29" w:type="dxa"/>
              <w:right w:w="29" w:type="dxa"/>
            </w:tcMar>
            <w:vAlign w:val="center"/>
          </w:tcPr>
          <w:p w14:paraId="21168BC4" w14:textId="7D8E887E" w:rsidR="00262423" w:rsidRPr="00DE53D6" w:rsidRDefault="00A43EEA" w:rsidP="00262423">
            <w:pPr>
              <w:pStyle w:val="Tabletext"/>
              <w:jc w:val="center"/>
              <w:rPr>
                <w:sz w:val="18"/>
                <w:szCs w:val="18"/>
              </w:rPr>
            </w:pPr>
            <w:r w:rsidRPr="00DE53D6">
              <w:rPr>
                <w:sz w:val="18"/>
                <w:szCs w:val="18"/>
              </w:rPr>
              <w:t>Dependent variable = Adjusted abnormal returns</w:t>
            </w:r>
          </w:p>
        </w:tc>
        <w:tc>
          <w:tcPr>
            <w:tcW w:w="1627" w:type="dxa"/>
            <w:tcBorders>
              <w:top w:val="single" w:sz="4" w:space="0" w:color="00274C" w:themeColor="accent1"/>
              <w:bottom w:val="single" w:sz="4" w:space="0" w:color="00274C" w:themeColor="accent1"/>
            </w:tcBorders>
            <w:tcMar>
              <w:top w:w="29" w:type="dxa"/>
              <w:left w:w="29" w:type="dxa"/>
              <w:bottom w:w="29" w:type="dxa"/>
              <w:right w:w="29" w:type="dxa"/>
            </w:tcMar>
            <w:vAlign w:val="center"/>
          </w:tcPr>
          <w:p w14:paraId="78FCB065" w14:textId="6CC9F593" w:rsidR="00262423" w:rsidRPr="00DE53D6" w:rsidRDefault="00262423" w:rsidP="00262423">
            <w:pPr>
              <w:pStyle w:val="Tabletext"/>
              <w:jc w:val="center"/>
              <w:rPr>
                <w:sz w:val="18"/>
                <w:szCs w:val="18"/>
              </w:rPr>
            </w:pPr>
            <w:r w:rsidRPr="00DE53D6">
              <w:rPr>
                <w:sz w:val="18"/>
                <w:szCs w:val="18"/>
              </w:rPr>
              <w:t>Dependent variable = Adjusted abnormal returns</w:t>
            </w:r>
          </w:p>
        </w:tc>
        <w:tc>
          <w:tcPr>
            <w:tcW w:w="1628" w:type="dxa"/>
            <w:tcBorders>
              <w:top w:val="single" w:sz="4" w:space="0" w:color="00274C" w:themeColor="accent1"/>
              <w:bottom w:val="single" w:sz="4" w:space="0" w:color="00274C" w:themeColor="accent1"/>
            </w:tcBorders>
            <w:tcMar>
              <w:top w:w="29" w:type="dxa"/>
              <w:left w:w="29" w:type="dxa"/>
              <w:bottom w:w="29" w:type="dxa"/>
              <w:right w:w="29" w:type="dxa"/>
            </w:tcMar>
            <w:vAlign w:val="center"/>
          </w:tcPr>
          <w:p w14:paraId="11081CDD" w14:textId="18E220B9" w:rsidR="00262423" w:rsidRPr="00DE53D6" w:rsidRDefault="00262423" w:rsidP="00262423">
            <w:pPr>
              <w:pStyle w:val="Tabletext"/>
              <w:jc w:val="center"/>
              <w:rPr>
                <w:sz w:val="18"/>
                <w:szCs w:val="18"/>
              </w:rPr>
            </w:pPr>
            <w:r w:rsidRPr="00DE53D6">
              <w:rPr>
                <w:sz w:val="18"/>
                <w:szCs w:val="18"/>
              </w:rPr>
              <w:t xml:space="preserve">Dependent variable = </w:t>
            </w:r>
            <w:r w:rsidR="00DE53D6" w:rsidRPr="00DE53D6">
              <w:rPr>
                <w:sz w:val="18"/>
                <w:szCs w:val="18"/>
              </w:rPr>
              <w:t xml:space="preserve">Unadjusted abnormal </w:t>
            </w:r>
            <w:r w:rsidRPr="00DE53D6">
              <w:rPr>
                <w:sz w:val="18"/>
                <w:szCs w:val="18"/>
              </w:rPr>
              <w:t>returns</w:t>
            </w:r>
          </w:p>
        </w:tc>
      </w:tr>
      <w:tr w:rsidR="00262423" w14:paraId="2A56254D" w14:textId="77777777" w:rsidTr="00DE53D6">
        <w:trPr>
          <w:trHeight w:val="481"/>
        </w:trPr>
        <w:tc>
          <w:tcPr>
            <w:tcW w:w="4472" w:type="dxa"/>
            <w:tcMar>
              <w:top w:w="29" w:type="dxa"/>
              <w:left w:w="115" w:type="dxa"/>
              <w:bottom w:w="29" w:type="dxa"/>
              <w:right w:w="115" w:type="dxa"/>
            </w:tcMar>
            <w:vAlign w:val="center"/>
          </w:tcPr>
          <w:p w14:paraId="078E7723" w14:textId="39711808" w:rsidR="00262423" w:rsidRPr="00DE53D6" w:rsidRDefault="00262423" w:rsidP="00262423">
            <w:pPr>
              <w:pStyle w:val="Tabletext"/>
              <w:rPr>
                <w:szCs w:val="20"/>
              </w:rPr>
            </w:pPr>
            <w:r w:rsidRPr="00DE53D6">
              <w:rPr>
                <w:szCs w:val="20"/>
              </w:rPr>
              <w:t>LN MC Coefficient</w:t>
            </w:r>
          </w:p>
        </w:tc>
        <w:tc>
          <w:tcPr>
            <w:tcW w:w="1627" w:type="dxa"/>
            <w:tcBorders>
              <w:top w:val="single" w:sz="4" w:space="0" w:color="00274C" w:themeColor="accent1"/>
            </w:tcBorders>
            <w:tcMar>
              <w:top w:w="29" w:type="dxa"/>
              <w:left w:w="115" w:type="dxa"/>
              <w:bottom w:w="29" w:type="dxa"/>
              <w:right w:w="432" w:type="dxa"/>
            </w:tcMar>
            <w:vAlign w:val="center"/>
          </w:tcPr>
          <w:p w14:paraId="7F7D2D30" w14:textId="77777777" w:rsidR="00262423" w:rsidRDefault="00262423" w:rsidP="00262423">
            <w:pPr>
              <w:pStyle w:val="Tabletext"/>
              <w:jc w:val="right"/>
            </w:pPr>
          </w:p>
        </w:tc>
        <w:tc>
          <w:tcPr>
            <w:tcW w:w="1627" w:type="dxa"/>
            <w:tcBorders>
              <w:top w:val="single" w:sz="4" w:space="0" w:color="00274C" w:themeColor="accent1"/>
            </w:tcBorders>
            <w:tcMar>
              <w:top w:w="29" w:type="dxa"/>
              <w:left w:w="115" w:type="dxa"/>
              <w:bottom w:w="29" w:type="dxa"/>
              <w:right w:w="432" w:type="dxa"/>
            </w:tcMar>
            <w:vAlign w:val="center"/>
          </w:tcPr>
          <w:p w14:paraId="003B827A" w14:textId="50B84D1F" w:rsidR="00262423" w:rsidRDefault="00A43EEA" w:rsidP="00262423">
            <w:pPr>
              <w:pStyle w:val="Tabletext"/>
              <w:jc w:val="right"/>
            </w:pPr>
            <w:r>
              <w:t>-0.00</w:t>
            </w:r>
            <w:r w:rsidR="00644038">
              <w:t>479</w:t>
            </w:r>
          </w:p>
        </w:tc>
        <w:tc>
          <w:tcPr>
            <w:tcW w:w="1628" w:type="dxa"/>
            <w:tcBorders>
              <w:top w:val="single" w:sz="4" w:space="0" w:color="00274C" w:themeColor="accent1"/>
            </w:tcBorders>
            <w:tcMar>
              <w:top w:w="29" w:type="dxa"/>
              <w:left w:w="115" w:type="dxa"/>
              <w:bottom w:w="29" w:type="dxa"/>
              <w:right w:w="432" w:type="dxa"/>
            </w:tcMar>
            <w:vAlign w:val="center"/>
          </w:tcPr>
          <w:p w14:paraId="06093580" w14:textId="41A92F11" w:rsidR="00262423" w:rsidRDefault="00A43EEA" w:rsidP="00262423">
            <w:pPr>
              <w:pStyle w:val="Tabletext"/>
              <w:jc w:val="right"/>
            </w:pPr>
            <w:r>
              <w:t>-0.005</w:t>
            </w:r>
            <w:r w:rsidR="00644038">
              <w:t>29</w:t>
            </w:r>
          </w:p>
        </w:tc>
      </w:tr>
      <w:tr w:rsidR="00262423" w14:paraId="0B69EDF2" w14:textId="77777777" w:rsidTr="00DE53D6">
        <w:trPr>
          <w:trHeight w:val="481"/>
        </w:trPr>
        <w:tc>
          <w:tcPr>
            <w:tcW w:w="4472" w:type="dxa"/>
            <w:tcMar>
              <w:top w:w="29" w:type="dxa"/>
              <w:left w:w="115" w:type="dxa"/>
              <w:bottom w:w="29" w:type="dxa"/>
              <w:right w:w="115" w:type="dxa"/>
            </w:tcMar>
            <w:vAlign w:val="center"/>
          </w:tcPr>
          <w:p w14:paraId="45E1CCDB" w14:textId="6A65B73D" w:rsidR="00262423" w:rsidRPr="00DE53D6" w:rsidRDefault="00262423" w:rsidP="00262423">
            <w:pPr>
              <w:pStyle w:val="Tabletext"/>
              <w:rPr>
                <w:szCs w:val="20"/>
              </w:rPr>
            </w:pPr>
            <w:r w:rsidRPr="00DE53D6">
              <w:rPr>
                <w:szCs w:val="20"/>
              </w:rPr>
              <w:t>LN MC Std error</w:t>
            </w:r>
            <w:r w:rsidR="00DE53D6" w:rsidRPr="00DE53D6">
              <w:rPr>
                <w:szCs w:val="20"/>
              </w:rPr>
              <w:t xml:space="preserve"> (assuming errors are independent and error variance is constant)</w:t>
            </w:r>
          </w:p>
        </w:tc>
        <w:tc>
          <w:tcPr>
            <w:tcW w:w="1627" w:type="dxa"/>
            <w:tcMar>
              <w:top w:w="29" w:type="dxa"/>
              <w:left w:w="115" w:type="dxa"/>
              <w:bottom w:w="29" w:type="dxa"/>
              <w:right w:w="432" w:type="dxa"/>
            </w:tcMar>
            <w:vAlign w:val="center"/>
          </w:tcPr>
          <w:p w14:paraId="027CC4F7" w14:textId="77777777" w:rsidR="00262423" w:rsidRDefault="00262423" w:rsidP="00262423">
            <w:pPr>
              <w:pStyle w:val="Tabletext"/>
              <w:jc w:val="right"/>
            </w:pPr>
          </w:p>
        </w:tc>
        <w:tc>
          <w:tcPr>
            <w:tcW w:w="1627" w:type="dxa"/>
            <w:tcMar>
              <w:top w:w="29" w:type="dxa"/>
              <w:left w:w="115" w:type="dxa"/>
              <w:bottom w:w="29" w:type="dxa"/>
              <w:right w:w="432" w:type="dxa"/>
            </w:tcMar>
            <w:vAlign w:val="center"/>
          </w:tcPr>
          <w:p w14:paraId="079CF9F9" w14:textId="01313241" w:rsidR="00262423" w:rsidRDefault="00A43EEA" w:rsidP="00262423">
            <w:pPr>
              <w:pStyle w:val="Tabletext"/>
              <w:jc w:val="right"/>
            </w:pPr>
            <w:r>
              <w:t>0.00016</w:t>
            </w:r>
          </w:p>
        </w:tc>
        <w:tc>
          <w:tcPr>
            <w:tcW w:w="1628" w:type="dxa"/>
            <w:tcMar>
              <w:top w:w="29" w:type="dxa"/>
              <w:left w:w="115" w:type="dxa"/>
              <w:bottom w:w="29" w:type="dxa"/>
              <w:right w:w="432" w:type="dxa"/>
            </w:tcMar>
            <w:vAlign w:val="center"/>
          </w:tcPr>
          <w:p w14:paraId="2C2E6874" w14:textId="5D186A21" w:rsidR="00262423" w:rsidRDefault="00A43EEA" w:rsidP="00262423">
            <w:pPr>
              <w:pStyle w:val="Tabletext"/>
              <w:jc w:val="right"/>
            </w:pPr>
            <w:r>
              <w:t>0.00017</w:t>
            </w:r>
          </w:p>
        </w:tc>
      </w:tr>
      <w:tr w:rsidR="00DD72A2" w14:paraId="4832360C" w14:textId="77777777" w:rsidTr="00DE53D6">
        <w:trPr>
          <w:trHeight w:val="481"/>
        </w:trPr>
        <w:tc>
          <w:tcPr>
            <w:tcW w:w="4472" w:type="dxa"/>
            <w:tcMar>
              <w:top w:w="29" w:type="dxa"/>
              <w:left w:w="115" w:type="dxa"/>
              <w:bottom w:w="29" w:type="dxa"/>
              <w:right w:w="115" w:type="dxa"/>
            </w:tcMar>
            <w:vAlign w:val="center"/>
          </w:tcPr>
          <w:p w14:paraId="5B655930" w14:textId="45A60155" w:rsidR="00DD72A2" w:rsidRPr="00DE53D6" w:rsidRDefault="00DD72A2" w:rsidP="00262423">
            <w:pPr>
              <w:pStyle w:val="Tabletext"/>
              <w:rPr>
                <w:szCs w:val="20"/>
              </w:rPr>
            </w:pPr>
            <w:r w:rsidRPr="00DE53D6">
              <w:rPr>
                <w:szCs w:val="20"/>
              </w:rPr>
              <w:t>LN MC Std error (</w:t>
            </w:r>
            <w:r w:rsidR="00DE53D6" w:rsidRPr="00DE53D6">
              <w:rPr>
                <w:szCs w:val="20"/>
              </w:rPr>
              <w:t>adjusted for non-constant error variance</w:t>
            </w:r>
            <w:r w:rsidRPr="00DE53D6">
              <w:rPr>
                <w:szCs w:val="20"/>
              </w:rPr>
              <w:t>)</w:t>
            </w:r>
          </w:p>
        </w:tc>
        <w:tc>
          <w:tcPr>
            <w:tcW w:w="1627" w:type="dxa"/>
            <w:tcMar>
              <w:top w:w="29" w:type="dxa"/>
              <w:left w:w="115" w:type="dxa"/>
              <w:bottom w:w="29" w:type="dxa"/>
              <w:right w:w="432" w:type="dxa"/>
            </w:tcMar>
            <w:vAlign w:val="center"/>
          </w:tcPr>
          <w:p w14:paraId="5A1B7F86" w14:textId="77777777" w:rsidR="00DD72A2" w:rsidRDefault="00DD72A2" w:rsidP="00262423">
            <w:pPr>
              <w:pStyle w:val="Tabletext"/>
              <w:jc w:val="right"/>
            </w:pPr>
          </w:p>
        </w:tc>
        <w:tc>
          <w:tcPr>
            <w:tcW w:w="1627" w:type="dxa"/>
            <w:tcMar>
              <w:top w:w="29" w:type="dxa"/>
              <w:left w:w="115" w:type="dxa"/>
              <w:bottom w:w="29" w:type="dxa"/>
              <w:right w:w="432" w:type="dxa"/>
            </w:tcMar>
            <w:vAlign w:val="center"/>
          </w:tcPr>
          <w:p w14:paraId="6BF81689" w14:textId="5FB30B64" w:rsidR="00DD72A2" w:rsidRDefault="00DD72A2" w:rsidP="00262423">
            <w:pPr>
              <w:pStyle w:val="Tabletext"/>
              <w:jc w:val="right"/>
            </w:pPr>
            <w:r>
              <w:t>0.00021</w:t>
            </w:r>
          </w:p>
        </w:tc>
        <w:tc>
          <w:tcPr>
            <w:tcW w:w="1628" w:type="dxa"/>
            <w:tcMar>
              <w:top w:w="29" w:type="dxa"/>
              <w:left w:w="115" w:type="dxa"/>
              <w:bottom w:w="29" w:type="dxa"/>
              <w:right w:w="432" w:type="dxa"/>
            </w:tcMar>
            <w:vAlign w:val="center"/>
          </w:tcPr>
          <w:p w14:paraId="27858453" w14:textId="4E2BBE13" w:rsidR="00DD72A2" w:rsidRDefault="00DD72A2" w:rsidP="00262423">
            <w:pPr>
              <w:pStyle w:val="Tabletext"/>
              <w:jc w:val="right"/>
            </w:pPr>
            <w:r>
              <w:t>0.0002</w:t>
            </w:r>
            <w:r w:rsidR="00C5686A">
              <w:t>3</w:t>
            </w:r>
          </w:p>
        </w:tc>
      </w:tr>
      <w:tr w:rsidR="00DD72A2" w14:paraId="3F1CD8BE" w14:textId="77777777" w:rsidTr="00DE53D6">
        <w:trPr>
          <w:trHeight w:val="481"/>
        </w:trPr>
        <w:tc>
          <w:tcPr>
            <w:tcW w:w="4472" w:type="dxa"/>
            <w:tcMar>
              <w:top w:w="29" w:type="dxa"/>
              <w:left w:w="115" w:type="dxa"/>
              <w:bottom w:w="29" w:type="dxa"/>
              <w:right w:w="115" w:type="dxa"/>
            </w:tcMar>
            <w:vAlign w:val="center"/>
          </w:tcPr>
          <w:p w14:paraId="20A91541" w14:textId="2298FD61" w:rsidR="00DD72A2" w:rsidRPr="00DE53D6" w:rsidRDefault="00DD72A2" w:rsidP="00262423">
            <w:pPr>
              <w:pStyle w:val="Tabletext"/>
              <w:rPr>
                <w:szCs w:val="20"/>
              </w:rPr>
            </w:pPr>
            <w:r w:rsidRPr="00DE53D6">
              <w:rPr>
                <w:szCs w:val="20"/>
              </w:rPr>
              <w:t>LN MC Std error (</w:t>
            </w:r>
            <w:r w:rsidR="00DE53D6" w:rsidRPr="00DE53D6">
              <w:rPr>
                <w:szCs w:val="20"/>
              </w:rPr>
              <w:t>adjusted for repeated observations by company</w:t>
            </w:r>
            <w:r w:rsidRPr="00DE53D6">
              <w:rPr>
                <w:szCs w:val="20"/>
              </w:rPr>
              <w:t>)</w:t>
            </w:r>
          </w:p>
        </w:tc>
        <w:tc>
          <w:tcPr>
            <w:tcW w:w="1627" w:type="dxa"/>
            <w:tcMar>
              <w:top w:w="29" w:type="dxa"/>
              <w:left w:w="115" w:type="dxa"/>
              <w:bottom w:w="29" w:type="dxa"/>
              <w:right w:w="432" w:type="dxa"/>
            </w:tcMar>
            <w:vAlign w:val="center"/>
          </w:tcPr>
          <w:p w14:paraId="11A12DAA" w14:textId="77777777" w:rsidR="00DD72A2" w:rsidRDefault="00DD72A2" w:rsidP="00262423">
            <w:pPr>
              <w:pStyle w:val="Tabletext"/>
              <w:jc w:val="right"/>
            </w:pPr>
          </w:p>
        </w:tc>
        <w:tc>
          <w:tcPr>
            <w:tcW w:w="1627" w:type="dxa"/>
            <w:tcMar>
              <w:top w:w="29" w:type="dxa"/>
              <w:left w:w="115" w:type="dxa"/>
              <w:bottom w:w="29" w:type="dxa"/>
              <w:right w:w="432" w:type="dxa"/>
            </w:tcMar>
            <w:vAlign w:val="center"/>
          </w:tcPr>
          <w:p w14:paraId="6F619E6F" w14:textId="1BC15FAF" w:rsidR="00DD72A2" w:rsidRDefault="00DD72A2" w:rsidP="00262423">
            <w:pPr>
              <w:pStyle w:val="Tabletext"/>
              <w:jc w:val="right"/>
            </w:pPr>
            <w:r>
              <w:t>0.0002</w:t>
            </w:r>
            <w:r w:rsidR="00C5686A">
              <w:t>3</w:t>
            </w:r>
          </w:p>
        </w:tc>
        <w:tc>
          <w:tcPr>
            <w:tcW w:w="1628" w:type="dxa"/>
            <w:tcMar>
              <w:top w:w="29" w:type="dxa"/>
              <w:left w:w="115" w:type="dxa"/>
              <w:bottom w:w="29" w:type="dxa"/>
              <w:right w:w="432" w:type="dxa"/>
            </w:tcMar>
            <w:vAlign w:val="center"/>
          </w:tcPr>
          <w:p w14:paraId="0F07F3B3" w14:textId="35063EBE" w:rsidR="00DD72A2" w:rsidRDefault="00DE53D6" w:rsidP="00262423">
            <w:pPr>
              <w:pStyle w:val="Tabletext"/>
              <w:jc w:val="right"/>
            </w:pPr>
            <w:r>
              <w:t>0.0002</w:t>
            </w:r>
            <w:r w:rsidR="00C5686A">
              <w:t>5</w:t>
            </w:r>
          </w:p>
        </w:tc>
      </w:tr>
      <w:tr w:rsidR="00A43EEA" w14:paraId="289F94A2" w14:textId="77777777" w:rsidTr="00DE53D6">
        <w:tc>
          <w:tcPr>
            <w:tcW w:w="4472" w:type="dxa"/>
            <w:tcMar>
              <w:top w:w="29" w:type="dxa"/>
              <w:left w:w="115" w:type="dxa"/>
              <w:bottom w:w="29" w:type="dxa"/>
              <w:right w:w="115" w:type="dxa"/>
            </w:tcMar>
            <w:vAlign w:val="center"/>
          </w:tcPr>
          <w:p w14:paraId="72C8CBBA" w14:textId="398F5936" w:rsidR="00A43EEA" w:rsidRPr="00DE53D6" w:rsidRDefault="00A43EEA" w:rsidP="00262423">
            <w:pPr>
              <w:pStyle w:val="Tabletext"/>
              <w:rPr>
                <w:szCs w:val="20"/>
              </w:rPr>
            </w:pPr>
            <w:r w:rsidRPr="00DE53D6">
              <w:rPr>
                <w:szCs w:val="20"/>
              </w:rPr>
              <w:t>Industry indicators</w:t>
            </w:r>
          </w:p>
        </w:tc>
        <w:tc>
          <w:tcPr>
            <w:tcW w:w="1627" w:type="dxa"/>
            <w:tcMar>
              <w:top w:w="29" w:type="dxa"/>
              <w:left w:w="115" w:type="dxa"/>
              <w:bottom w:w="29" w:type="dxa"/>
              <w:right w:w="432" w:type="dxa"/>
            </w:tcMar>
            <w:vAlign w:val="center"/>
          </w:tcPr>
          <w:p w14:paraId="1C3CA0B9" w14:textId="7B929965" w:rsidR="00A43EEA" w:rsidRDefault="00A43EEA" w:rsidP="00262423">
            <w:pPr>
              <w:pStyle w:val="Tabletext"/>
              <w:jc w:val="right"/>
            </w:pPr>
            <w:r>
              <w:t>Yes</w:t>
            </w:r>
          </w:p>
        </w:tc>
        <w:tc>
          <w:tcPr>
            <w:tcW w:w="1627" w:type="dxa"/>
            <w:tcMar>
              <w:top w:w="29" w:type="dxa"/>
              <w:left w:w="115" w:type="dxa"/>
              <w:bottom w:w="29" w:type="dxa"/>
              <w:right w:w="432" w:type="dxa"/>
            </w:tcMar>
            <w:vAlign w:val="center"/>
          </w:tcPr>
          <w:p w14:paraId="5CEEA050" w14:textId="6AD9DBDC" w:rsidR="00A43EEA" w:rsidRDefault="00A43EEA" w:rsidP="00262423">
            <w:pPr>
              <w:pStyle w:val="Tabletext"/>
              <w:jc w:val="right"/>
            </w:pPr>
            <w:r>
              <w:t>Yes</w:t>
            </w:r>
          </w:p>
        </w:tc>
        <w:tc>
          <w:tcPr>
            <w:tcW w:w="1628" w:type="dxa"/>
            <w:tcMar>
              <w:top w:w="29" w:type="dxa"/>
              <w:left w:w="115" w:type="dxa"/>
              <w:bottom w:w="29" w:type="dxa"/>
              <w:right w:w="432" w:type="dxa"/>
            </w:tcMar>
            <w:vAlign w:val="center"/>
          </w:tcPr>
          <w:p w14:paraId="4989055D" w14:textId="7C496864" w:rsidR="00A43EEA" w:rsidRDefault="00A43EEA" w:rsidP="00262423">
            <w:pPr>
              <w:pStyle w:val="Tabletext"/>
              <w:jc w:val="right"/>
            </w:pPr>
            <w:r>
              <w:t>Yes</w:t>
            </w:r>
          </w:p>
        </w:tc>
      </w:tr>
      <w:tr w:rsidR="00262423" w14:paraId="6C24AEAD" w14:textId="77777777" w:rsidTr="00DE53D6">
        <w:tc>
          <w:tcPr>
            <w:tcW w:w="4472" w:type="dxa"/>
            <w:tcMar>
              <w:top w:w="29" w:type="dxa"/>
              <w:left w:w="115" w:type="dxa"/>
              <w:bottom w:w="29" w:type="dxa"/>
              <w:right w:w="115" w:type="dxa"/>
            </w:tcMar>
            <w:vAlign w:val="center"/>
          </w:tcPr>
          <w:p w14:paraId="434C06DE" w14:textId="5F244A95" w:rsidR="00262423" w:rsidRPr="00DE53D6" w:rsidRDefault="00262423" w:rsidP="00262423">
            <w:pPr>
              <w:pStyle w:val="Tabletext"/>
              <w:rPr>
                <w:szCs w:val="20"/>
              </w:rPr>
            </w:pPr>
            <w:r w:rsidRPr="00DE53D6">
              <w:rPr>
                <w:szCs w:val="20"/>
              </w:rPr>
              <w:t>R-square</w:t>
            </w:r>
            <w:r w:rsidR="001F362B" w:rsidRPr="00DE53D6">
              <w:rPr>
                <w:szCs w:val="20"/>
              </w:rPr>
              <w:t>d</w:t>
            </w:r>
            <w:r w:rsidRPr="00DE53D6">
              <w:rPr>
                <w:szCs w:val="20"/>
              </w:rPr>
              <w:t xml:space="preserve"> (%)</w:t>
            </w:r>
          </w:p>
        </w:tc>
        <w:tc>
          <w:tcPr>
            <w:tcW w:w="1627" w:type="dxa"/>
            <w:tcMar>
              <w:top w:w="29" w:type="dxa"/>
              <w:left w:w="115" w:type="dxa"/>
              <w:bottom w:w="29" w:type="dxa"/>
              <w:right w:w="432" w:type="dxa"/>
            </w:tcMar>
            <w:vAlign w:val="center"/>
          </w:tcPr>
          <w:p w14:paraId="56B04C90" w14:textId="3866ECCF" w:rsidR="00262423" w:rsidRDefault="00A43EEA" w:rsidP="00262423">
            <w:pPr>
              <w:pStyle w:val="Tabletext"/>
              <w:jc w:val="right"/>
            </w:pPr>
            <w:r>
              <w:t>0.</w:t>
            </w:r>
            <w:r w:rsidR="00524652">
              <w:t>06</w:t>
            </w:r>
          </w:p>
        </w:tc>
        <w:tc>
          <w:tcPr>
            <w:tcW w:w="1627" w:type="dxa"/>
            <w:tcMar>
              <w:top w:w="29" w:type="dxa"/>
              <w:left w:w="115" w:type="dxa"/>
              <w:bottom w:w="29" w:type="dxa"/>
              <w:right w:w="432" w:type="dxa"/>
            </w:tcMar>
            <w:vAlign w:val="center"/>
          </w:tcPr>
          <w:p w14:paraId="44761FF5" w14:textId="51CB2554" w:rsidR="00262423" w:rsidRDefault="00A43EEA" w:rsidP="00262423">
            <w:pPr>
              <w:pStyle w:val="Tabletext"/>
              <w:jc w:val="right"/>
            </w:pPr>
            <w:r>
              <w:t>0.</w:t>
            </w:r>
            <w:r w:rsidR="00524652">
              <w:t>35</w:t>
            </w:r>
          </w:p>
        </w:tc>
        <w:tc>
          <w:tcPr>
            <w:tcW w:w="1628" w:type="dxa"/>
            <w:tcMar>
              <w:top w:w="29" w:type="dxa"/>
              <w:left w:w="115" w:type="dxa"/>
              <w:bottom w:w="29" w:type="dxa"/>
              <w:right w:w="432" w:type="dxa"/>
            </w:tcMar>
            <w:vAlign w:val="center"/>
          </w:tcPr>
          <w:p w14:paraId="02B4C636" w14:textId="019B29F6" w:rsidR="00262423" w:rsidRDefault="00A43EEA" w:rsidP="00262423">
            <w:pPr>
              <w:pStyle w:val="Tabletext"/>
              <w:jc w:val="right"/>
            </w:pPr>
            <w:r>
              <w:t>0.</w:t>
            </w:r>
            <w:r w:rsidR="00524652">
              <w:t>37</w:t>
            </w:r>
          </w:p>
        </w:tc>
      </w:tr>
      <w:tr w:rsidR="00262423" w14:paraId="7E96CA79" w14:textId="77777777" w:rsidTr="00DE53D6">
        <w:tc>
          <w:tcPr>
            <w:tcW w:w="4472" w:type="dxa"/>
            <w:tcMar>
              <w:top w:w="29" w:type="dxa"/>
              <w:left w:w="115" w:type="dxa"/>
              <w:bottom w:w="29" w:type="dxa"/>
              <w:right w:w="115" w:type="dxa"/>
            </w:tcMar>
            <w:vAlign w:val="center"/>
          </w:tcPr>
          <w:p w14:paraId="564E115E" w14:textId="12EBD6A4" w:rsidR="00262423" w:rsidRPr="00DE53D6" w:rsidRDefault="00262423" w:rsidP="00262423">
            <w:pPr>
              <w:pStyle w:val="Tabletext"/>
              <w:rPr>
                <w:szCs w:val="20"/>
              </w:rPr>
            </w:pPr>
            <w:r w:rsidRPr="00DE53D6">
              <w:rPr>
                <w:szCs w:val="20"/>
              </w:rPr>
              <w:t>Adj r-square</w:t>
            </w:r>
            <w:r w:rsidR="001F362B" w:rsidRPr="00DE53D6">
              <w:rPr>
                <w:szCs w:val="20"/>
              </w:rPr>
              <w:t>d</w:t>
            </w:r>
            <w:r w:rsidRPr="00DE53D6">
              <w:rPr>
                <w:szCs w:val="20"/>
              </w:rPr>
              <w:t xml:space="preserve"> (%)</w:t>
            </w:r>
          </w:p>
        </w:tc>
        <w:tc>
          <w:tcPr>
            <w:tcW w:w="1627" w:type="dxa"/>
            <w:tcMar>
              <w:top w:w="29" w:type="dxa"/>
              <w:left w:w="115" w:type="dxa"/>
              <w:bottom w:w="29" w:type="dxa"/>
              <w:right w:w="432" w:type="dxa"/>
            </w:tcMar>
            <w:vAlign w:val="center"/>
          </w:tcPr>
          <w:p w14:paraId="0BFD30EC" w14:textId="231F2643" w:rsidR="00262423" w:rsidRDefault="00A43EEA" w:rsidP="00262423">
            <w:pPr>
              <w:pStyle w:val="Tabletext"/>
              <w:jc w:val="right"/>
            </w:pPr>
            <w:r>
              <w:t>0.</w:t>
            </w:r>
            <w:r w:rsidR="00524652">
              <w:t>05</w:t>
            </w:r>
          </w:p>
        </w:tc>
        <w:tc>
          <w:tcPr>
            <w:tcW w:w="1627" w:type="dxa"/>
            <w:tcMar>
              <w:top w:w="29" w:type="dxa"/>
              <w:left w:w="115" w:type="dxa"/>
              <w:bottom w:w="29" w:type="dxa"/>
              <w:right w:w="432" w:type="dxa"/>
            </w:tcMar>
            <w:vAlign w:val="center"/>
          </w:tcPr>
          <w:p w14:paraId="0B4A852F" w14:textId="41866159" w:rsidR="00262423" w:rsidRDefault="00A43EEA" w:rsidP="00262423">
            <w:pPr>
              <w:pStyle w:val="Tabletext"/>
              <w:jc w:val="right"/>
            </w:pPr>
            <w:r>
              <w:t>0.</w:t>
            </w:r>
            <w:r w:rsidR="00524652">
              <w:t>34</w:t>
            </w:r>
          </w:p>
        </w:tc>
        <w:tc>
          <w:tcPr>
            <w:tcW w:w="1628" w:type="dxa"/>
            <w:tcMar>
              <w:top w:w="29" w:type="dxa"/>
              <w:left w:w="115" w:type="dxa"/>
              <w:bottom w:w="29" w:type="dxa"/>
              <w:right w:w="432" w:type="dxa"/>
            </w:tcMar>
            <w:vAlign w:val="center"/>
          </w:tcPr>
          <w:p w14:paraId="44E41F6F" w14:textId="2278EFC3" w:rsidR="00262423" w:rsidRDefault="00A43EEA" w:rsidP="00262423">
            <w:pPr>
              <w:pStyle w:val="Tabletext"/>
              <w:jc w:val="right"/>
            </w:pPr>
            <w:r>
              <w:t>0.</w:t>
            </w:r>
            <w:r w:rsidR="00524652">
              <w:t>36</w:t>
            </w:r>
          </w:p>
        </w:tc>
      </w:tr>
      <w:tr w:rsidR="00DD72A2" w14:paraId="1AE42F2B" w14:textId="77777777" w:rsidTr="00DE53D6">
        <w:tc>
          <w:tcPr>
            <w:tcW w:w="4472" w:type="dxa"/>
            <w:tcMar>
              <w:top w:w="29" w:type="dxa"/>
              <w:left w:w="115" w:type="dxa"/>
              <w:bottom w:w="29" w:type="dxa"/>
              <w:right w:w="115" w:type="dxa"/>
            </w:tcMar>
            <w:vAlign w:val="center"/>
          </w:tcPr>
          <w:p w14:paraId="38397F58" w14:textId="6CD20F17" w:rsidR="00DD72A2" w:rsidRPr="00DE53D6" w:rsidRDefault="00DD72A2" w:rsidP="00262423">
            <w:pPr>
              <w:pStyle w:val="Tabletext"/>
              <w:rPr>
                <w:szCs w:val="20"/>
              </w:rPr>
            </w:pPr>
            <w:r w:rsidRPr="00DE53D6">
              <w:rPr>
                <w:szCs w:val="20"/>
              </w:rPr>
              <w:t>DW</w:t>
            </w:r>
          </w:p>
        </w:tc>
        <w:tc>
          <w:tcPr>
            <w:tcW w:w="1627" w:type="dxa"/>
            <w:tcMar>
              <w:top w:w="29" w:type="dxa"/>
              <w:left w:w="115" w:type="dxa"/>
              <w:bottom w:w="29" w:type="dxa"/>
              <w:right w:w="432" w:type="dxa"/>
            </w:tcMar>
            <w:vAlign w:val="center"/>
          </w:tcPr>
          <w:p w14:paraId="10D7253E" w14:textId="2A29C82D" w:rsidR="00DD72A2" w:rsidRDefault="00DD72A2" w:rsidP="00262423">
            <w:pPr>
              <w:pStyle w:val="Tabletext"/>
              <w:jc w:val="right"/>
            </w:pPr>
            <w:r>
              <w:t>2.04</w:t>
            </w:r>
          </w:p>
        </w:tc>
        <w:tc>
          <w:tcPr>
            <w:tcW w:w="1627" w:type="dxa"/>
            <w:tcMar>
              <w:top w:w="29" w:type="dxa"/>
              <w:left w:w="115" w:type="dxa"/>
              <w:bottom w:w="29" w:type="dxa"/>
              <w:right w:w="432" w:type="dxa"/>
            </w:tcMar>
            <w:vAlign w:val="center"/>
          </w:tcPr>
          <w:p w14:paraId="28BC7FEF" w14:textId="6B736DBC" w:rsidR="00DD72A2" w:rsidRDefault="00DD72A2" w:rsidP="00262423">
            <w:pPr>
              <w:pStyle w:val="Tabletext"/>
              <w:jc w:val="right"/>
            </w:pPr>
            <w:r>
              <w:t>2.03</w:t>
            </w:r>
          </w:p>
        </w:tc>
        <w:tc>
          <w:tcPr>
            <w:tcW w:w="1628" w:type="dxa"/>
            <w:tcMar>
              <w:top w:w="29" w:type="dxa"/>
              <w:left w:w="115" w:type="dxa"/>
              <w:bottom w:w="29" w:type="dxa"/>
              <w:right w:w="432" w:type="dxa"/>
            </w:tcMar>
            <w:vAlign w:val="center"/>
          </w:tcPr>
          <w:p w14:paraId="6284C771" w14:textId="233771BC" w:rsidR="00DD72A2" w:rsidRDefault="00DD72A2" w:rsidP="00262423">
            <w:pPr>
              <w:pStyle w:val="Tabletext"/>
              <w:jc w:val="right"/>
            </w:pPr>
            <w:r>
              <w:t>2.04</w:t>
            </w:r>
          </w:p>
        </w:tc>
      </w:tr>
      <w:tr w:rsidR="00262423" w14:paraId="32011BCE" w14:textId="77777777" w:rsidTr="00DE53D6">
        <w:tc>
          <w:tcPr>
            <w:tcW w:w="4472" w:type="dxa"/>
            <w:tcBorders>
              <w:bottom w:val="single" w:sz="4" w:space="0" w:color="00274C" w:themeColor="accent1"/>
            </w:tcBorders>
            <w:tcMar>
              <w:top w:w="29" w:type="dxa"/>
              <w:left w:w="115" w:type="dxa"/>
              <w:bottom w:w="29" w:type="dxa"/>
              <w:right w:w="115" w:type="dxa"/>
            </w:tcMar>
            <w:vAlign w:val="center"/>
          </w:tcPr>
          <w:p w14:paraId="0069015E" w14:textId="745BD6FD" w:rsidR="00262423" w:rsidRPr="00DE53D6" w:rsidRDefault="00262423" w:rsidP="00262423">
            <w:pPr>
              <w:pStyle w:val="Tabletext"/>
              <w:rPr>
                <w:szCs w:val="20"/>
              </w:rPr>
            </w:pPr>
            <w:r w:rsidRPr="00DE53D6">
              <w:rPr>
                <w:szCs w:val="20"/>
              </w:rPr>
              <w:t>N = 309,269</w:t>
            </w:r>
          </w:p>
        </w:tc>
        <w:tc>
          <w:tcPr>
            <w:tcW w:w="1627" w:type="dxa"/>
            <w:tcBorders>
              <w:bottom w:val="single" w:sz="4" w:space="0" w:color="00274C" w:themeColor="accent1"/>
            </w:tcBorders>
            <w:tcMar>
              <w:top w:w="29" w:type="dxa"/>
              <w:left w:w="115" w:type="dxa"/>
              <w:bottom w:w="29" w:type="dxa"/>
              <w:right w:w="720" w:type="dxa"/>
            </w:tcMar>
            <w:vAlign w:val="center"/>
          </w:tcPr>
          <w:p w14:paraId="5766298C" w14:textId="01AEBA8B" w:rsidR="00262423" w:rsidRDefault="00262423" w:rsidP="00262423">
            <w:pPr>
              <w:pStyle w:val="Tabletext"/>
              <w:jc w:val="right"/>
            </w:pPr>
          </w:p>
        </w:tc>
        <w:tc>
          <w:tcPr>
            <w:tcW w:w="1627" w:type="dxa"/>
            <w:tcBorders>
              <w:bottom w:val="single" w:sz="4" w:space="0" w:color="00274C" w:themeColor="accent1"/>
            </w:tcBorders>
            <w:tcMar>
              <w:top w:w="29" w:type="dxa"/>
              <w:left w:w="115" w:type="dxa"/>
              <w:bottom w:w="29" w:type="dxa"/>
              <w:right w:w="720" w:type="dxa"/>
            </w:tcMar>
            <w:vAlign w:val="center"/>
          </w:tcPr>
          <w:p w14:paraId="0554B4C2" w14:textId="5C9F06B7" w:rsidR="00262423" w:rsidRDefault="00262423" w:rsidP="00262423">
            <w:pPr>
              <w:pStyle w:val="Tabletext"/>
              <w:jc w:val="right"/>
            </w:pPr>
          </w:p>
        </w:tc>
        <w:tc>
          <w:tcPr>
            <w:tcW w:w="1628" w:type="dxa"/>
            <w:tcBorders>
              <w:bottom w:val="single" w:sz="4" w:space="0" w:color="00274C" w:themeColor="accent1"/>
            </w:tcBorders>
            <w:tcMar>
              <w:top w:w="29" w:type="dxa"/>
              <w:left w:w="115" w:type="dxa"/>
              <w:bottom w:w="29" w:type="dxa"/>
              <w:right w:w="720" w:type="dxa"/>
            </w:tcMar>
            <w:vAlign w:val="center"/>
          </w:tcPr>
          <w:p w14:paraId="1DA730A0" w14:textId="02539C47" w:rsidR="00262423" w:rsidRDefault="00262423" w:rsidP="00262423">
            <w:pPr>
              <w:pStyle w:val="Tabletext"/>
              <w:jc w:val="right"/>
            </w:pPr>
          </w:p>
        </w:tc>
      </w:tr>
    </w:tbl>
    <w:p w14:paraId="3E6BC022" w14:textId="3D9940BE" w:rsidR="00262423" w:rsidRDefault="00AB619B" w:rsidP="00AB619B">
      <w:pPr>
        <w:pStyle w:val="Heading2"/>
      </w:pPr>
      <w:bookmarkStart w:id="12" w:name="_Toc125893676"/>
      <w:r>
        <w:t>Constrained variables and influential observations</w:t>
      </w:r>
      <w:bookmarkEnd w:id="12"/>
    </w:p>
    <w:p w14:paraId="31A4DD6C" w14:textId="1C3FC856" w:rsidR="00AB619B" w:rsidRDefault="00AB619B" w:rsidP="00AB619B">
      <w:pPr>
        <w:pStyle w:val="ListParagraph"/>
        <w:numPr>
          <w:ilvl w:val="0"/>
          <w:numId w:val="43"/>
        </w:numPr>
      </w:pPr>
      <w:r>
        <w:t>If we ran the regression without constraining monthly returns within the range of -59 per cent to +100 per cent, the coefficient on the natural logarithm of market capitalization would have been -0.005</w:t>
      </w:r>
      <w:r w:rsidR="00BD4274">
        <w:t>29</w:t>
      </w:r>
      <w:r>
        <w:t xml:space="preserve">, an increase of 10 per cent. This is material because it </w:t>
      </w:r>
      <w:r>
        <w:lastRenderedPageBreak/>
        <w:t xml:space="preserve">corresponds an annual increase in predicted returns of </w:t>
      </w:r>
      <w:r w:rsidR="00BD4274">
        <w:t>1.0</w:t>
      </w:r>
      <w:r>
        <w:t xml:space="preserve"> per cent for the difference between a stock at the 25</w:t>
      </w:r>
      <w:r w:rsidRPr="00AB619B">
        <w:rPr>
          <w:vertAlign w:val="superscript"/>
        </w:rPr>
        <w:t>th</w:t>
      </w:r>
      <w:r>
        <w:t xml:space="preserve"> percentile and 75</w:t>
      </w:r>
      <w:r w:rsidRPr="00AB619B">
        <w:rPr>
          <w:vertAlign w:val="superscript"/>
        </w:rPr>
        <w:t>th</w:t>
      </w:r>
      <w:r>
        <w:t xml:space="preserve"> percentile of the size distribution.</w:t>
      </w:r>
    </w:p>
    <w:p w14:paraId="7C525748" w14:textId="0EA7C9A6" w:rsidR="00CA6366" w:rsidRDefault="00AB619B" w:rsidP="00CA6366">
      <w:pPr>
        <w:pStyle w:val="ListParagraph"/>
        <w:numPr>
          <w:ilvl w:val="0"/>
          <w:numId w:val="43"/>
        </w:numPr>
      </w:pPr>
      <w:r>
        <w:t xml:space="preserve">For stock returns, it was easy to see that a handful of returns were very large, and we could easily make that case that we cannot </w:t>
      </w:r>
      <w:r w:rsidR="001B4AEC">
        <w:t>reasonably</w:t>
      </w:r>
      <w:r>
        <w:t xml:space="preserve"> form a portfolio </w:t>
      </w:r>
      <w:proofErr w:type="gramStart"/>
      <w:r>
        <w:t>on the basis of</w:t>
      </w:r>
      <w:proofErr w:type="gramEnd"/>
      <w:r>
        <w:t xml:space="preserve"> results from a small number of outsized returns.</w:t>
      </w:r>
    </w:p>
    <w:p w14:paraId="2BD25058" w14:textId="43B6EC48" w:rsidR="00182FF2" w:rsidRDefault="00CA6366" w:rsidP="00CA6366">
      <w:pPr>
        <w:pStyle w:val="ListParagraph"/>
        <w:numPr>
          <w:ilvl w:val="0"/>
          <w:numId w:val="43"/>
        </w:numPr>
      </w:pPr>
      <w:r>
        <w:t>The Cook’s D influence statistic is a measure of the relative influence of an observation on the regression output. When I ran the regression using abnormal returns without constraints, the observation with the highest Cook’s D was Gamestop in January 2021 with 1625 per cent return. If we run the regression again, using unadjusted abnormal returns, and remove this single observation out of over 300,000 the coefficient on LN MC falls to -0.005</w:t>
      </w:r>
      <w:r w:rsidR="00BD4274">
        <w:t>27</w:t>
      </w:r>
      <w:r>
        <w:t xml:space="preserve">. If we run the regression and remove the 100 most influential observations, the coefficient on LN MC falls to </w:t>
      </w:r>
      <w:r w:rsidR="005713AE">
        <w:t>-0.004</w:t>
      </w:r>
      <w:r w:rsidR="00182FF2">
        <w:t>60</w:t>
      </w:r>
      <w:r w:rsidR="005713AE">
        <w:t>. The corresponding regression coefficient using adjusted returns with the same small number of observations removed is -0.004</w:t>
      </w:r>
      <w:r w:rsidR="00182FF2">
        <w:t>48</w:t>
      </w:r>
      <w:r w:rsidR="00524652">
        <w:t>.</w:t>
      </w:r>
    </w:p>
    <w:p w14:paraId="10F0D8B9" w14:textId="3CDAAAAC" w:rsidR="00CA6366" w:rsidRPr="00182FF2" w:rsidRDefault="00182FF2" w:rsidP="00CA6366">
      <w:pPr>
        <w:pStyle w:val="ListParagraph"/>
        <w:numPr>
          <w:ilvl w:val="0"/>
          <w:numId w:val="43"/>
        </w:numPr>
        <w:rPr>
          <w:b/>
          <w:bCs/>
        </w:rPr>
      </w:pPr>
      <w:r w:rsidRPr="00182FF2">
        <w:rPr>
          <w:b/>
          <w:bCs/>
        </w:rPr>
        <w:t>In short, if you retain extreme returns in your data without adjustment, those returns will be highly influential to your conclusions and you are likely to bias your portfolio formation decisions towards stock characteristics that, by chance, were associated with a small number of extreme returns in an historical series that is unlikely to be repeated.</w:t>
      </w:r>
    </w:p>
    <w:p w14:paraId="19A38D7E" w14:textId="65171303" w:rsidR="00424440" w:rsidRDefault="00424440" w:rsidP="00CA6366">
      <w:pPr>
        <w:pStyle w:val="ListParagraph"/>
        <w:numPr>
          <w:ilvl w:val="0"/>
          <w:numId w:val="43"/>
        </w:numPr>
      </w:pPr>
      <w:r>
        <w:t xml:space="preserve">Sometimes, the Cook’s D influence statistic suggests that an entire company is highly influential to the results. For example, Wisdomtree Investments Inc (CUSIP = </w:t>
      </w:r>
      <w:r w:rsidRPr="00424440">
        <w:t>97717P10</w:t>
      </w:r>
      <w:r>
        <w:t>)</w:t>
      </w:r>
      <w:r w:rsidR="003A1AD0">
        <w:t>, a provider of exchange-traded funds (ETFs)</w:t>
      </w:r>
      <w:r>
        <w:t xml:space="preserve"> appears 20 times in the top 50 observations based upon Cook’s D influence statistics using the unadjusted abnormal returns.</w:t>
      </w:r>
      <w:r w:rsidR="004D3A56">
        <w:t xml:space="preserve"> If this entire company is removed, along with a single month from Gamestop, the coefficient on LN MC using unadjusted abnormal returns falls to -0.005</w:t>
      </w:r>
      <w:r w:rsidR="00182FF2">
        <w:t>27</w:t>
      </w:r>
      <w:r w:rsidR="004D3A56">
        <w:t xml:space="preserve"> and the coefficient on LN MC using adjusted abnormal returns fall to -0.004</w:t>
      </w:r>
      <w:r w:rsidR="00182FF2">
        <w:t>79</w:t>
      </w:r>
      <w:r w:rsidR="004D3A56">
        <w:t>.</w:t>
      </w:r>
    </w:p>
    <w:p w14:paraId="0130EC6B" w14:textId="4FA899CD" w:rsidR="00424440" w:rsidRPr="00182FF2" w:rsidRDefault="004D3A56" w:rsidP="00424440">
      <w:pPr>
        <w:pStyle w:val="ListParagraph"/>
        <w:numPr>
          <w:ilvl w:val="0"/>
          <w:numId w:val="43"/>
        </w:numPr>
        <w:rPr>
          <w:b/>
          <w:bCs/>
        </w:rPr>
      </w:pPr>
      <w:r w:rsidRPr="00182FF2">
        <w:rPr>
          <w:b/>
          <w:bCs/>
        </w:rPr>
        <w:t>The point is that in portfolio management, the magnitude of relationships between stock characteristics and returns matters, not just direction and statistical significance. We always need to check for possible spurious relationships in the data, regardless of whether or not there is what appears to be a statistically significant relationship between variables in a dataset.</w:t>
      </w:r>
    </w:p>
    <w:p w14:paraId="12213015" w14:textId="03A284A4" w:rsidR="00DE53D6" w:rsidRDefault="00DE53D6" w:rsidP="00DE53D6">
      <w:pPr>
        <w:pStyle w:val="Heading2"/>
      </w:pPr>
      <w:bookmarkStart w:id="13" w:name="_Toc125893677"/>
      <w:r>
        <w:t>Statistical significance</w:t>
      </w:r>
      <w:bookmarkEnd w:id="13"/>
    </w:p>
    <w:p w14:paraId="536D8B88" w14:textId="42F154D3" w:rsidR="00DE53D6" w:rsidRDefault="00DE53D6" w:rsidP="00DE53D6">
      <w:pPr>
        <w:pStyle w:val="ListParagraph"/>
        <w:numPr>
          <w:ilvl w:val="0"/>
          <w:numId w:val="43"/>
        </w:numPr>
      </w:pPr>
      <w:r>
        <w:t>Examining the coefficient on LN Market Capitalization and its standard error, the OLS regression results strongly suggest statistical significance. Statistical significance is the probability of observing a result different to our null hypothesis due to the sample being non-representative of the population. The population is all potential stock returns on all potential mid-sized companies that could have been listed.</w:t>
      </w:r>
      <w:r w:rsidR="00822F19">
        <w:t xml:space="preserve"> Imagine history was repeated over and over again in parallel universes in which different companies emerged, and they exhibited different stock returns when listed. We only get to observe one sample of 1,471 companies </w:t>
      </w:r>
      <w:r w:rsidR="00182FF2">
        <w:t>for</w:t>
      </w:r>
      <w:r w:rsidR="00822F19">
        <w:t xml:space="preserve"> one 28-year time period from </w:t>
      </w:r>
      <w:r w:rsidR="00182FF2">
        <w:t xml:space="preserve">January </w:t>
      </w:r>
      <w:r w:rsidR="00822F19">
        <w:t xml:space="preserve">1995 to </w:t>
      </w:r>
      <w:r w:rsidR="00182FF2">
        <w:t xml:space="preserve">March </w:t>
      </w:r>
      <w:r w:rsidR="00822F19">
        <w:t>2022. We can create a distribution of alternative samples by repeatedly drawing from our original sample, as an approximation of the samples that we could have drawn from the unobservable population. That does not form part of our course but is a more accurate way of estimating statistical significance than drawing inferences from the standard error in regression.</w:t>
      </w:r>
    </w:p>
    <w:p w14:paraId="5DF6E92F" w14:textId="6A2F1208" w:rsidR="00822F19" w:rsidRDefault="00822F19" w:rsidP="00822F19">
      <w:pPr>
        <w:pStyle w:val="ListParagraph"/>
        <w:numPr>
          <w:ilvl w:val="0"/>
          <w:numId w:val="43"/>
        </w:numPr>
      </w:pPr>
      <w:r>
        <w:lastRenderedPageBreak/>
        <w:t>Using adjusted abnormal returns, the OLS standard error is 0.00016. The t-statistic for testing whether the coefficient of -0.00467 is different from a null hypothesis of zero is (-0.00467 – 0)/0.00016 = -29.5, which implies a p-value of less than 0.01 per cent. However, you should be aware that the standard error from OLS regression is understated in this instance. This will not form a material part of our course</w:t>
      </w:r>
      <w:r w:rsidR="00182FF2">
        <w:t>, b</w:t>
      </w:r>
      <w:r>
        <w:t>ut is something you should be aware of.</w:t>
      </w:r>
    </w:p>
    <w:p w14:paraId="762BB94D" w14:textId="6ED45E0C" w:rsidR="00822F19" w:rsidRDefault="00822F19" w:rsidP="00822F19">
      <w:pPr>
        <w:pStyle w:val="ListParagraph"/>
        <w:numPr>
          <w:ilvl w:val="1"/>
          <w:numId w:val="43"/>
        </w:numPr>
      </w:pPr>
      <w:r>
        <w:t xml:space="preserve">The standard error generated by OLS regression is based upon the assumption that the errors are </w:t>
      </w:r>
      <w:r w:rsidRPr="00822F19">
        <w:rPr>
          <w:b/>
          <w:bCs/>
        </w:rPr>
        <w:t>independent</w:t>
      </w:r>
      <w:r>
        <w:rPr>
          <w:b/>
          <w:bCs/>
        </w:rPr>
        <w:t xml:space="preserve"> </w:t>
      </w:r>
      <w:r>
        <w:t xml:space="preserve">and have the </w:t>
      </w:r>
      <w:r w:rsidRPr="00822F19">
        <w:rPr>
          <w:b/>
          <w:bCs/>
        </w:rPr>
        <w:t>same variance</w:t>
      </w:r>
      <w:r>
        <w:t xml:space="preserve"> regardless of </w:t>
      </w:r>
      <w:r w:rsidR="00182FF2">
        <w:t>characteristics</w:t>
      </w:r>
      <w:r>
        <w:t xml:space="preserve"> of the independent variables. The error is the difference between the actual adjusted abnormal return, and the predicted adjusted abnormal return from the regression. In OLS regression, there is an assumption that whether the error is positive or negative and whether it is a </w:t>
      </w:r>
      <w:r w:rsidR="00182FF2">
        <w:t xml:space="preserve">far from </w:t>
      </w:r>
      <w:r>
        <w:t>or close to the predicted value, has nothing to do with the companies in the dataset, their market capitalization, and any other error terms. The technical term for error terms having the same variance regardless of the independent variables is homoskedasticity</w:t>
      </w:r>
      <w:r w:rsidR="00727A8C">
        <w:t xml:space="preserve"> (meaning constant variance). The technical term for non-constant variance is heteroskedasticity.</w:t>
      </w:r>
    </w:p>
    <w:p w14:paraId="14182198" w14:textId="73C67A0B" w:rsidR="00727A8C" w:rsidRDefault="00727A8C" w:rsidP="00822F19">
      <w:pPr>
        <w:pStyle w:val="ListParagraph"/>
        <w:numPr>
          <w:ilvl w:val="1"/>
          <w:numId w:val="43"/>
        </w:numPr>
      </w:pPr>
      <w:r>
        <w:t xml:space="preserve">The error terms do not exhibit constant variance across observations. One correction that I applied to compute standard errors that adjust for non-constant variance generates a standard error of 0.00021. This means there is a </w:t>
      </w:r>
      <w:r w:rsidR="00594125">
        <w:t>roughly 25 per cent increase in the standard error once non-constant variance in error terms is corrected.</w:t>
      </w:r>
    </w:p>
    <w:p w14:paraId="2044F98D" w14:textId="2E58DF90" w:rsidR="00594125" w:rsidRDefault="00594125" w:rsidP="00822F19">
      <w:pPr>
        <w:pStyle w:val="ListParagraph"/>
        <w:numPr>
          <w:ilvl w:val="1"/>
          <w:numId w:val="43"/>
        </w:numPr>
      </w:pPr>
      <w:r>
        <w:t>The error terms are also not independent across observations because the same company appears multiple times in the dataset. If a company made consistent positive announcements over the sample period, it will exhibit consistent returns above what is predicted by the regression model, so the error terms will, in part, be dependent upon the individual company. I applied a correction called clustered standard errors, clustering by company, to account for this. The standard error is now 0.00024, a 50 per cent increase above the baseline standard error of 0.00016.</w:t>
      </w:r>
    </w:p>
    <w:p w14:paraId="228551FC" w14:textId="221F056B" w:rsidR="00594125" w:rsidRDefault="00594125" w:rsidP="00822F19">
      <w:pPr>
        <w:pStyle w:val="ListParagraph"/>
        <w:numPr>
          <w:ilvl w:val="1"/>
          <w:numId w:val="43"/>
        </w:numPr>
      </w:pPr>
      <w:r>
        <w:t>In summary, tests of statistical significance are always based upon a suite of underlying assumptions, and violation of these assumptions can potentially lead to spurious conclusions about statistical significance. In our case, this is not a problem because even with clustered standard errors, the sample size of over 300,000 months, almost 1,500 companies and 27 years of data, makes it unlikely that small firm returns exceeded large firm returns purely by chance. This is shown by the comparatively small standard error, even when computed using clustered standard errors.</w:t>
      </w:r>
    </w:p>
    <w:p w14:paraId="1B1F9032" w14:textId="6EE4CB7B" w:rsidR="00182FF2" w:rsidRDefault="00133926" w:rsidP="00182FF2">
      <w:pPr>
        <w:pStyle w:val="Heading1"/>
      </w:pPr>
      <w:bookmarkStart w:id="14" w:name="_Toc125893678"/>
      <w:r>
        <w:t>Stock characteristics worth of consideration</w:t>
      </w:r>
      <w:bookmarkEnd w:id="14"/>
    </w:p>
    <w:p w14:paraId="5A5F0F77" w14:textId="19191D5D" w:rsidR="00133926" w:rsidRDefault="00133926" w:rsidP="00133926">
      <w:pPr>
        <w:pStyle w:val="ListParagraph"/>
        <w:numPr>
          <w:ilvl w:val="0"/>
          <w:numId w:val="46"/>
        </w:numPr>
      </w:pPr>
      <w:r>
        <w:t>We know that company size is a stock characteristic worthy of consideration in portfolio formation. Researchers from the 1980s onwards documented that, on average, small stocks earn higher returns than large stocks (for example, Fama and French, 1992).</w:t>
      </w:r>
    </w:p>
    <w:p w14:paraId="7388328D" w14:textId="79E6E17B" w:rsidR="00194FE3" w:rsidRDefault="00194FE3" w:rsidP="00133926">
      <w:pPr>
        <w:pStyle w:val="ListParagraph"/>
        <w:numPr>
          <w:ilvl w:val="0"/>
          <w:numId w:val="46"/>
        </w:numPr>
      </w:pPr>
      <w:r>
        <w:t>Now we are in a position where you should suggest stock characteristics that are plausibly related to stock returns. Another obvious candidate is the book-to-market equity ratio (book value of equity scaled by market value of equity), also used by Fama and French (1992).</w:t>
      </w:r>
    </w:p>
    <w:p w14:paraId="29653062" w14:textId="52438505" w:rsidR="00194FE3" w:rsidRDefault="00746671" w:rsidP="00133926">
      <w:pPr>
        <w:pStyle w:val="ListParagraph"/>
        <w:numPr>
          <w:ilvl w:val="0"/>
          <w:numId w:val="46"/>
        </w:numPr>
      </w:pPr>
      <w:r w:rsidRPr="00746671">
        <w:lastRenderedPageBreak/>
        <w:t>The Invesco S&amp;P MidCap Quality ETF is based on the S&amp;P MidCap 400 Quality Index.</w:t>
      </w:r>
      <w:r w:rsidR="00B27F7B">
        <w:t xml:space="preserve"> The list below outlines the construction of the quality score used to determine the 80 stocks that enter into the S&amp;P Midcap 400 Quality Index.</w:t>
      </w:r>
      <w:r w:rsidR="004E65C5">
        <w:rPr>
          <w:rStyle w:val="FootnoteReference"/>
        </w:rPr>
        <w:footnoteReference w:id="1"/>
      </w:r>
    </w:p>
    <w:p w14:paraId="0352FAD8" w14:textId="1D1420E5" w:rsidR="004E65C5" w:rsidRDefault="004E65C5" w:rsidP="00232E8F">
      <w:pPr>
        <w:pStyle w:val="ListParagraph"/>
        <w:numPr>
          <w:ilvl w:val="1"/>
          <w:numId w:val="46"/>
        </w:numPr>
      </w:pPr>
      <w:r>
        <w:t>“Constituent selection. The top 80 eligible securities are selected for the index by quality score. This score is based on a composite of the following three factors [which we call characteristics] for each stock</w:t>
      </w:r>
      <w:r w:rsidR="00232E8F">
        <w:t>. Individual z-scores are calculated and then combined into one single metric, which is then used to rank constituents. Each of the individual factor values are winsorized. Z-score is (observation value – average)/standard deviation, in other words, the number of standard deviations from the mean.</w:t>
      </w:r>
    </w:p>
    <w:p w14:paraId="093B376E" w14:textId="708D4959" w:rsidR="004E65C5" w:rsidRDefault="004E65C5" w:rsidP="004E65C5">
      <w:pPr>
        <w:pStyle w:val="ListParagraph"/>
        <w:numPr>
          <w:ilvl w:val="2"/>
          <w:numId w:val="46"/>
        </w:numPr>
      </w:pPr>
      <w:r>
        <w:t>Return on equity: … Trailing 12-month earnings per share divided by the latest book value per share.</w:t>
      </w:r>
      <w:r w:rsidR="00232E8F">
        <w:t xml:space="preserve"> If either earnings per share or book value of equity is negative, the observation is assigned the lowest return on equity z-score. Observations are constrained at the 2.5</w:t>
      </w:r>
      <w:r w:rsidR="00232E8F" w:rsidRPr="00232E8F">
        <w:rPr>
          <w:vertAlign w:val="superscript"/>
        </w:rPr>
        <w:t>th</w:t>
      </w:r>
      <w:r w:rsidR="00232E8F">
        <w:t xml:space="preserve"> and 97.5</w:t>
      </w:r>
      <w:r w:rsidR="00232E8F" w:rsidRPr="00232E8F">
        <w:rPr>
          <w:vertAlign w:val="superscript"/>
        </w:rPr>
        <w:t>th</w:t>
      </w:r>
      <w:r w:rsidR="00232E8F">
        <w:t xml:space="preserve"> percentiles.</w:t>
      </w:r>
    </w:p>
    <w:p w14:paraId="7015A91E" w14:textId="0008A255" w:rsidR="004E65C5" w:rsidRDefault="004E65C5" w:rsidP="004E65C5">
      <w:pPr>
        <w:pStyle w:val="ListParagraph"/>
        <w:numPr>
          <w:ilvl w:val="2"/>
          <w:numId w:val="46"/>
        </w:numPr>
      </w:pPr>
      <w:r>
        <w:t>Accruals ratio</w:t>
      </w:r>
      <w:r w:rsidR="001B4AEC">
        <w:t xml:space="preserve"> [this is mislabeled as “accruals” by S&amp;P as the metric captures asset growth and not accounting accruals”]</w:t>
      </w:r>
      <w:r>
        <w:t>: … Change in net operating assets over the last year divided by average net operating assets over the last two years.</w:t>
      </w:r>
      <w:r w:rsidR="00232E8F">
        <w:t xml:space="preserve"> Observations are constrained at the 2.5</w:t>
      </w:r>
      <w:r w:rsidR="00232E8F" w:rsidRPr="00232E8F">
        <w:rPr>
          <w:vertAlign w:val="superscript"/>
        </w:rPr>
        <w:t>th</w:t>
      </w:r>
      <w:r w:rsidR="00232E8F">
        <w:t xml:space="preserve"> and 97.5</w:t>
      </w:r>
      <w:r w:rsidR="00232E8F" w:rsidRPr="00232E8F">
        <w:rPr>
          <w:vertAlign w:val="superscript"/>
        </w:rPr>
        <w:t>th</w:t>
      </w:r>
      <w:r w:rsidR="00232E8F">
        <w:t xml:space="preserve"> percentiles.</w:t>
      </w:r>
    </w:p>
    <w:p w14:paraId="511F6BE2" w14:textId="5C88AB4D" w:rsidR="00232E8F" w:rsidRDefault="004E65C5" w:rsidP="00232E8F">
      <w:pPr>
        <w:pStyle w:val="ListParagraph"/>
        <w:numPr>
          <w:ilvl w:val="2"/>
          <w:numId w:val="46"/>
        </w:numPr>
      </w:pPr>
      <w:r>
        <w:t>Financial leverage: … Latest total debt divided by book value of equity.</w:t>
      </w:r>
      <w:r w:rsidR="00232E8F">
        <w:t xml:space="preserve"> If book value of equity is negative the observation is assigned the lowest financial leverage z-score. Observations are constrained at the 2.5</w:t>
      </w:r>
      <w:r w:rsidR="00232E8F" w:rsidRPr="00232E8F">
        <w:rPr>
          <w:vertAlign w:val="superscript"/>
        </w:rPr>
        <w:t>th</w:t>
      </w:r>
      <w:r w:rsidR="00232E8F">
        <w:t xml:space="preserve"> and 97.5</w:t>
      </w:r>
      <w:r w:rsidR="00232E8F" w:rsidRPr="00232E8F">
        <w:rPr>
          <w:vertAlign w:val="superscript"/>
        </w:rPr>
        <w:t>th</w:t>
      </w:r>
      <w:r w:rsidR="00232E8F">
        <w:t xml:space="preserve"> percentiles/</w:t>
      </w:r>
    </w:p>
    <w:p w14:paraId="0F73E10F" w14:textId="283EC257" w:rsidR="004E65C5" w:rsidRDefault="004E65C5" w:rsidP="004E65C5">
      <w:pPr>
        <w:pStyle w:val="ListParagraph"/>
        <w:numPr>
          <w:ilvl w:val="1"/>
          <w:numId w:val="46"/>
        </w:numPr>
      </w:pPr>
      <w:r>
        <w:t xml:space="preserve">Constituent weighting. Components are weighted by a product of the quality score assigned and the float-adjusted market capitalization. </w:t>
      </w:r>
    </w:p>
    <w:p w14:paraId="0AB25295" w14:textId="0E5258D2" w:rsidR="00232E8F" w:rsidRDefault="00232E8F" w:rsidP="00232E8F">
      <w:pPr>
        <w:pStyle w:val="ListParagraph"/>
        <w:numPr>
          <w:ilvl w:val="0"/>
          <w:numId w:val="46"/>
        </w:numPr>
      </w:pPr>
      <w:r>
        <w:t>In summary, there are five stock characteristics that we know could form part of our quantitative investment strategy.</w:t>
      </w:r>
      <w:r w:rsidR="001A3985">
        <w:t xml:space="preserve"> </w:t>
      </w:r>
      <w:r w:rsidR="001A3985" w:rsidRPr="001A3985">
        <w:rPr>
          <w:b/>
          <w:bCs/>
        </w:rPr>
        <w:t>You will now attempt to come up with other characteristics and your rationale for those characteristics.</w:t>
      </w:r>
    </w:p>
    <w:p w14:paraId="1F4FDA53" w14:textId="72BF31D8" w:rsidR="00232E8F" w:rsidRDefault="00232E8F" w:rsidP="00232E8F">
      <w:pPr>
        <w:pStyle w:val="ListParagraph"/>
        <w:numPr>
          <w:ilvl w:val="1"/>
          <w:numId w:val="46"/>
        </w:numPr>
      </w:pPr>
      <w:r>
        <w:t>Size: Smaller implies higher returns</w:t>
      </w:r>
    </w:p>
    <w:p w14:paraId="722462A6" w14:textId="0BEDB914" w:rsidR="00232E8F" w:rsidRDefault="00232E8F" w:rsidP="00232E8F">
      <w:pPr>
        <w:pStyle w:val="ListParagraph"/>
        <w:numPr>
          <w:ilvl w:val="1"/>
          <w:numId w:val="46"/>
        </w:numPr>
      </w:pPr>
      <w:r>
        <w:t xml:space="preserve">Book-to-market ratio: Larger implies higher </w:t>
      </w:r>
      <w:proofErr w:type="gramStart"/>
      <w:r>
        <w:t>returns</w:t>
      </w:r>
      <w:proofErr w:type="gramEnd"/>
    </w:p>
    <w:p w14:paraId="7D746306" w14:textId="61A23187" w:rsidR="00232E8F" w:rsidRDefault="00232E8F" w:rsidP="00232E8F">
      <w:pPr>
        <w:pStyle w:val="ListParagraph"/>
        <w:numPr>
          <w:ilvl w:val="1"/>
          <w:numId w:val="46"/>
        </w:numPr>
      </w:pPr>
      <w:r>
        <w:t xml:space="preserve">Return on equity: Larger implies higher </w:t>
      </w:r>
      <w:proofErr w:type="gramStart"/>
      <w:r>
        <w:t>returns</w:t>
      </w:r>
      <w:proofErr w:type="gramEnd"/>
    </w:p>
    <w:p w14:paraId="18D16F57" w14:textId="1B5DD15E" w:rsidR="00232E8F" w:rsidRDefault="00232E8F" w:rsidP="00232E8F">
      <w:pPr>
        <w:pStyle w:val="ListParagraph"/>
        <w:numPr>
          <w:ilvl w:val="1"/>
          <w:numId w:val="46"/>
        </w:numPr>
      </w:pPr>
      <w:r>
        <w:t xml:space="preserve">Accruals ratio: Smaller implies higher </w:t>
      </w:r>
      <w:proofErr w:type="gramStart"/>
      <w:r>
        <w:t>returns</w:t>
      </w:r>
      <w:proofErr w:type="gramEnd"/>
    </w:p>
    <w:p w14:paraId="13178973" w14:textId="631A7A4D" w:rsidR="00232E8F" w:rsidRDefault="00232E8F" w:rsidP="00232E8F">
      <w:pPr>
        <w:pStyle w:val="ListParagraph"/>
        <w:numPr>
          <w:ilvl w:val="1"/>
          <w:numId w:val="46"/>
        </w:numPr>
      </w:pPr>
      <w:r>
        <w:t xml:space="preserve">Financial leverage: Smaller implies higher </w:t>
      </w:r>
      <w:proofErr w:type="gramStart"/>
      <w:r>
        <w:t>returns</w:t>
      </w:r>
      <w:proofErr w:type="gramEnd"/>
    </w:p>
    <w:p w14:paraId="09D2D549" w14:textId="46786B5A" w:rsidR="00232E8F" w:rsidRDefault="00232E8F" w:rsidP="00232E8F">
      <w:pPr>
        <w:pStyle w:val="ListParagraph"/>
        <w:numPr>
          <w:ilvl w:val="0"/>
          <w:numId w:val="46"/>
        </w:numPr>
      </w:pPr>
      <w:r>
        <w:t xml:space="preserve">These characteristics may be positively correlated. For example, companies with a higher book-to-market ratio could exhibit lower return on equity (more investment needed to generate profits, lower return on investment), and companies with a higher book-to-market ratio may have higher leverage (utilities have higher leverage than technology companies, and a higher proportion of market value represented by </w:t>
      </w:r>
      <w:r w:rsidR="00FA6AE0">
        <w:t xml:space="preserve">equity on the balance sheet). As we expand the candidates for drivers of portfolio composition, we need a mechanism to </w:t>
      </w:r>
      <w:r w:rsidR="001A3985">
        <w:t>retain the most important characteristics and discard others. So, next we will analyze a suite of characteristics using both OLS and LASSO regression, with the latter including a penalty term for additional explanatory variables, and a response that sets coefficients equal to zero for variables that are considered to redundant, given other variables available for analysis.</w:t>
      </w:r>
      <w:r>
        <w:t xml:space="preserve"> </w:t>
      </w:r>
    </w:p>
    <w:p w14:paraId="16570D99" w14:textId="3BBD9587" w:rsidR="00133926" w:rsidRDefault="00133926" w:rsidP="00133926">
      <w:pPr>
        <w:pStyle w:val="Heading1"/>
      </w:pPr>
      <w:bookmarkStart w:id="15" w:name="_Toc125893679"/>
      <w:r>
        <w:lastRenderedPageBreak/>
        <w:t>References</w:t>
      </w:r>
      <w:bookmarkEnd w:id="15"/>
    </w:p>
    <w:p w14:paraId="731E2911" w14:textId="6B363195" w:rsidR="00133926" w:rsidRPr="00133926" w:rsidRDefault="00194FE3" w:rsidP="00133926">
      <w:r>
        <w:t>Fama, E.F., and K.R. French, 1992. The cross-section of expected stock returns, Journal of Finance, 47, 427-465.</w:t>
      </w:r>
    </w:p>
    <w:p w14:paraId="0CC7434D" w14:textId="77777777" w:rsidR="00DE53D6" w:rsidRPr="00DE53D6" w:rsidRDefault="00DE53D6" w:rsidP="00DE53D6"/>
    <w:p w14:paraId="04D599EF" w14:textId="77777777" w:rsidR="00DE53D6" w:rsidRPr="00DE53D6" w:rsidRDefault="00DE53D6" w:rsidP="00DE53D6"/>
    <w:p w14:paraId="1F90A79A" w14:textId="77777777" w:rsidR="00AB619B" w:rsidRPr="00AB619B" w:rsidRDefault="00AB619B" w:rsidP="00AB619B"/>
    <w:p w14:paraId="347522BF" w14:textId="77777777" w:rsidR="00A905A8" w:rsidRPr="00EA302A" w:rsidRDefault="00A905A8" w:rsidP="00EA302A"/>
    <w:sectPr w:rsidR="00A905A8" w:rsidRPr="00EA302A" w:rsidSect="00DE53D6">
      <w:headerReference w:type="default" r:id="rId12"/>
      <w:pgSz w:w="12240" w:h="15840" w:code="1"/>
      <w:pgMar w:top="1440" w:right="1440" w:bottom="144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27A31" w14:textId="77777777" w:rsidR="00D61656" w:rsidRDefault="00D61656" w:rsidP="00DB23F4">
      <w:pPr>
        <w:spacing w:after="0"/>
      </w:pPr>
      <w:r>
        <w:separator/>
      </w:r>
    </w:p>
  </w:endnote>
  <w:endnote w:type="continuationSeparator" w:id="0">
    <w:p w14:paraId="2F9E9F06" w14:textId="77777777" w:rsidR="00D61656" w:rsidRDefault="00D61656"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19754"/>
      <w:docPartObj>
        <w:docPartGallery w:val="Page Numbers (Bottom of Page)"/>
        <w:docPartUnique/>
      </w:docPartObj>
    </w:sdtPr>
    <w:sdtEndPr>
      <w:rPr>
        <w:noProof/>
      </w:rPr>
    </w:sdtEndPr>
    <w:sdtContent>
      <w:p w14:paraId="215F9F82" w14:textId="77777777" w:rsidR="00765C61" w:rsidRPr="000A6D8C" w:rsidRDefault="00765C61" w:rsidP="000A6D8C">
        <w:pPr>
          <w:pStyle w:val="Footer"/>
          <w:pBdr>
            <w:top w:val="single" w:sz="4" w:space="1" w:color="44546A" w:themeColor="text2"/>
          </w:pBdr>
          <w:jc w:val="center"/>
          <w:rPr>
            <w:sz w:val="12"/>
            <w:szCs w:val="12"/>
          </w:rPr>
        </w:pPr>
      </w:p>
      <w:p w14:paraId="6C770B07" w14:textId="77777777" w:rsidR="00765C61" w:rsidRDefault="00765C61"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695F" w14:textId="74383455" w:rsidR="00765C61" w:rsidRDefault="00765C61">
    <w:pPr>
      <w:pStyle w:val="Footer"/>
    </w:pPr>
    <w:r>
      <w:tab/>
    </w:r>
    <w:r>
      <w:tab/>
    </w:r>
    <w:r w:rsidR="00221AB7">
      <w:t>January 28</w:t>
    </w:r>
    <w:r>
      <w:t>, 202</w:t>
    </w:r>
    <w:r w:rsidR="00221AB7">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C3FDF" w14:textId="77777777" w:rsidR="00D61656" w:rsidRDefault="00D61656" w:rsidP="00DB23F4">
      <w:pPr>
        <w:spacing w:after="0"/>
      </w:pPr>
      <w:r>
        <w:separator/>
      </w:r>
    </w:p>
  </w:footnote>
  <w:footnote w:type="continuationSeparator" w:id="0">
    <w:p w14:paraId="632F6040" w14:textId="77777777" w:rsidR="00D61656" w:rsidRDefault="00D61656" w:rsidP="00DB23F4">
      <w:pPr>
        <w:spacing w:after="0"/>
      </w:pPr>
      <w:r>
        <w:continuationSeparator/>
      </w:r>
    </w:p>
  </w:footnote>
  <w:footnote w:id="1">
    <w:p w14:paraId="0015BFFD" w14:textId="645E46FE" w:rsidR="004E65C5" w:rsidRDefault="004E65C5">
      <w:pPr>
        <w:pStyle w:val="FootnoteText"/>
      </w:pPr>
      <w:r>
        <w:rPr>
          <w:rStyle w:val="FootnoteReference"/>
        </w:rPr>
        <w:footnoteRef/>
      </w:r>
      <w:r>
        <w:t xml:space="preserve"> Factsheet and detailed methodology available at </w:t>
      </w:r>
      <w:hyperlink r:id="rId1" w:anchor="overview" w:history="1">
        <w:r w:rsidRPr="00D341ED">
          <w:rPr>
            <w:rStyle w:val="Hyperlink"/>
          </w:rPr>
          <w:t>https://www.spglobal.com/spdji/en/indices/strategy/sp-midcap-400-quality-index/#overview</w:t>
        </w:r>
      </w:hyperlink>
      <w:r>
        <w:t>, accessed on January 29,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AE53" w14:textId="63CE5037" w:rsidR="00765C61" w:rsidRDefault="00765C61" w:rsidP="007462FD">
    <w:pPr>
      <w:pStyle w:val="Header"/>
      <w:pBdr>
        <w:bottom w:val="single" w:sz="6" w:space="1" w:color="44546A" w:themeColor="text2"/>
      </w:pBdr>
    </w:pPr>
    <w:r>
      <w:rPr>
        <w:noProof/>
      </w:rPr>
      <w:drawing>
        <wp:anchor distT="0" distB="0" distL="114300" distR="114300" simplePos="0" relativeHeight="251658240" behindDoc="1" locked="0" layoutInCell="1" allowOverlap="1" wp14:anchorId="5F3C6A28" wp14:editId="1D99FAF7">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Content>
        <w:r w:rsidR="00F327F7">
          <w:t>Characteristics regression</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63F" w14:textId="7D0E668F" w:rsidR="00765C61" w:rsidRDefault="00765C61" w:rsidP="00D401D6">
    <w:pPr>
      <w:pStyle w:val="Header"/>
      <w:spacing w:after="40"/>
      <w:jc w:val="right"/>
    </w:pPr>
    <w:r>
      <w:rPr>
        <w:noProof/>
      </w:rPr>
      <w:drawing>
        <wp:inline distT="0" distB="0" distL="0" distR="0" wp14:anchorId="2C818140" wp14:editId="0F7BB5D7">
          <wp:extent cx="1760084" cy="410686"/>
          <wp:effectExtent l="0" t="0" r="0" b="889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EFD3D" w14:textId="189A265F" w:rsidR="00294D6F" w:rsidRDefault="00294D6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1015CDFA" wp14:editId="5CD2DB75">
          <wp:simplePos x="0" y="0"/>
          <wp:positionH relativeFrom="column">
            <wp:posOffset>7073834</wp:posOffset>
          </wp:positionH>
          <wp:positionV relativeFrom="paragraph">
            <wp:posOffset>-65884</wp:posOffset>
          </wp:positionV>
          <wp:extent cx="1612265" cy="375920"/>
          <wp:effectExtent l="0" t="0" r="6985" b="5080"/>
          <wp:wrapTight wrapText="bothSides">
            <wp:wrapPolygon edited="0">
              <wp:start x="0" y="0"/>
              <wp:lineTo x="0" y="20797"/>
              <wp:lineTo x="21438" y="20797"/>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947574471"/>
        <w:placeholder>
          <w:docPart w:val="57E896B8C5BF457AB2E69B2414B0A183"/>
        </w:placeholder>
        <w:dataBinding w:prefixMappings="xmlns:ns0='http://purl.org/dc/elements/1.1/' xmlns:ns1='http://schemas.openxmlformats.org/package/2006/metadata/core-properties' " w:xpath="/ns1:coreProperties[1]/ns0:title[1]" w:storeItemID="{6C3C8BC8-F283-45AE-878A-BAB7291924A1}"/>
        <w:text/>
      </w:sdtPr>
      <w:sdtContent>
        <w:r w:rsidR="00F327F7">
          <w:t>Characteristics regression</w:t>
        </w: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5A28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4A40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12A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D07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D484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DCED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827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93681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EA2E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625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64306"/>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56269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C567830"/>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227B8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384323"/>
    <w:multiLevelType w:val="hybridMultilevel"/>
    <w:tmpl w:val="14CC55A6"/>
    <w:lvl w:ilvl="0" w:tplc="9ABED3CE">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AF07E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6525BD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DB36126"/>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F4D6008"/>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41C596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5443D66"/>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9834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0C915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135529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1EB093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6EC0CF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C9E117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0761850"/>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12A0CD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974487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B8B517E"/>
    <w:multiLevelType w:val="hybridMultilevel"/>
    <w:tmpl w:val="C4046D68"/>
    <w:lvl w:ilvl="0" w:tplc="F6C44B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006342">
    <w:abstractNumId w:val="24"/>
  </w:num>
  <w:num w:numId="2" w16cid:durableId="637488754">
    <w:abstractNumId w:val="42"/>
  </w:num>
  <w:num w:numId="3" w16cid:durableId="95952906">
    <w:abstractNumId w:val="11"/>
  </w:num>
  <w:num w:numId="4" w16cid:durableId="1223253856">
    <w:abstractNumId w:val="39"/>
  </w:num>
  <w:num w:numId="5" w16cid:durableId="1476989270">
    <w:abstractNumId w:val="16"/>
  </w:num>
  <w:num w:numId="6" w16cid:durableId="2006276881">
    <w:abstractNumId w:val="34"/>
  </w:num>
  <w:num w:numId="7" w16cid:durableId="2118602652">
    <w:abstractNumId w:val="29"/>
  </w:num>
  <w:num w:numId="8" w16cid:durableId="2008748984">
    <w:abstractNumId w:val="43"/>
  </w:num>
  <w:num w:numId="9" w16cid:durableId="991786712">
    <w:abstractNumId w:val="38"/>
  </w:num>
  <w:num w:numId="10" w16cid:durableId="547688737">
    <w:abstractNumId w:val="28"/>
  </w:num>
  <w:num w:numId="11" w16cid:durableId="1443496884">
    <w:abstractNumId w:val="17"/>
  </w:num>
  <w:num w:numId="12" w16cid:durableId="1244298660">
    <w:abstractNumId w:val="21"/>
  </w:num>
  <w:num w:numId="13" w16cid:durableId="1936668938">
    <w:abstractNumId w:val="18"/>
  </w:num>
  <w:num w:numId="14" w16cid:durableId="1262488779">
    <w:abstractNumId w:val="9"/>
  </w:num>
  <w:num w:numId="15" w16cid:durableId="1561360077">
    <w:abstractNumId w:val="7"/>
  </w:num>
  <w:num w:numId="16" w16cid:durableId="1816872070">
    <w:abstractNumId w:val="6"/>
  </w:num>
  <w:num w:numId="17" w16cid:durableId="1941907285">
    <w:abstractNumId w:val="5"/>
  </w:num>
  <w:num w:numId="18" w16cid:durableId="1761948424">
    <w:abstractNumId w:val="4"/>
  </w:num>
  <w:num w:numId="19" w16cid:durableId="27219491">
    <w:abstractNumId w:val="8"/>
  </w:num>
  <w:num w:numId="20" w16cid:durableId="173881451">
    <w:abstractNumId w:val="3"/>
  </w:num>
  <w:num w:numId="21" w16cid:durableId="949778623">
    <w:abstractNumId w:val="2"/>
  </w:num>
  <w:num w:numId="22" w16cid:durableId="1769696687">
    <w:abstractNumId w:val="1"/>
  </w:num>
  <w:num w:numId="23" w16cid:durableId="204878611">
    <w:abstractNumId w:val="0"/>
  </w:num>
  <w:num w:numId="24" w16cid:durableId="638921146">
    <w:abstractNumId w:val="41"/>
  </w:num>
  <w:num w:numId="25" w16cid:durableId="1589650628">
    <w:abstractNumId w:val="44"/>
  </w:num>
  <w:num w:numId="26" w16cid:durableId="1290548720">
    <w:abstractNumId w:val="22"/>
  </w:num>
  <w:num w:numId="27" w16cid:durableId="1040857598">
    <w:abstractNumId w:val="20"/>
  </w:num>
  <w:num w:numId="28" w16cid:durableId="429007250">
    <w:abstractNumId w:val="13"/>
  </w:num>
  <w:num w:numId="29" w16cid:durableId="1718427594">
    <w:abstractNumId w:val="35"/>
  </w:num>
  <w:num w:numId="30" w16cid:durableId="152986460">
    <w:abstractNumId w:val="40"/>
  </w:num>
  <w:num w:numId="31" w16cid:durableId="1375815781">
    <w:abstractNumId w:val="10"/>
  </w:num>
  <w:num w:numId="32" w16cid:durableId="1109467991">
    <w:abstractNumId w:val="45"/>
  </w:num>
  <w:num w:numId="33" w16cid:durableId="1012608827">
    <w:abstractNumId w:val="15"/>
  </w:num>
  <w:num w:numId="34" w16cid:durableId="2036537947">
    <w:abstractNumId w:val="33"/>
  </w:num>
  <w:num w:numId="35" w16cid:durableId="322129816">
    <w:abstractNumId w:val="30"/>
  </w:num>
  <w:num w:numId="36" w16cid:durableId="17854456">
    <w:abstractNumId w:val="19"/>
  </w:num>
  <w:num w:numId="37" w16cid:durableId="1084451449">
    <w:abstractNumId w:val="27"/>
  </w:num>
  <w:num w:numId="38" w16cid:durableId="706029279">
    <w:abstractNumId w:val="23"/>
  </w:num>
  <w:num w:numId="39" w16cid:durableId="622426834">
    <w:abstractNumId w:val="26"/>
  </w:num>
  <w:num w:numId="40" w16cid:durableId="1732927188">
    <w:abstractNumId w:val="14"/>
  </w:num>
  <w:num w:numId="41" w16cid:durableId="1676414807">
    <w:abstractNumId w:val="12"/>
  </w:num>
  <w:num w:numId="42" w16cid:durableId="240068893">
    <w:abstractNumId w:val="32"/>
  </w:num>
  <w:num w:numId="43" w16cid:durableId="1792822648">
    <w:abstractNumId w:val="25"/>
  </w:num>
  <w:num w:numId="44" w16cid:durableId="1941257253">
    <w:abstractNumId w:val="31"/>
  </w:num>
  <w:num w:numId="45" w16cid:durableId="1212233903">
    <w:abstractNumId w:val="36"/>
  </w:num>
  <w:num w:numId="46" w16cid:durableId="32770991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NeedToUniquify" w:val="false"/>
    <w:docVar w:name="APWAFVersion" w:val="5.0"/>
  </w:docVars>
  <w:rsids>
    <w:rsidRoot w:val="005949A1"/>
    <w:rsid w:val="00013313"/>
    <w:rsid w:val="0002102E"/>
    <w:rsid w:val="00033775"/>
    <w:rsid w:val="00045A72"/>
    <w:rsid w:val="00054189"/>
    <w:rsid w:val="0005561F"/>
    <w:rsid w:val="000573D7"/>
    <w:rsid w:val="00066BA9"/>
    <w:rsid w:val="0007239F"/>
    <w:rsid w:val="000773FF"/>
    <w:rsid w:val="000779CC"/>
    <w:rsid w:val="0008452A"/>
    <w:rsid w:val="000925E6"/>
    <w:rsid w:val="000A04BE"/>
    <w:rsid w:val="000A1F85"/>
    <w:rsid w:val="000A6D8C"/>
    <w:rsid w:val="000B323E"/>
    <w:rsid w:val="000D0E85"/>
    <w:rsid w:val="000D4833"/>
    <w:rsid w:val="000D66F8"/>
    <w:rsid w:val="000D6BAF"/>
    <w:rsid w:val="000F28EC"/>
    <w:rsid w:val="000F40F9"/>
    <w:rsid w:val="000F74B6"/>
    <w:rsid w:val="001056F6"/>
    <w:rsid w:val="001109BF"/>
    <w:rsid w:val="00111CFC"/>
    <w:rsid w:val="00130FD8"/>
    <w:rsid w:val="00133926"/>
    <w:rsid w:val="00137FDE"/>
    <w:rsid w:val="00152A31"/>
    <w:rsid w:val="001736B2"/>
    <w:rsid w:val="00177B73"/>
    <w:rsid w:val="001821C1"/>
    <w:rsid w:val="00182FF2"/>
    <w:rsid w:val="00194FE3"/>
    <w:rsid w:val="0019600E"/>
    <w:rsid w:val="001A2224"/>
    <w:rsid w:val="001A3985"/>
    <w:rsid w:val="001A6809"/>
    <w:rsid w:val="001B4AEC"/>
    <w:rsid w:val="001C0710"/>
    <w:rsid w:val="001C653D"/>
    <w:rsid w:val="001E06AC"/>
    <w:rsid w:val="001F362B"/>
    <w:rsid w:val="001F723F"/>
    <w:rsid w:val="00200A76"/>
    <w:rsid w:val="00202758"/>
    <w:rsid w:val="00211E7C"/>
    <w:rsid w:val="00214412"/>
    <w:rsid w:val="00216FCB"/>
    <w:rsid w:val="00221583"/>
    <w:rsid w:val="00221AB7"/>
    <w:rsid w:val="00232E8F"/>
    <w:rsid w:val="0023682D"/>
    <w:rsid w:val="00244B43"/>
    <w:rsid w:val="00246AFD"/>
    <w:rsid w:val="00247C44"/>
    <w:rsid w:val="00252173"/>
    <w:rsid w:val="00260091"/>
    <w:rsid w:val="00262423"/>
    <w:rsid w:val="00270ECE"/>
    <w:rsid w:val="00283BDC"/>
    <w:rsid w:val="00291A98"/>
    <w:rsid w:val="002947B9"/>
    <w:rsid w:val="00294D6F"/>
    <w:rsid w:val="002C2864"/>
    <w:rsid w:val="002D60AA"/>
    <w:rsid w:val="002E02B5"/>
    <w:rsid w:val="002E2D52"/>
    <w:rsid w:val="002E580C"/>
    <w:rsid w:val="002F24C1"/>
    <w:rsid w:val="002F61C6"/>
    <w:rsid w:val="003073D4"/>
    <w:rsid w:val="003076B1"/>
    <w:rsid w:val="00307EFE"/>
    <w:rsid w:val="00317BEB"/>
    <w:rsid w:val="00321A87"/>
    <w:rsid w:val="0032684A"/>
    <w:rsid w:val="0033549E"/>
    <w:rsid w:val="003376ED"/>
    <w:rsid w:val="003377E2"/>
    <w:rsid w:val="003425B7"/>
    <w:rsid w:val="00347EBB"/>
    <w:rsid w:val="003608AC"/>
    <w:rsid w:val="00362A53"/>
    <w:rsid w:val="00365BAF"/>
    <w:rsid w:val="00372180"/>
    <w:rsid w:val="003748B6"/>
    <w:rsid w:val="00395DF9"/>
    <w:rsid w:val="003A1AD0"/>
    <w:rsid w:val="003A5396"/>
    <w:rsid w:val="003B0FB5"/>
    <w:rsid w:val="003C7B18"/>
    <w:rsid w:val="003D3579"/>
    <w:rsid w:val="003D4620"/>
    <w:rsid w:val="003D63AC"/>
    <w:rsid w:val="003E0113"/>
    <w:rsid w:val="003E2356"/>
    <w:rsid w:val="003E4EEF"/>
    <w:rsid w:val="00415035"/>
    <w:rsid w:val="00424440"/>
    <w:rsid w:val="00426493"/>
    <w:rsid w:val="0045055B"/>
    <w:rsid w:val="00460114"/>
    <w:rsid w:val="00467D75"/>
    <w:rsid w:val="00470EE7"/>
    <w:rsid w:val="004726A1"/>
    <w:rsid w:val="004774A6"/>
    <w:rsid w:val="00485DB3"/>
    <w:rsid w:val="00486199"/>
    <w:rsid w:val="00486AF9"/>
    <w:rsid w:val="00486C6B"/>
    <w:rsid w:val="004878B2"/>
    <w:rsid w:val="00495A91"/>
    <w:rsid w:val="004A4484"/>
    <w:rsid w:val="004A47C6"/>
    <w:rsid w:val="004B03BF"/>
    <w:rsid w:val="004C2BA8"/>
    <w:rsid w:val="004D3A56"/>
    <w:rsid w:val="004E65C5"/>
    <w:rsid w:val="004F36C0"/>
    <w:rsid w:val="00502CEA"/>
    <w:rsid w:val="00507C4F"/>
    <w:rsid w:val="00524652"/>
    <w:rsid w:val="005256E3"/>
    <w:rsid w:val="00532AB9"/>
    <w:rsid w:val="005573A1"/>
    <w:rsid w:val="005618D5"/>
    <w:rsid w:val="0056237A"/>
    <w:rsid w:val="00564246"/>
    <w:rsid w:val="00570637"/>
    <w:rsid w:val="005713AE"/>
    <w:rsid w:val="005716DA"/>
    <w:rsid w:val="00571E92"/>
    <w:rsid w:val="005901D3"/>
    <w:rsid w:val="00594125"/>
    <w:rsid w:val="005949A1"/>
    <w:rsid w:val="005C0669"/>
    <w:rsid w:val="005D2F68"/>
    <w:rsid w:val="005E08CC"/>
    <w:rsid w:val="005E5B1A"/>
    <w:rsid w:val="005F039C"/>
    <w:rsid w:val="00604C82"/>
    <w:rsid w:val="00633F4A"/>
    <w:rsid w:val="00636EF0"/>
    <w:rsid w:val="00644038"/>
    <w:rsid w:val="00644132"/>
    <w:rsid w:val="00650911"/>
    <w:rsid w:val="006628E2"/>
    <w:rsid w:val="00667B11"/>
    <w:rsid w:val="00670C55"/>
    <w:rsid w:val="00673A64"/>
    <w:rsid w:val="00674E9E"/>
    <w:rsid w:val="006751C6"/>
    <w:rsid w:val="0069667F"/>
    <w:rsid w:val="006A4530"/>
    <w:rsid w:val="006B165F"/>
    <w:rsid w:val="006B3D2A"/>
    <w:rsid w:val="006B3D48"/>
    <w:rsid w:val="006B5739"/>
    <w:rsid w:val="006D13AD"/>
    <w:rsid w:val="006D3518"/>
    <w:rsid w:val="006D5FC9"/>
    <w:rsid w:val="006D6108"/>
    <w:rsid w:val="006F326B"/>
    <w:rsid w:val="006F33F6"/>
    <w:rsid w:val="006F7B84"/>
    <w:rsid w:val="007154F6"/>
    <w:rsid w:val="007233AC"/>
    <w:rsid w:val="00723E28"/>
    <w:rsid w:val="00727A8C"/>
    <w:rsid w:val="007462FD"/>
    <w:rsid w:val="00746671"/>
    <w:rsid w:val="0075382C"/>
    <w:rsid w:val="00765C61"/>
    <w:rsid w:val="00766BCE"/>
    <w:rsid w:val="0077309D"/>
    <w:rsid w:val="00773869"/>
    <w:rsid w:val="00775F27"/>
    <w:rsid w:val="00785148"/>
    <w:rsid w:val="00787B33"/>
    <w:rsid w:val="00795F63"/>
    <w:rsid w:val="007A6658"/>
    <w:rsid w:val="007B71AA"/>
    <w:rsid w:val="007C12D4"/>
    <w:rsid w:val="007C4002"/>
    <w:rsid w:val="007D508D"/>
    <w:rsid w:val="007D6801"/>
    <w:rsid w:val="007E2CDB"/>
    <w:rsid w:val="007F4F9B"/>
    <w:rsid w:val="007F7643"/>
    <w:rsid w:val="008116B3"/>
    <w:rsid w:val="00814C36"/>
    <w:rsid w:val="00822F19"/>
    <w:rsid w:val="008320CA"/>
    <w:rsid w:val="00844651"/>
    <w:rsid w:val="00847D07"/>
    <w:rsid w:val="00872987"/>
    <w:rsid w:val="008745FA"/>
    <w:rsid w:val="0088425E"/>
    <w:rsid w:val="00884F38"/>
    <w:rsid w:val="00886C68"/>
    <w:rsid w:val="00887DB9"/>
    <w:rsid w:val="008903B5"/>
    <w:rsid w:val="008A4BF5"/>
    <w:rsid w:val="008C43C3"/>
    <w:rsid w:val="008D1A30"/>
    <w:rsid w:val="008D5C97"/>
    <w:rsid w:val="008D78CA"/>
    <w:rsid w:val="008E4CDF"/>
    <w:rsid w:val="008F784B"/>
    <w:rsid w:val="009044A0"/>
    <w:rsid w:val="00907D9D"/>
    <w:rsid w:val="009319A0"/>
    <w:rsid w:val="00937BE4"/>
    <w:rsid w:val="00946976"/>
    <w:rsid w:val="00964C0D"/>
    <w:rsid w:val="00972724"/>
    <w:rsid w:val="0099145E"/>
    <w:rsid w:val="00995BD3"/>
    <w:rsid w:val="009A0AF7"/>
    <w:rsid w:val="009C2433"/>
    <w:rsid w:val="009C3942"/>
    <w:rsid w:val="009C3C5E"/>
    <w:rsid w:val="009D1890"/>
    <w:rsid w:val="009D5E46"/>
    <w:rsid w:val="009D7F81"/>
    <w:rsid w:val="00A0561F"/>
    <w:rsid w:val="00A121DA"/>
    <w:rsid w:val="00A25530"/>
    <w:rsid w:val="00A30EF8"/>
    <w:rsid w:val="00A318D9"/>
    <w:rsid w:val="00A43EEA"/>
    <w:rsid w:val="00A50692"/>
    <w:rsid w:val="00A5700C"/>
    <w:rsid w:val="00A729BF"/>
    <w:rsid w:val="00A90064"/>
    <w:rsid w:val="00A905A8"/>
    <w:rsid w:val="00A91A9F"/>
    <w:rsid w:val="00A97B1A"/>
    <w:rsid w:val="00AA4CC2"/>
    <w:rsid w:val="00AB619B"/>
    <w:rsid w:val="00AB72B5"/>
    <w:rsid w:val="00AC0CEA"/>
    <w:rsid w:val="00AC24FF"/>
    <w:rsid w:val="00AD1DF4"/>
    <w:rsid w:val="00AD794B"/>
    <w:rsid w:val="00AE18D3"/>
    <w:rsid w:val="00AE5916"/>
    <w:rsid w:val="00AF5BE5"/>
    <w:rsid w:val="00AF751F"/>
    <w:rsid w:val="00B21072"/>
    <w:rsid w:val="00B274B9"/>
    <w:rsid w:val="00B27F7B"/>
    <w:rsid w:val="00B376B3"/>
    <w:rsid w:val="00B4718F"/>
    <w:rsid w:val="00B74EF4"/>
    <w:rsid w:val="00B9333F"/>
    <w:rsid w:val="00B97E3B"/>
    <w:rsid w:val="00BA4DA0"/>
    <w:rsid w:val="00BB5305"/>
    <w:rsid w:val="00BD09F0"/>
    <w:rsid w:val="00BD0B22"/>
    <w:rsid w:val="00BD3AB7"/>
    <w:rsid w:val="00BD4274"/>
    <w:rsid w:val="00BD4C11"/>
    <w:rsid w:val="00BE3697"/>
    <w:rsid w:val="00BF371D"/>
    <w:rsid w:val="00BF3FA8"/>
    <w:rsid w:val="00BF4CDB"/>
    <w:rsid w:val="00BF6923"/>
    <w:rsid w:val="00C02936"/>
    <w:rsid w:val="00C14B03"/>
    <w:rsid w:val="00C302FF"/>
    <w:rsid w:val="00C33400"/>
    <w:rsid w:val="00C36507"/>
    <w:rsid w:val="00C462F9"/>
    <w:rsid w:val="00C5686A"/>
    <w:rsid w:val="00C67456"/>
    <w:rsid w:val="00C7168D"/>
    <w:rsid w:val="00C729DA"/>
    <w:rsid w:val="00C8228D"/>
    <w:rsid w:val="00C90199"/>
    <w:rsid w:val="00CA076F"/>
    <w:rsid w:val="00CA6366"/>
    <w:rsid w:val="00CB2ABA"/>
    <w:rsid w:val="00CB4C0F"/>
    <w:rsid w:val="00CD5365"/>
    <w:rsid w:val="00CD5B21"/>
    <w:rsid w:val="00CE0BB5"/>
    <w:rsid w:val="00CE7848"/>
    <w:rsid w:val="00CF795D"/>
    <w:rsid w:val="00D00778"/>
    <w:rsid w:val="00D01EFB"/>
    <w:rsid w:val="00D1630C"/>
    <w:rsid w:val="00D332F4"/>
    <w:rsid w:val="00D33EDD"/>
    <w:rsid w:val="00D35E6F"/>
    <w:rsid w:val="00D36D83"/>
    <w:rsid w:val="00D401D6"/>
    <w:rsid w:val="00D40217"/>
    <w:rsid w:val="00D53B58"/>
    <w:rsid w:val="00D53EB8"/>
    <w:rsid w:val="00D61656"/>
    <w:rsid w:val="00D81CC4"/>
    <w:rsid w:val="00D953DB"/>
    <w:rsid w:val="00DA146A"/>
    <w:rsid w:val="00DB17FF"/>
    <w:rsid w:val="00DB23F4"/>
    <w:rsid w:val="00DB7C48"/>
    <w:rsid w:val="00DC2006"/>
    <w:rsid w:val="00DC3271"/>
    <w:rsid w:val="00DC3C64"/>
    <w:rsid w:val="00DD0295"/>
    <w:rsid w:val="00DD41F2"/>
    <w:rsid w:val="00DD4315"/>
    <w:rsid w:val="00DD5386"/>
    <w:rsid w:val="00DD72A2"/>
    <w:rsid w:val="00DE53D6"/>
    <w:rsid w:val="00E01E95"/>
    <w:rsid w:val="00E058E0"/>
    <w:rsid w:val="00E06C09"/>
    <w:rsid w:val="00E102A8"/>
    <w:rsid w:val="00E228A1"/>
    <w:rsid w:val="00E2786B"/>
    <w:rsid w:val="00E342DF"/>
    <w:rsid w:val="00E5025A"/>
    <w:rsid w:val="00E55F35"/>
    <w:rsid w:val="00E67BE5"/>
    <w:rsid w:val="00E7140B"/>
    <w:rsid w:val="00E719E4"/>
    <w:rsid w:val="00E742C9"/>
    <w:rsid w:val="00E746C1"/>
    <w:rsid w:val="00E940F2"/>
    <w:rsid w:val="00EA0C43"/>
    <w:rsid w:val="00EA302A"/>
    <w:rsid w:val="00EA6866"/>
    <w:rsid w:val="00EB6F3A"/>
    <w:rsid w:val="00EC1A45"/>
    <w:rsid w:val="00EC4FE0"/>
    <w:rsid w:val="00EC566D"/>
    <w:rsid w:val="00EC743D"/>
    <w:rsid w:val="00ED7E8A"/>
    <w:rsid w:val="00EF55C8"/>
    <w:rsid w:val="00F05A06"/>
    <w:rsid w:val="00F10A9A"/>
    <w:rsid w:val="00F22AB8"/>
    <w:rsid w:val="00F23216"/>
    <w:rsid w:val="00F2540C"/>
    <w:rsid w:val="00F2615F"/>
    <w:rsid w:val="00F327F7"/>
    <w:rsid w:val="00F34279"/>
    <w:rsid w:val="00F3624A"/>
    <w:rsid w:val="00F65552"/>
    <w:rsid w:val="00F72D6D"/>
    <w:rsid w:val="00F77566"/>
    <w:rsid w:val="00F94E46"/>
    <w:rsid w:val="00FA1B11"/>
    <w:rsid w:val="00FA1F7B"/>
    <w:rsid w:val="00FA653C"/>
    <w:rsid w:val="00FA6AE0"/>
    <w:rsid w:val="00FB18D8"/>
    <w:rsid w:val="00FE19A1"/>
    <w:rsid w:val="00FE6D73"/>
    <w:rsid w:val="00FF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ADC3"/>
  <w15:chartTrackingRefBased/>
  <w15:docId w15:val="{13C80350-4932-4277-8DC6-054DD113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9A1"/>
    <w:pPr>
      <w:spacing w:after="120" w:line="264" w:lineRule="auto"/>
    </w:pPr>
    <w:rPr>
      <w:rFonts w:ascii="News Gothic MT" w:hAnsi="News Gothic MT"/>
    </w:rPr>
  </w:style>
  <w:style w:type="paragraph" w:styleId="Heading1">
    <w:name w:val="heading 1"/>
    <w:basedOn w:val="Normal"/>
    <w:next w:val="Normal"/>
    <w:link w:val="Heading1Char"/>
    <w:uiPriority w:val="9"/>
    <w:qFormat/>
    <w:rsid w:val="00D401D6"/>
    <w:pPr>
      <w:keepNext/>
      <w:keepLines/>
      <w:spacing w:before="320" w:after="8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D401D6"/>
    <w:pPr>
      <w:keepNext/>
      <w:keepLines/>
      <w:spacing w:before="160" w:after="4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6B165F"/>
    <w:pPr>
      <w:keepNext/>
      <w:keepLines/>
      <w:spacing w:before="160" w:after="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D401D6"/>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D401D6"/>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6B165F"/>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6B165F"/>
    <w:pPr>
      <w:pBdr>
        <w:top w:val="single" w:sz="6" w:space="8" w:color="A5A5A5" w:themeColor="accent3"/>
        <w:bottom w:val="single" w:sz="6" w:space="8" w:color="A5A5A5" w:themeColor="accent3"/>
      </w:pBdr>
      <w:spacing w:after="400"/>
      <w:contextualSpacing/>
      <w:jc w:val="center"/>
    </w:pPr>
    <w:rPr>
      <w:rFonts w:eastAsiaTheme="majorEastAsia" w:cstheme="majorBidi"/>
      <w:caps/>
      <w:color w:val="44546A" w:themeColor="text2"/>
      <w:spacing w:val="30"/>
      <w:sz w:val="72"/>
      <w:szCs w:val="72"/>
    </w:rPr>
  </w:style>
  <w:style w:type="character" w:customStyle="1" w:styleId="TitleChar">
    <w:name w:val="Title Char"/>
    <w:basedOn w:val="DefaultParagraphFont"/>
    <w:link w:val="Title"/>
    <w:uiPriority w:val="10"/>
    <w:rsid w:val="006B165F"/>
    <w:rPr>
      <w:rFonts w:ascii="News Gothic MT" w:eastAsiaTheme="majorEastAsia" w:hAnsi="News Gothic MT" w:cstheme="majorBidi"/>
      <w:caps/>
      <w:color w:val="44546A" w:themeColor="text2"/>
      <w:spacing w:val="30"/>
      <w:sz w:val="72"/>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ind w:left="720"/>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23F4"/>
    <w:pPr>
      <w:tabs>
        <w:tab w:val="center" w:pos="4680"/>
        <w:tab w:val="right" w:pos="9360"/>
      </w:tabs>
      <w:spacing w:after="0"/>
    </w:pPr>
  </w:style>
  <w:style w:type="character" w:customStyle="1" w:styleId="HeaderChar">
    <w:name w:val="Header Char"/>
    <w:basedOn w:val="DefaultParagraphFont"/>
    <w:link w:val="Header"/>
    <w:uiPriority w:val="99"/>
    <w:rsid w:val="00DB23F4"/>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221AB7"/>
    <w:pPr>
      <w:spacing w:before="120" w:after="0"/>
    </w:pPr>
    <w:rPr>
      <w:bCs/>
      <w:caps/>
      <w:sz w:val="24"/>
      <w:szCs w:val="24"/>
    </w:rPr>
  </w:style>
  <w:style w:type="paragraph" w:styleId="TOC2">
    <w:name w:val="toc 2"/>
    <w:basedOn w:val="Normal"/>
    <w:next w:val="Normal"/>
    <w:autoRedefine/>
    <w:uiPriority w:val="39"/>
    <w:unhideWhenUsed/>
    <w:rsid w:val="008D5C97"/>
    <w:pPr>
      <w:spacing w:before="80" w:after="0"/>
    </w:pPr>
    <w:rPr>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8D5C97"/>
    <w:pPr>
      <w:spacing w:before="40" w:after="0"/>
      <w:ind w:left="216"/>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 w:type="table" w:styleId="GridTable4-Accent1">
    <w:name w:val="Grid Table 4 Accent 1"/>
    <w:basedOn w:val="TableNormal"/>
    <w:uiPriority w:val="49"/>
    <w:rsid w:val="00C02936"/>
    <w:pPr>
      <w:spacing w:after="0" w:line="240" w:lineRule="auto"/>
    </w:pPr>
    <w:tblPr>
      <w:tblStyleRowBandSize w:val="1"/>
      <w:tblStyleColBandSize w:val="1"/>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insideV w:val="single" w:sz="4" w:space="0" w:color="007FF9" w:themeColor="accent1" w:themeTint="99"/>
      </w:tblBorders>
    </w:tblPr>
    <w:tblStylePr w:type="firstRow">
      <w:rPr>
        <w:b/>
        <w:bCs/>
        <w:color w:val="FFFFFF" w:themeColor="background1"/>
      </w:rPr>
      <w:tblPr/>
      <w:tcPr>
        <w:tcBorders>
          <w:top w:val="single" w:sz="4" w:space="0" w:color="00274C" w:themeColor="accent1"/>
          <w:left w:val="single" w:sz="4" w:space="0" w:color="00274C" w:themeColor="accent1"/>
          <w:bottom w:val="single" w:sz="4" w:space="0" w:color="00274C" w:themeColor="accent1"/>
          <w:right w:val="single" w:sz="4" w:space="0" w:color="00274C" w:themeColor="accent1"/>
          <w:insideH w:val="nil"/>
          <w:insideV w:val="nil"/>
        </w:tcBorders>
        <w:shd w:val="clear" w:color="auto" w:fill="00274C" w:themeFill="accent1"/>
      </w:tcPr>
    </w:tblStylePr>
    <w:tblStylePr w:type="lastRow">
      <w:rPr>
        <w:b/>
        <w:bCs/>
      </w:rPr>
      <w:tblPr/>
      <w:tcPr>
        <w:tcBorders>
          <w:top w:val="double" w:sz="4" w:space="0" w:color="00274C" w:themeColor="accent1"/>
        </w:tcBorders>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3394">
      <w:bodyDiv w:val="1"/>
      <w:marLeft w:val="0"/>
      <w:marRight w:val="0"/>
      <w:marTop w:val="0"/>
      <w:marBottom w:val="0"/>
      <w:divBdr>
        <w:top w:val="none" w:sz="0" w:space="0" w:color="auto"/>
        <w:left w:val="none" w:sz="0" w:space="0" w:color="auto"/>
        <w:bottom w:val="none" w:sz="0" w:space="0" w:color="auto"/>
        <w:right w:val="none" w:sz="0" w:space="0" w:color="auto"/>
      </w:divBdr>
    </w:div>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412356483">
      <w:bodyDiv w:val="1"/>
      <w:marLeft w:val="0"/>
      <w:marRight w:val="0"/>
      <w:marTop w:val="0"/>
      <w:marBottom w:val="0"/>
      <w:divBdr>
        <w:top w:val="none" w:sz="0" w:space="0" w:color="auto"/>
        <w:left w:val="none" w:sz="0" w:space="0" w:color="auto"/>
        <w:bottom w:val="none" w:sz="0" w:space="0" w:color="auto"/>
        <w:right w:val="none" w:sz="0" w:space="0" w:color="auto"/>
      </w:divBdr>
    </w:div>
    <w:div w:id="819344379">
      <w:bodyDiv w:val="1"/>
      <w:marLeft w:val="0"/>
      <w:marRight w:val="0"/>
      <w:marTop w:val="0"/>
      <w:marBottom w:val="0"/>
      <w:divBdr>
        <w:top w:val="none" w:sz="0" w:space="0" w:color="auto"/>
        <w:left w:val="none" w:sz="0" w:space="0" w:color="auto"/>
        <w:bottom w:val="none" w:sz="0" w:space="0" w:color="auto"/>
        <w:right w:val="none" w:sz="0" w:space="0" w:color="auto"/>
      </w:divBdr>
    </w:div>
    <w:div w:id="829171606">
      <w:bodyDiv w:val="1"/>
      <w:marLeft w:val="0"/>
      <w:marRight w:val="0"/>
      <w:marTop w:val="0"/>
      <w:marBottom w:val="0"/>
      <w:divBdr>
        <w:top w:val="none" w:sz="0" w:space="0" w:color="auto"/>
        <w:left w:val="none" w:sz="0" w:space="0" w:color="auto"/>
        <w:bottom w:val="none" w:sz="0" w:space="0" w:color="auto"/>
        <w:right w:val="none" w:sz="0" w:space="0" w:color="auto"/>
      </w:divBdr>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98822">
      <w:bodyDiv w:val="1"/>
      <w:marLeft w:val="0"/>
      <w:marRight w:val="0"/>
      <w:marTop w:val="0"/>
      <w:marBottom w:val="0"/>
      <w:divBdr>
        <w:top w:val="none" w:sz="0" w:space="0" w:color="auto"/>
        <w:left w:val="none" w:sz="0" w:space="0" w:color="auto"/>
        <w:bottom w:val="none" w:sz="0" w:space="0" w:color="auto"/>
        <w:right w:val="none" w:sz="0" w:space="0" w:color="auto"/>
      </w:divBdr>
    </w:div>
    <w:div w:id="1394812511">
      <w:bodyDiv w:val="1"/>
      <w:marLeft w:val="0"/>
      <w:marRight w:val="0"/>
      <w:marTop w:val="0"/>
      <w:marBottom w:val="0"/>
      <w:divBdr>
        <w:top w:val="none" w:sz="0" w:space="0" w:color="auto"/>
        <w:left w:val="none" w:sz="0" w:space="0" w:color="auto"/>
        <w:bottom w:val="none" w:sz="0" w:space="0" w:color="auto"/>
        <w:right w:val="none" w:sz="0" w:space="0" w:color="auto"/>
      </w:divBdr>
    </w:div>
    <w:div w:id="1501845640">
      <w:bodyDiv w:val="1"/>
      <w:marLeft w:val="0"/>
      <w:marRight w:val="0"/>
      <w:marTop w:val="0"/>
      <w:marBottom w:val="0"/>
      <w:divBdr>
        <w:top w:val="none" w:sz="0" w:space="0" w:color="auto"/>
        <w:left w:val="none" w:sz="0" w:space="0" w:color="auto"/>
        <w:bottom w:val="none" w:sz="0" w:space="0" w:color="auto"/>
        <w:right w:val="none" w:sz="0" w:space="0" w:color="auto"/>
      </w:divBdr>
    </w:div>
    <w:div w:id="161520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spglobal.com/spdji/en/indices/strategy/sp-midcap-400-quality-inde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57E896B8C5BF457AB2E69B2414B0A183"/>
        <w:category>
          <w:name w:val="General"/>
          <w:gallery w:val="placeholder"/>
        </w:category>
        <w:types>
          <w:type w:val="bbPlcHdr"/>
        </w:types>
        <w:behaviors>
          <w:behavior w:val="content"/>
        </w:behaviors>
        <w:guid w:val="{F9FF6131-4F72-4ED7-8723-160484A575F7}"/>
      </w:docPartPr>
      <w:docPartBody>
        <w:p w:rsidR="00B44C7E" w:rsidRDefault="00A641B8" w:rsidP="00A641B8">
          <w:pPr>
            <w:pStyle w:val="57E896B8C5BF457AB2E69B2414B0A18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021166"/>
    <w:rsid w:val="000B77D0"/>
    <w:rsid w:val="000F1560"/>
    <w:rsid w:val="00100315"/>
    <w:rsid w:val="00114A84"/>
    <w:rsid w:val="00147496"/>
    <w:rsid w:val="00151FCD"/>
    <w:rsid w:val="00222E35"/>
    <w:rsid w:val="00287A3C"/>
    <w:rsid w:val="00365661"/>
    <w:rsid w:val="003C1438"/>
    <w:rsid w:val="00425C6C"/>
    <w:rsid w:val="00461EBF"/>
    <w:rsid w:val="004B0375"/>
    <w:rsid w:val="004B43DB"/>
    <w:rsid w:val="004D3672"/>
    <w:rsid w:val="005337B4"/>
    <w:rsid w:val="00596F69"/>
    <w:rsid w:val="005D5480"/>
    <w:rsid w:val="005D5877"/>
    <w:rsid w:val="005E70B2"/>
    <w:rsid w:val="007B479C"/>
    <w:rsid w:val="00801E8F"/>
    <w:rsid w:val="008021D2"/>
    <w:rsid w:val="00844D17"/>
    <w:rsid w:val="00894341"/>
    <w:rsid w:val="008C5AAD"/>
    <w:rsid w:val="009715BC"/>
    <w:rsid w:val="00A41DF9"/>
    <w:rsid w:val="00A425EB"/>
    <w:rsid w:val="00A641B8"/>
    <w:rsid w:val="00AD1770"/>
    <w:rsid w:val="00B0574A"/>
    <w:rsid w:val="00B44C7E"/>
    <w:rsid w:val="00B83AB3"/>
    <w:rsid w:val="00BC0F7D"/>
    <w:rsid w:val="00C02A98"/>
    <w:rsid w:val="00D03DBA"/>
    <w:rsid w:val="00D17E58"/>
    <w:rsid w:val="00DB2529"/>
    <w:rsid w:val="00DB5210"/>
    <w:rsid w:val="00E12B4C"/>
    <w:rsid w:val="00E62FBD"/>
    <w:rsid w:val="00E95C5A"/>
    <w:rsid w:val="00EA6D68"/>
    <w:rsid w:val="00F65A5E"/>
    <w:rsid w:val="00F75728"/>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1B8"/>
    <w:rPr>
      <w:color w:val="808080"/>
    </w:rPr>
  </w:style>
  <w:style w:type="paragraph" w:customStyle="1" w:styleId="57E896B8C5BF457AB2E69B2414B0A183">
    <w:name w:val="57E896B8C5BF457AB2E69B2414B0A183"/>
    <w:rsid w:val="00A64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CF47-2B25-48DA-B72C-5FD1E3CD7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3316</Words>
  <Characters>17779</Characters>
  <Application>Microsoft Office Word</Application>
  <DocSecurity>0</DocSecurity>
  <Lines>555</Lines>
  <Paragraphs>363</Paragraphs>
  <ScaleCrop>false</ScaleCrop>
  <HeadingPairs>
    <vt:vector size="2" baseType="variant">
      <vt:variant>
        <vt:lpstr>Title</vt:lpstr>
      </vt:variant>
      <vt:variant>
        <vt:i4>1</vt:i4>
      </vt:variant>
    </vt:vector>
  </HeadingPairs>
  <TitlesOfParts>
    <vt:vector size="1" baseType="lpstr">
      <vt:lpstr>Characteristics regression</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Characteristics regression</dc:title>
  <dc:subject/>
  <dc:creator>Jason Hall</dc:creator>
  <cp:keywords/>
  <dc:description/>
  <cp:lastModifiedBy>Hall, Jason</cp:lastModifiedBy>
  <cp:revision>3</cp:revision>
  <dcterms:created xsi:type="dcterms:W3CDTF">2023-01-29T22:20:00Z</dcterms:created>
  <dcterms:modified xsi:type="dcterms:W3CDTF">2023-01-29T23:37:00Z</dcterms:modified>
</cp:coreProperties>
</file>