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auto"/>
        </w:rPr>
        <w:alias w:val="Title"/>
        <w:tag w:val=""/>
        <w:id w:val="1406182634"/>
        <w:placeholder>
          <w:docPart w:val="2987E3534C794FE1819BADA8A36A9AEE"/>
        </w:placeholder>
        <w:dataBinding w:prefixMappings="xmlns:ns0='http://purl.org/dc/elements/1.1/' xmlns:ns1='http://schemas.openxmlformats.org/package/2006/metadata/core-properties' " w:xpath="/ns1:coreProperties[1]/ns0:title[1]" w:storeItemID="{6C3C8BC8-F283-45AE-878A-BAB7291924A1}"/>
        <w:text/>
      </w:sdtPr>
      <w:sdtContent>
        <w:p w14:paraId="6E22BD91" w14:textId="2B318F99" w:rsidR="008C43C3" w:rsidRPr="00660820" w:rsidRDefault="00B80126" w:rsidP="008C43C3">
          <w:pPr>
            <w:pStyle w:val="Title"/>
            <w:rPr>
              <w:color w:val="auto"/>
            </w:rPr>
          </w:pPr>
          <w:r w:rsidRPr="00B80126">
            <w:rPr>
              <w:color w:val="auto"/>
            </w:rPr>
            <w:t>The Best Time of Day to Trade –</w:t>
          </w:r>
          <w:r>
            <w:rPr>
              <w:color w:val="auto"/>
            </w:rPr>
            <w:t xml:space="preserve"> An Analysis of Intraday Spread</w:t>
          </w:r>
        </w:p>
      </w:sdtContent>
    </w:sdt>
    <w:p w14:paraId="731F8B80" w14:textId="6DC84210" w:rsidR="00E648F3" w:rsidRDefault="00E648F3" w:rsidP="00415035">
      <w:r>
        <w:t>In this paper, I conduct an analysis of intraday spreads and prove the conventional wisdom that the best time of day to trade is near market open and close, is only partially true</w:t>
      </w:r>
      <w:r w:rsidR="00F07193">
        <w:t xml:space="preserve">: </w:t>
      </w:r>
      <w:r w:rsidR="00862F61">
        <w:t xml:space="preserve">spread decreases throughout the day, and </w:t>
      </w:r>
      <w:r w:rsidR="00F07193">
        <w:t>the best time to trade is right before market clos</w:t>
      </w:r>
      <w:r w:rsidR="00862F61">
        <w:t>e</w:t>
      </w:r>
      <w:r w:rsidR="00F07193">
        <w:t>.</w:t>
      </w:r>
      <w:r>
        <w:t xml:space="preserve"> </w:t>
      </w:r>
      <w:r w:rsidR="00F07193">
        <w:t xml:space="preserve">In doing so, traders can save </w:t>
      </w:r>
      <w:r w:rsidR="00862F61">
        <w:t xml:space="preserve">around </w:t>
      </w:r>
      <w:r w:rsidR="00F07193">
        <w:t>$1 for every $10,000 traded</w:t>
      </w:r>
      <w:r w:rsidR="00862F61">
        <w:t xml:space="preserve"> if transacting near market close rather than market open</w:t>
      </w:r>
      <w:r w:rsidR="00F07193">
        <w:t xml:space="preserve">. </w:t>
      </w:r>
      <w:r>
        <w:t xml:space="preserve">I also show the widely held belief that spreads are large during times of high volatility to be true. </w:t>
      </w:r>
    </w:p>
    <w:p w14:paraId="24795BE7" w14:textId="4405A415" w:rsidR="00DF2F3D" w:rsidRDefault="00F07193" w:rsidP="00415035">
      <w:r>
        <w:t xml:space="preserve">The premise holds that market open and close are times of high liquidity, and would therefore have smaller spreads, implying they are the ideal times to trade if the goal is to lose as little as possible to the spread ‘premium’. </w:t>
      </w:r>
    </w:p>
    <w:p w14:paraId="5F0B23CD" w14:textId="0F499751" w:rsidR="00F07193" w:rsidRPr="00660820" w:rsidRDefault="00F07193" w:rsidP="00415035">
      <w:r w:rsidRPr="00F07193">
        <w:t>This study was performed on second-timestamped quotes for a popular ETF, IVE (the iShares S&amp;P 500 Value ETF), from September 2009 to November 2022.</w:t>
      </w:r>
      <w:r>
        <w:t xml:space="preserve"> I performed </w:t>
      </w:r>
      <w:r w:rsidR="00862F61">
        <w:t xml:space="preserve">grouping on the data at various intervals and calculated correlations, significance, and created a rudimentary predictive model for spread based on trading volumes. </w:t>
      </w:r>
    </w:p>
    <w:p w14:paraId="2693BC7A" w14:textId="77777777" w:rsidR="00A83157" w:rsidRPr="00660820" w:rsidRDefault="00A83157" w:rsidP="00415035"/>
    <w:p w14:paraId="6D424ACC" w14:textId="77777777" w:rsidR="00B77B79" w:rsidRPr="00660820" w:rsidRDefault="00BD7190" w:rsidP="00415035">
      <w:r w:rsidRPr="00660820">
        <w:t>Jake Li</w:t>
      </w:r>
      <w:r w:rsidR="00415035" w:rsidRPr="00660820">
        <w:br/>
      </w:r>
      <w:r w:rsidRPr="00660820">
        <w:t>lijake@umich.edu</w:t>
      </w:r>
      <w:r w:rsidR="00415035" w:rsidRPr="00660820">
        <w:br/>
      </w:r>
      <w:r w:rsidRPr="00660820">
        <w:t>2484803953</w:t>
      </w:r>
      <w:r w:rsidR="00A83157" w:rsidRPr="00660820">
        <w:br/>
      </w:r>
      <w:r w:rsidRPr="00660820">
        <w:t>11/30/2022</w:t>
      </w:r>
    </w:p>
    <w:p w14:paraId="61D98C49" w14:textId="77777777" w:rsidR="00B77B79" w:rsidRPr="00660820" w:rsidRDefault="00B77B79" w:rsidP="00415035"/>
    <w:p w14:paraId="404E7F73" w14:textId="5F3DA947" w:rsidR="00415035" w:rsidRPr="00660820" w:rsidRDefault="00415035" w:rsidP="00415035">
      <w:r w:rsidRPr="00660820">
        <w:br/>
      </w:r>
      <w:r w:rsidRPr="00660820">
        <w:br w:type="page"/>
      </w:r>
    </w:p>
    <w:bookmarkStart w:id="0" w:name="_Toc4169848" w:displacedByCustomXml="next"/>
    <w:sdt>
      <w:sdtPr>
        <w:rPr>
          <w:rFonts w:asciiTheme="minorHAnsi" w:eastAsiaTheme="minorEastAsia" w:hAnsiTheme="minorHAnsi" w:cstheme="minorBidi"/>
          <w:color w:val="auto"/>
          <w:sz w:val="21"/>
          <w:szCs w:val="21"/>
        </w:rPr>
        <w:id w:val="-1989165954"/>
        <w:docPartObj>
          <w:docPartGallery w:val="Table of Contents"/>
          <w:docPartUnique/>
        </w:docPartObj>
      </w:sdtPr>
      <w:sdtEndPr>
        <w:rPr>
          <w:rFonts w:ascii="News Gothic MT" w:hAnsi="News Gothic MT"/>
          <w:b/>
          <w:bCs/>
          <w:noProof/>
        </w:rPr>
      </w:sdtEndPr>
      <w:sdtContent>
        <w:p w14:paraId="6AC76E8E" w14:textId="5136F73E" w:rsidR="006D6108" w:rsidRPr="00660820" w:rsidRDefault="006D6108">
          <w:pPr>
            <w:pStyle w:val="TOCHeading"/>
            <w:rPr>
              <w:color w:val="auto"/>
            </w:rPr>
          </w:pPr>
          <w:r w:rsidRPr="00660820">
            <w:rPr>
              <w:color w:val="auto"/>
            </w:rPr>
            <w:t>Contents</w:t>
          </w:r>
        </w:p>
        <w:p w14:paraId="1C15E4E6" w14:textId="4572A564" w:rsidR="00660820" w:rsidRDefault="006801A0">
          <w:pPr>
            <w:pStyle w:val="TOC1"/>
            <w:tabs>
              <w:tab w:val="right" w:leader="dot" w:pos="9350"/>
            </w:tabs>
            <w:rPr>
              <w:rFonts w:asciiTheme="minorHAnsi" w:hAnsiTheme="minorHAnsi"/>
              <w:b w:val="0"/>
              <w:bCs w:val="0"/>
              <w:caps w:val="0"/>
              <w:noProof/>
              <w:sz w:val="22"/>
              <w:szCs w:val="22"/>
            </w:rPr>
          </w:pPr>
          <w:r w:rsidRPr="00660820">
            <w:fldChar w:fldCharType="begin"/>
          </w:r>
          <w:r w:rsidRPr="00660820">
            <w:instrText xml:space="preserve"> TOC \o "1-3" \h \z \u </w:instrText>
          </w:r>
          <w:r w:rsidRPr="00660820">
            <w:fldChar w:fldCharType="separate"/>
          </w:r>
          <w:hyperlink w:anchor="_Toc121259080" w:history="1">
            <w:r w:rsidR="00660820" w:rsidRPr="00472714">
              <w:rPr>
                <w:rStyle w:val="Hyperlink"/>
                <w:noProof/>
              </w:rPr>
              <w:t>Introduction</w:t>
            </w:r>
            <w:r w:rsidR="00660820">
              <w:rPr>
                <w:noProof/>
                <w:webHidden/>
              </w:rPr>
              <w:tab/>
            </w:r>
            <w:r w:rsidR="00660820">
              <w:rPr>
                <w:noProof/>
                <w:webHidden/>
              </w:rPr>
              <w:fldChar w:fldCharType="begin"/>
            </w:r>
            <w:r w:rsidR="00660820">
              <w:rPr>
                <w:noProof/>
                <w:webHidden/>
              </w:rPr>
              <w:instrText xml:space="preserve"> PAGEREF _Toc121259080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0EFB0CF8" w14:textId="12791D2B" w:rsidR="00660820" w:rsidRDefault="00000000">
          <w:pPr>
            <w:pStyle w:val="TOC2"/>
            <w:tabs>
              <w:tab w:val="right" w:leader="dot" w:pos="9350"/>
            </w:tabs>
            <w:rPr>
              <w:rFonts w:asciiTheme="minorHAnsi" w:hAnsiTheme="minorHAnsi"/>
              <w:b w:val="0"/>
              <w:bCs w:val="0"/>
              <w:noProof/>
              <w:sz w:val="22"/>
              <w:szCs w:val="22"/>
            </w:rPr>
          </w:pPr>
          <w:hyperlink w:anchor="_Toc121259081" w:history="1">
            <w:r w:rsidR="00660820" w:rsidRPr="00472714">
              <w:rPr>
                <w:rStyle w:val="Hyperlink"/>
                <w:noProof/>
              </w:rPr>
              <w:t>Conventional Wisdom</w:t>
            </w:r>
            <w:r w:rsidR="00660820">
              <w:rPr>
                <w:noProof/>
                <w:webHidden/>
              </w:rPr>
              <w:tab/>
            </w:r>
            <w:r w:rsidR="00660820">
              <w:rPr>
                <w:noProof/>
                <w:webHidden/>
              </w:rPr>
              <w:fldChar w:fldCharType="begin"/>
            </w:r>
            <w:r w:rsidR="00660820">
              <w:rPr>
                <w:noProof/>
                <w:webHidden/>
              </w:rPr>
              <w:instrText xml:space="preserve"> PAGEREF _Toc121259081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502D4F86" w14:textId="578800CE" w:rsidR="00660820" w:rsidRDefault="00000000">
          <w:pPr>
            <w:pStyle w:val="TOC2"/>
            <w:tabs>
              <w:tab w:val="right" w:leader="dot" w:pos="9350"/>
            </w:tabs>
            <w:rPr>
              <w:rFonts w:asciiTheme="minorHAnsi" w:hAnsiTheme="minorHAnsi"/>
              <w:b w:val="0"/>
              <w:bCs w:val="0"/>
              <w:noProof/>
              <w:sz w:val="22"/>
              <w:szCs w:val="22"/>
            </w:rPr>
          </w:pPr>
          <w:hyperlink w:anchor="_Toc121259082" w:history="1">
            <w:r w:rsidR="00660820" w:rsidRPr="00472714">
              <w:rPr>
                <w:rStyle w:val="Hyperlink"/>
                <w:noProof/>
              </w:rPr>
              <w:t>Relevance</w:t>
            </w:r>
            <w:r w:rsidR="00660820">
              <w:rPr>
                <w:noProof/>
                <w:webHidden/>
              </w:rPr>
              <w:tab/>
            </w:r>
            <w:r w:rsidR="00660820">
              <w:rPr>
                <w:noProof/>
                <w:webHidden/>
              </w:rPr>
              <w:fldChar w:fldCharType="begin"/>
            </w:r>
            <w:r w:rsidR="00660820">
              <w:rPr>
                <w:noProof/>
                <w:webHidden/>
              </w:rPr>
              <w:instrText xml:space="preserve"> PAGEREF _Toc121259082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7550A1D1" w14:textId="1965936B" w:rsidR="00660820" w:rsidRDefault="00000000">
          <w:pPr>
            <w:pStyle w:val="TOC2"/>
            <w:tabs>
              <w:tab w:val="right" w:leader="dot" w:pos="9350"/>
            </w:tabs>
            <w:rPr>
              <w:rFonts w:asciiTheme="minorHAnsi" w:hAnsiTheme="minorHAnsi"/>
              <w:b w:val="0"/>
              <w:bCs w:val="0"/>
              <w:noProof/>
              <w:sz w:val="22"/>
              <w:szCs w:val="22"/>
            </w:rPr>
          </w:pPr>
          <w:hyperlink w:anchor="_Toc121259083" w:history="1">
            <w:r w:rsidR="00660820" w:rsidRPr="00472714">
              <w:rPr>
                <w:rStyle w:val="Hyperlink"/>
                <w:noProof/>
              </w:rPr>
              <w:t>Conclusion</w:t>
            </w:r>
            <w:r w:rsidR="00660820">
              <w:rPr>
                <w:noProof/>
                <w:webHidden/>
              </w:rPr>
              <w:tab/>
            </w:r>
            <w:r w:rsidR="00660820">
              <w:rPr>
                <w:noProof/>
                <w:webHidden/>
              </w:rPr>
              <w:fldChar w:fldCharType="begin"/>
            </w:r>
            <w:r w:rsidR="00660820">
              <w:rPr>
                <w:noProof/>
                <w:webHidden/>
              </w:rPr>
              <w:instrText xml:space="preserve"> PAGEREF _Toc121259083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315CBC79" w14:textId="561583D8" w:rsidR="00660820" w:rsidRDefault="00000000">
          <w:pPr>
            <w:pStyle w:val="TOC1"/>
            <w:tabs>
              <w:tab w:val="right" w:leader="dot" w:pos="9350"/>
            </w:tabs>
            <w:rPr>
              <w:rFonts w:asciiTheme="minorHAnsi" w:hAnsiTheme="minorHAnsi"/>
              <w:b w:val="0"/>
              <w:bCs w:val="0"/>
              <w:caps w:val="0"/>
              <w:noProof/>
              <w:sz w:val="22"/>
              <w:szCs w:val="22"/>
            </w:rPr>
          </w:pPr>
          <w:hyperlink w:anchor="_Toc121259084" w:history="1">
            <w:r w:rsidR="00660820" w:rsidRPr="00472714">
              <w:rPr>
                <w:rStyle w:val="Hyperlink"/>
                <w:noProof/>
              </w:rPr>
              <w:t>Method and data</w:t>
            </w:r>
            <w:r w:rsidR="00660820">
              <w:rPr>
                <w:noProof/>
                <w:webHidden/>
              </w:rPr>
              <w:tab/>
            </w:r>
            <w:r w:rsidR="00660820">
              <w:rPr>
                <w:noProof/>
                <w:webHidden/>
              </w:rPr>
              <w:fldChar w:fldCharType="begin"/>
            </w:r>
            <w:r w:rsidR="00660820">
              <w:rPr>
                <w:noProof/>
                <w:webHidden/>
              </w:rPr>
              <w:instrText xml:space="preserve"> PAGEREF _Toc121259084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4DB73703" w14:textId="68E93EEB" w:rsidR="00660820" w:rsidRDefault="00000000">
          <w:pPr>
            <w:pStyle w:val="TOC2"/>
            <w:tabs>
              <w:tab w:val="right" w:leader="dot" w:pos="9350"/>
            </w:tabs>
            <w:rPr>
              <w:rFonts w:asciiTheme="minorHAnsi" w:hAnsiTheme="minorHAnsi"/>
              <w:b w:val="0"/>
              <w:bCs w:val="0"/>
              <w:noProof/>
              <w:sz w:val="22"/>
              <w:szCs w:val="22"/>
            </w:rPr>
          </w:pPr>
          <w:hyperlink w:anchor="_Toc121259085" w:history="1">
            <w:r w:rsidR="00660820" w:rsidRPr="00472714">
              <w:rPr>
                <w:rStyle w:val="Hyperlink"/>
                <w:noProof/>
              </w:rPr>
              <w:t>Data Procurement</w:t>
            </w:r>
            <w:r w:rsidR="00660820">
              <w:rPr>
                <w:noProof/>
                <w:webHidden/>
              </w:rPr>
              <w:tab/>
            </w:r>
            <w:r w:rsidR="00660820">
              <w:rPr>
                <w:noProof/>
                <w:webHidden/>
              </w:rPr>
              <w:fldChar w:fldCharType="begin"/>
            </w:r>
            <w:r w:rsidR="00660820">
              <w:rPr>
                <w:noProof/>
                <w:webHidden/>
              </w:rPr>
              <w:instrText xml:space="preserve"> PAGEREF _Toc121259085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08C64BC1" w14:textId="7403ECC0" w:rsidR="00660820" w:rsidRDefault="00000000">
          <w:pPr>
            <w:pStyle w:val="TOC2"/>
            <w:tabs>
              <w:tab w:val="right" w:leader="dot" w:pos="9350"/>
            </w:tabs>
            <w:rPr>
              <w:rFonts w:asciiTheme="minorHAnsi" w:hAnsiTheme="minorHAnsi"/>
              <w:b w:val="0"/>
              <w:bCs w:val="0"/>
              <w:noProof/>
              <w:sz w:val="22"/>
              <w:szCs w:val="22"/>
            </w:rPr>
          </w:pPr>
          <w:hyperlink w:anchor="_Toc121259086" w:history="1">
            <w:r w:rsidR="00660820" w:rsidRPr="00472714">
              <w:rPr>
                <w:rStyle w:val="Hyperlink"/>
                <w:noProof/>
              </w:rPr>
              <w:t>Methodology</w:t>
            </w:r>
            <w:r w:rsidR="00660820">
              <w:rPr>
                <w:noProof/>
                <w:webHidden/>
              </w:rPr>
              <w:tab/>
            </w:r>
            <w:r w:rsidR="00660820">
              <w:rPr>
                <w:noProof/>
                <w:webHidden/>
              </w:rPr>
              <w:fldChar w:fldCharType="begin"/>
            </w:r>
            <w:r w:rsidR="00660820">
              <w:rPr>
                <w:noProof/>
                <w:webHidden/>
              </w:rPr>
              <w:instrText xml:space="preserve"> PAGEREF _Toc121259086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3A54E08A" w14:textId="39B064A2" w:rsidR="00660820" w:rsidRDefault="00000000">
          <w:pPr>
            <w:pStyle w:val="TOC3"/>
            <w:tabs>
              <w:tab w:val="right" w:leader="dot" w:pos="9350"/>
            </w:tabs>
            <w:rPr>
              <w:rFonts w:asciiTheme="minorHAnsi" w:hAnsiTheme="minorHAnsi"/>
              <w:noProof/>
              <w:sz w:val="22"/>
              <w:szCs w:val="22"/>
            </w:rPr>
          </w:pPr>
          <w:hyperlink w:anchor="_Toc121259087" w:history="1">
            <w:r w:rsidR="00660820" w:rsidRPr="00472714">
              <w:rPr>
                <w:rStyle w:val="Hyperlink"/>
                <w:noProof/>
              </w:rPr>
              <w:t>Cleaning Data</w:t>
            </w:r>
            <w:r w:rsidR="00660820">
              <w:rPr>
                <w:noProof/>
                <w:webHidden/>
              </w:rPr>
              <w:tab/>
            </w:r>
            <w:r w:rsidR="00660820">
              <w:rPr>
                <w:noProof/>
                <w:webHidden/>
              </w:rPr>
              <w:fldChar w:fldCharType="begin"/>
            </w:r>
            <w:r w:rsidR="00660820">
              <w:rPr>
                <w:noProof/>
                <w:webHidden/>
              </w:rPr>
              <w:instrText xml:space="preserve"> PAGEREF _Toc121259087 \h </w:instrText>
            </w:r>
            <w:r w:rsidR="00660820">
              <w:rPr>
                <w:noProof/>
                <w:webHidden/>
              </w:rPr>
            </w:r>
            <w:r w:rsidR="00660820">
              <w:rPr>
                <w:noProof/>
                <w:webHidden/>
              </w:rPr>
              <w:fldChar w:fldCharType="separate"/>
            </w:r>
            <w:r w:rsidR="0075294B">
              <w:rPr>
                <w:noProof/>
                <w:webHidden/>
              </w:rPr>
              <w:t>1</w:t>
            </w:r>
            <w:r w:rsidR="00660820">
              <w:rPr>
                <w:noProof/>
                <w:webHidden/>
              </w:rPr>
              <w:fldChar w:fldCharType="end"/>
            </w:r>
          </w:hyperlink>
        </w:p>
        <w:p w14:paraId="6536D52A" w14:textId="1C5494DD" w:rsidR="00660820" w:rsidRDefault="00000000">
          <w:pPr>
            <w:pStyle w:val="TOC3"/>
            <w:tabs>
              <w:tab w:val="right" w:leader="dot" w:pos="9350"/>
            </w:tabs>
            <w:rPr>
              <w:rFonts w:asciiTheme="minorHAnsi" w:hAnsiTheme="minorHAnsi"/>
              <w:noProof/>
              <w:sz w:val="22"/>
              <w:szCs w:val="22"/>
            </w:rPr>
          </w:pPr>
          <w:hyperlink w:anchor="_Toc121259088" w:history="1">
            <w:r w:rsidR="00660820" w:rsidRPr="00472714">
              <w:rPr>
                <w:rStyle w:val="Hyperlink"/>
                <w:noProof/>
              </w:rPr>
              <w:t>Calculations</w:t>
            </w:r>
            <w:r w:rsidR="00660820">
              <w:rPr>
                <w:noProof/>
                <w:webHidden/>
              </w:rPr>
              <w:tab/>
            </w:r>
            <w:r w:rsidR="00660820">
              <w:rPr>
                <w:noProof/>
                <w:webHidden/>
              </w:rPr>
              <w:fldChar w:fldCharType="begin"/>
            </w:r>
            <w:r w:rsidR="00660820">
              <w:rPr>
                <w:noProof/>
                <w:webHidden/>
              </w:rPr>
              <w:instrText xml:space="preserve"> PAGEREF _Toc121259088 \h </w:instrText>
            </w:r>
            <w:r w:rsidR="00660820">
              <w:rPr>
                <w:noProof/>
                <w:webHidden/>
              </w:rPr>
            </w:r>
            <w:r w:rsidR="00660820">
              <w:rPr>
                <w:noProof/>
                <w:webHidden/>
              </w:rPr>
              <w:fldChar w:fldCharType="separate"/>
            </w:r>
            <w:r w:rsidR="0075294B">
              <w:rPr>
                <w:noProof/>
                <w:webHidden/>
              </w:rPr>
              <w:t>2</w:t>
            </w:r>
            <w:r w:rsidR="00660820">
              <w:rPr>
                <w:noProof/>
                <w:webHidden/>
              </w:rPr>
              <w:fldChar w:fldCharType="end"/>
            </w:r>
          </w:hyperlink>
        </w:p>
        <w:p w14:paraId="039C8D98" w14:textId="63F70635" w:rsidR="00660820" w:rsidRDefault="00000000">
          <w:pPr>
            <w:pStyle w:val="TOC1"/>
            <w:tabs>
              <w:tab w:val="right" w:leader="dot" w:pos="9350"/>
            </w:tabs>
            <w:rPr>
              <w:rFonts w:asciiTheme="minorHAnsi" w:hAnsiTheme="minorHAnsi"/>
              <w:b w:val="0"/>
              <w:bCs w:val="0"/>
              <w:caps w:val="0"/>
              <w:noProof/>
              <w:sz w:val="22"/>
              <w:szCs w:val="22"/>
            </w:rPr>
          </w:pPr>
          <w:hyperlink w:anchor="_Toc121259089" w:history="1">
            <w:r w:rsidR="00660820" w:rsidRPr="00472714">
              <w:rPr>
                <w:rStyle w:val="Hyperlink"/>
                <w:noProof/>
              </w:rPr>
              <w:t>Results</w:t>
            </w:r>
            <w:r w:rsidR="00660820">
              <w:rPr>
                <w:noProof/>
                <w:webHidden/>
              </w:rPr>
              <w:tab/>
            </w:r>
            <w:r w:rsidR="00660820">
              <w:rPr>
                <w:noProof/>
                <w:webHidden/>
              </w:rPr>
              <w:fldChar w:fldCharType="begin"/>
            </w:r>
            <w:r w:rsidR="00660820">
              <w:rPr>
                <w:noProof/>
                <w:webHidden/>
              </w:rPr>
              <w:instrText xml:space="preserve"> PAGEREF _Toc121259089 \h </w:instrText>
            </w:r>
            <w:r w:rsidR="00660820">
              <w:rPr>
                <w:noProof/>
                <w:webHidden/>
              </w:rPr>
            </w:r>
            <w:r w:rsidR="00660820">
              <w:rPr>
                <w:noProof/>
                <w:webHidden/>
              </w:rPr>
              <w:fldChar w:fldCharType="separate"/>
            </w:r>
            <w:r w:rsidR="0075294B">
              <w:rPr>
                <w:noProof/>
                <w:webHidden/>
              </w:rPr>
              <w:t>2</w:t>
            </w:r>
            <w:r w:rsidR="00660820">
              <w:rPr>
                <w:noProof/>
                <w:webHidden/>
              </w:rPr>
              <w:fldChar w:fldCharType="end"/>
            </w:r>
          </w:hyperlink>
        </w:p>
        <w:p w14:paraId="27F0B1D3" w14:textId="61803897" w:rsidR="00660820" w:rsidRDefault="00000000">
          <w:pPr>
            <w:pStyle w:val="TOC2"/>
            <w:tabs>
              <w:tab w:val="right" w:leader="dot" w:pos="9350"/>
            </w:tabs>
            <w:rPr>
              <w:rFonts w:asciiTheme="minorHAnsi" w:hAnsiTheme="minorHAnsi"/>
              <w:b w:val="0"/>
              <w:bCs w:val="0"/>
              <w:noProof/>
              <w:sz w:val="22"/>
              <w:szCs w:val="22"/>
            </w:rPr>
          </w:pPr>
          <w:hyperlink w:anchor="_Toc121259090" w:history="1">
            <w:r w:rsidR="00660820" w:rsidRPr="00472714">
              <w:rPr>
                <w:rStyle w:val="Hyperlink"/>
                <w:noProof/>
              </w:rPr>
              <w:t>Objective and Hypothesis</w:t>
            </w:r>
            <w:r w:rsidR="00660820">
              <w:rPr>
                <w:noProof/>
                <w:webHidden/>
              </w:rPr>
              <w:tab/>
            </w:r>
            <w:r w:rsidR="00660820">
              <w:rPr>
                <w:noProof/>
                <w:webHidden/>
              </w:rPr>
              <w:fldChar w:fldCharType="begin"/>
            </w:r>
            <w:r w:rsidR="00660820">
              <w:rPr>
                <w:noProof/>
                <w:webHidden/>
              </w:rPr>
              <w:instrText xml:space="preserve"> PAGEREF _Toc121259090 \h </w:instrText>
            </w:r>
            <w:r w:rsidR="00660820">
              <w:rPr>
                <w:noProof/>
                <w:webHidden/>
              </w:rPr>
            </w:r>
            <w:r w:rsidR="00660820">
              <w:rPr>
                <w:noProof/>
                <w:webHidden/>
              </w:rPr>
              <w:fldChar w:fldCharType="separate"/>
            </w:r>
            <w:r w:rsidR="0075294B">
              <w:rPr>
                <w:noProof/>
                <w:webHidden/>
              </w:rPr>
              <w:t>2</w:t>
            </w:r>
            <w:r w:rsidR="00660820">
              <w:rPr>
                <w:noProof/>
                <w:webHidden/>
              </w:rPr>
              <w:fldChar w:fldCharType="end"/>
            </w:r>
          </w:hyperlink>
        </w:p>
        <w:p w14:paraId="57E2A891" w14:textId="3E8BD5E6" w:rsidR="00660820" w:rsidRDefault="00000000">
          <w:pPr>
            <w:pStyle w:val="TOC2"/>
            <w:tabs>
              <w:tab w:val="right" w:leader="dot" w:pos="9350"/>
            </w:tabs>
            <w:rPr>
              <w:rFonts w:asciiTheme="minorHAnsi" w:hAnsiTheme="minorHAnsi"/>
              <w:b w:val="0"/>
              <w:bCs w:val="0"/>
              <w:noProof/>
              <w:sz w:val="22"/>
              <w:szCs w:val="22"/>
            </w:rPr>
          </w:pPr>
          <w:hyperlink w:anchor="_Toc121259091" w:history="1">
            <w:r w:rsidR="00660820" w:rsidRPr="00472714">
              <w:rPr>
                <w:rStyle w:val="Hyperlink"/>
                <w:noProof/>
              </w:rPr>
              <w:t>Insights</w:t>
            </w:r>
            <w:r w:rsidR="00660820">
              <w:rPr>
                <w:noProof/>
                <w:webHidden/>
              </w:rPr>
              <w:tab/>
            </w:r>
            <w:r w:rsidR="00660820">
              <w:rPr>
                <w:noProof/>
                <w:webHidden/>
              </w:rPr>
              <w:fldChar w:fldCharType="begin"/>
            </w:r>
            <w:r w:rsidR="00660820">
              <w:rPr>
                <w:noProof/>
                <w:webHidden/>
              </w:rPr>
              <w:instrText xml:space="preserve"> PAGEREF _Toc121259091 \h </w:instrText>
            </w:r>
            <w:r w:rsidR="00660820">
              <w:rPr>
                <w:noProof/>
                <w:webHidden/>
              </w:rPr>
            </w:r>
            <w:r w:rsidR="00660820">
              <w:rPr>
                <w:noProof/>
                <w:webHidden/>
              </w:rPr>
              <w:fldChar w:fldCharType="separate"/>
            </w:r>
            <w:r w:rsidR="0075294B">
              <w:rPr>
                <w:noProof/>
                <w:webHidden/>
              </w:rPr>
              <w:t>3</w:t>
            </w:r>
            <w:r w:rsidR="00660820">
              <w:rPr>
                <w:noProof/>
                <w:webHidden/>
              </w:rPr>
              <w:fldChar w:fldCharType="end"/>
            </w:r>
          </w:hyperlink>
        </w:p>
        <w:p w14:paraId="2D69B65E" w14:textId="44E79828" w:rsidR="00660820" w:rsidRDefault="00000000">
          <w:pPr>
            <w:pStyle w:val="TOC3"/>
            <w:tabs>
              <w:tab w:val="right" w:leader="dot" w:pos="9350"/>
            </w:tabs>
            <w:rPr>
              <w:rFonts w:asciiTheme="minorHAnsi" w:hAnsiTheme="minorHAnsi"/>
              <w:noProof/>
              <w:sz w:val="22"/>
              <w:szCs w:val="22"/>
            </w:rPr>
          </w:pPr>
          <w:hyperlink w:anchor="_Toc121259092" w:history="1">
            <w:r w:rsidR="00660820" w:rsidRPr="00472714">
              <w:rPr>
                <w:rStyle w:val="Hyperlink"/>
                <w:noProof/>
              </w:rPr>
              <w:t>Spread and Volume</w:t>
            </w:r>
            <w:r w:rsidR="00660820">
              <w:rPr>
                <w:noProof/>
                <w:webHidden/>
              </w:rPr>
              <w:tab/>
            </w:r>
            <w:r w:rsidR="00660820">
              <w:rPr>
                <w:noProof/>
                <w:webHidden/>
              </w:rPr>
              <w:fldChar w:fldCharType="begin"/>
            </w:r>
            <w:r w:rsidR="00660820">
              <w:rPr>
                <w:noProof/>
                <w:webHidden/>
              </w:rPr>
              <w:instrText xml:space="preserve"> PAGEREF _Toc121259092 \h </w:instrText>
            </w:r>
            <w:r w:rsidR="00660820">
              <w:rPr>
                <w:noProof/>
                <w:webHidden/>
              </w:rPr>
            </w:r>
            <w:r w:rsidR="00660820">
              <w:rPr>
                <w:noProof/>
                <w:webHidden/>
              </w:rPr>
              <w:fldChar w:fldCharType="separate"/>
            </w:r>
            <w:r w:rsidR="0075294B">
              <w:rPr>
                <w:noProof/>
                <w:webHidden/>
              </w:rPr>
              <w:t>3</w:t>
            </w:r>
            <w:r w:rsidR="00660820">
              <w:rPr>
                <w:noProof/>
                <w:webHidden/>
              </w:rPr>
              <w:fldChar w:fldCharType="end"/>
            </w:r>
          </w:hyperlink>
        </w:p>
        <w:p w14:paraId="4B85F902" w14:textId="391AA94E" w:rsidR="00660820" w:rsidRDefault="00000000">
          <w:pPr>
            <w:pStyle w:val="TOC3"/>
            <w:tabs>
              <w:tab w:val="right" w:leader="dot" w:pos="9350"/>
            </w:tabs>
            <w:rPr>
              <w:rFonts w:asciiTheme="minorHAnsi" w:hAnsiTheme="minorHAnsi"/>
              <w:noProof/>
              <w:sz w:val="22"/>
              <w:szCs w:val="22"/>
            </w:rPr>
          </w:pPr>
          <w:hyperlink w:anchor="_Toc121259093" w:history="1">
            <w:r w:rsidR="00660820" w:rsidRPr="00472714">
              <w:rPr>
                <w:rStyle w:val="Hyperlink"/>
                <w:noProof/>
              </w:rPr>
              <w:t>Spread and Volatility</w:t>
            </w:r>
            <w:r w:rsidR="00660820">
              <w:rPr>
                <w:noProof/>
                <w:webHidden/>
              </w:rPr>
              <w:tab/>
            </w:r>
            <w:r w:rsidR="00660820">
              <w:rPr>
                <w:noProof/>
                <w:webHidden/>
              </w:rPr>
              <w:fldChar w:fldCharType="begin"/>
            </w:r>
            <w:r w:rsidR="00660820">
              <w:rPr>
                <w:noProof/>
                <w:webHidden/>
              </w:rPr>
              <w:instrText xml:space="preserve"> PAGEREF _Toc121259093 \h </w:instrText>
            </w:r>
            <w:r w:rsidR="00660820">
              <w:rPr>
                <w:noProof/>
                <w:webHidden/>
              </w:rPr>
            </w:r>
            <w:r w:rsidR="00660820">
              <w:rPr>
                <w:noProof/>
                <w:webHidden/>
              </w:rPr>
              <w:fldChar w:fldCharType="separate"/>
            </w:r>
            <w:r w:rsidR="0075294B">
              <w:rPr>
                <w:noProof/>
                <w:webHidden/>
              </w:rPr>
              <w:t>4</w:t>
            </w:r>
            <w:r w:rsidR="00660820">
              <w:rPr>
                <w:noProof/>
                <w:webHidden/>
              </w:rPr>
              <w:fldChar w:fldCharType="end"/>
            </w:r>
          </w:hyperlink>
        </w:p>
        <w:p w14:paraId="6DAE98CA" w14:textId="347AD405" w:rsidR="00660820" w:rsidRDefault="00000000">
          <w:pPr>
            <w:pStyle w:val="TOC2"/>
            <w:tabs>
              <w:tab w:val="right" w:leader="dot" w:pos="9350"/>
            </w:tabs>
            <w:rPr>
              <w:rFonts w:asciiTheme="minorHAnsi" w:hAnsiTheme="minorHAnsi"/>
              <w:b w:val="0"/>
              <w:bCs w:val="0"/>
              <w:noProof/>
              <w:sz w:val="22"/>
              <w:szCs w:val="22"/>
            </w:rPr>
          </w:pPr>
          <w:hyperlink w:anchor="_Toc121259094" w:history="1">
            <w:r w:rsidR="00660820" w:rsidRPr="00472714">
              <w:rPr>
                <w:rStyle w:val="Hyperlink"/>
                <w:noProof/>
              </w:rPr>
              <w:t>Statistical Significance</w:t>
            </w:r>
            <w:r w:rsidR="00660820">
              <w:rPr>
                <w:noProof/>
                <w:webHidden/>
              </w:rPr>
              <w:tab/>
            </w:r>
            <w:r w:rsidR="00660820">
              <w:rPr>
                <w:noProof/>
                <w:webHidden/>
              </w:rPr>
              <w:fldChar w:fldCharType="begin"/>
            </w:r>
            <w:r w:rsidR="00660820">
              <w:rPr>
                <w:noProof/>
                <w:webHidden/>
              </w:rPr>
              <w:instrText xml:space="preserve"> PAGEREF _Toc121259094 \h </w:instrText>
            </w:r>
            <w:r w:rsidR="00660820">
              <w:rPr>
                <w:noProof/>
                <w:webHidden/>
              </w:rPr>
            </w:r>
            <w:r w:rsidR="00660820">
              <w:rPr>
                <w:noProof/>
                <w:webHidden/>
              </w:rPr>
              <w:fldChar w:fldCharType="separate"/>
            </w:r>
            <w:r w:rsidR="0075294B">
              <w:rPr>
                <w:noProof/>
                <w:webHidden/>
              </w:rPr>
              <w:t>5</w:t>
            </w:r>
            <w:r w:rsidR="00660820">
              <w:rPr>
                <w:noProof/>
                <w:webHidden/>
              </w:rPr>
              <w:fldChar w:fldCharType="end"/>
            </w:r>
          </w:hyperlink>
        </w:p>
        <w:p w14:paraId="5E288022" w14:textId="00096701" w:rsidR="00660820" w:rsidRDefault="00000000">
          <w:pPr>
            <w:pStyle w:val="TOC2"/>
            <w:tabs>
              <w:tab w:val="right" w:leader="dot" w:pos="9350"/>
            </w:tabs>
            <w:rPr>
              <w:rFonts w:asciiTheme="minorHAnsi" w:hAnsiTheme="minorHAnsi"/>
              <w:b w:val="0"/>
              <w:bCs w:val="0"/>
              <w:noProof/>
              <w:sz w:val="22"/>
              <w:szCs w:val="22"/>
            </w:rPr>
          </w:pPr>
          <w:hyperlink w:anchor="_Toc121259095" w:history="1">
            <w:r w:rsidR="00660820" w:rsidRPr="00472714">
              <w:rPr>
                <w:rStyle w:val="Hyperlink"/>
                <w:noProof/>
              </w:rPr>
              <w:t>Application</w:t>
            </w:r>
            <w:r w:rsidR="00660820">
              <w:rPr>
                <w:noProof/>
                <w:webHidden/>
              </w:rPr>
              <w:tab/>
            </w:r>
            <w:r w:rsidR="00660820">
              <w:rPr>
                <w:noProof/>
                <w:webHidden/>
              </w:rPr>
              <w:fldChar w:fldCharType="begin"/>
            </w:r>
            <w:r w:rsidR="00660820">
              <w:rPr>
                <w:noProof/>
                <w:webHidden/>
              </w:rPr>
              <w:instrText xml:space="preserve"> PAGEREF _Toc121259095 \h </w:instrText>
            </w:r>
            <w:r w:rsidR="00660820">
              <w:rPr>
                <w:noProof/>
                <w:webHidden/>
              </w:rPr>
            </w:r>
            <w:r w:rsidR="00660820">
              <w:rPr>
                <w:noProof/>
                <w:webHidden/>
              </w:rPr>
              <w:fldChar w:fldCharType="separate"/>
            </w:r>
            <w:r w:rsidR="0075294B">
              <w:rPr>
                <w:noProof/>
                <w:webHidden/>
              </w:rPr>
              <w:t>5</w:t>
            </w:r>
            <w:r w:rsidR="00660820">
              <w:rPr>
                <w:noProof/>
                <w:webHidden/>
              </w:rPr>
              <w:fldChar w:fldCharType="end"/>
            </w:r>
          </w:hyperlink>
        </w:p>
        <w:p w14:paraId="52C870D7" w14:textId="2863BED1" w:rsidR="00660820" w:rsidRDefault="00000000">
          <w:pPr>
            <w:pStyle w:val="TOC1"/>
            <w:tabs>
              <w:tab w:val="right" w:leader="dot" w:pos="9350"/>
            </w:tabs>
            <w:rPr>
              <w:rFonts w:asciiTheme="minorHAnsi" w:hAnsiTheme="minorHAnsi"/>
              <w:b w:val="0"/>
              <w:bCs w:val="0"/>
              <w:caps w:val="0"/>
              <w:noProof/>
              <w:sz w:val="22"/>
              <w:szCs w:val="22"/>
            </w:rPr>
          </w:pPr>
          <w:hyperlink w:anchor="_Toc121259096" w:history="1">
            <w:r w:rsidR="00660820" w:rsidRPr="00472714">
              <w:rPr>
                <w:rStyle w:val="Hyperlink"/>
                <w:noProof/>
              </w:rPr>
              <w:t>Conclusion</w:t>
            </w:r>
            <w:r w:rsidR="00660820">
              <w:rPr>
                <w:noProof/>
                <w:webHidden/>
              </w:rPr>
              <w:tab/>
            </w:r>
            <w:r w:rsidR="00660820">
              <w:rPr>
                <w:noProof/>
                <w:webHidden/>
              </w:rPr>
              <w:fldChar w:fldCharType="begin"/>
            </w:r>
            <w:r w:rsidR="00660820">
              <w:rPr>
                <w:noProof/>
                <w:webHidden/>
              </w:rPr>
              <w:instrText xml:space="preserve"> PAGEREF _Toc121259096 \h </w:instrText>
            </w:r>
            <w:r w:rsidR="00660820">
              <w:rPr>
                <w:noProof/>
                <w:webHidden/>
              </w:rPr>
            </w:r>
            <w:r w:rsidR="00660820">
              <w:rPr>
                <w:noProof/>
                <w:webHidden/>
              </w:rPr>
              <w:fldChar w:fldCharType="separate"/>
            </w:r>
            <w:r w:rsidR="0075294B">
              <w:rPr>
                <w:noProof/>
                <w:webHidden/>
              </w:rPr>
              <w:t>5</w:t>
            </w:r>
            <w:r w:rsidR="00660820">
              <w:rPr>
                <w:noProof/>
                <w:webHidden/>
              </w:rPr>
              <w:fldChar w:fldCharType="end"/>
            </w:r>
          </w:hyperlink>
        </w:p>
        <w:p w14:paraId="7FE925BC" w14:textId="6E9DD5CC" w:rsidR="006D6108" w:rsidRPr="00660820" w:rsidRDefault="006801A0">
          <w:r w:rsidRPr="00660820">
            <w:rPr>
              <w:rFonts w:asciiTheme="majorHAnsi" w:hAnsiTheme="majorHAnsi"/>
              <w:sz w:val="24"/>
              <w:szCs w:val="24"/>
            </w:rPr>
            <w:fldChar w:fldCharType="end"/>
          </w:r>
        </w:p>
      </w:sdtContent>
    </w:sdt>
    <w:p w14:paraId="26BF2E0F" w14:textId="754607AD" w:rsidR="006D6108" w:rsidRPr="00660820" w:rsidRDefault="006D6108" w:rsidP="006D6108">
      <w:pPr>
        <w:pStyle w:val="TOCHeading"/>
        <w:rPr>
          <w:color w:val="auto"/>
        </w:rPr>
      </w:pPr>
      <w:r w:rsidRPr="00660820">
        <w:rPr>
          <w:color w:val="auto"/>
        </w:rPr>
        <w:t>Tables</w:t>
      </w:r>
    </w:p>
    <w:p w14:paraId="15F4D46F" w14:textId="4F6B3141" w:rsidR="00EE59EC" w:rsidRPr="00660820" w:rsidRDefault="006D6108">
      <w:pPr>
        <w:pStyle w:val="TableofFigures"/>
        <w:tabs>
          <w:tab w:val="right" w:leader="dot" w:pos="9350"/>
        </w:tabs>
        <w:rPr>
          <w:rFonts w:asciiTheme="minorHAnsi" w:hAnsiTheme="minorHAnsi"/>
          <w:noProof/>
          <w:sz w:val="22"/>
          <w:szCs w:val="22"/>
        </w:rPr>
      </w:pPr>
      <w:r w:rsidRPr="00660820">
        <w:fldChar w:fldCharType="begin"/>
      </w:r>
      <w:r w:rsidRPr="00660820">
        <w:instrText xml:space="preserve"> TOC \c "Table" </w:instrText>
      </w:r>
      <w:r w:rsidRPr="00660820">
        <w:fldChar w:fldCharType="separate"/>
      </w:r>
      <w:r w:rsidR="00EE59EC" w:rsidRPr="00660820">
        <w:rPr>
          <w:noProof/>
        </w:rPr>
        <w:t>Table 1. Pearson Correlation of Spread and Volume</w:t>
      </w:r>
      <w:r w:rsidR="00EE59EC" w:rsidRPr="00660820">
        <w:rPr>
          <w:noProof/>
        </w:rPr>
        <w:tab/>
      </w:r>
      <w:r w:rsidR="00EE59EC" w:rsidRPr="00660820">
        <w:rPr>
          <w:noProof/>
        </w:rPr>
        <w:fldChar w:fldCharType="begin"/>
      </w:r>
      <w:r w:rsidR="00EE59EC" w:rsidRPr="00660820">
        <w:rPr>
          <w:noProof/>
        </w:rPr>
        <w:instrText xml:space="preserve"> PAGEREF _Toc121258579 \h </w:instrText>
      </w:r>
      <w:r w:rsidR="00EE59EC" w:rsidRPr="00660820">
        <w:rPr>
          <w:noProof/>
        </w:rPr>
      </w:r>
      <w:r w:rsidR="00EE59EC" w:rsidRPr="00660820">
        <w:rPr>
          <w:noProof/>
        </w:rPr>
        <w:fldChar w:fldCharType="separate"/>
      </w:r>
      <w:r w:rsidR="0075294B">
        <w:rPr>
          <w:noProof/>
        </w:rPr>
        <w:t>5</w:t>
      </w:r>
      <w:r w:rsidR="00EE59EC" w:rsidRPr="00660820">
        <w:rPr>
          <w:noProof/>
        </w:rPr>
        <w:fldChar w:fldCharType="end"/>
      </w:r>
    </w:p>
    <w:p w14:paraId="104DDCE7" w14:textId="77777777" w:rsidR="00660820" w:rsidRDefault="006D6108" w:rsidP="00CA4784">
      <w:pPr>
        <w:pStyle w:val="TOCHeading"/>
        <w:rPr>
          <w:noProof/>
        </w:rPr>
      </w:pPr>
      <w:r w:rsidRPr="00660820">
        <w:rPr>
          <w:color w:val="auto"/>
        </w:rPr>
        <w:fldChar w:fldCharType="end"/>
      </w:r>
      <w:r w:rsidR="00CA4784" w:rsidRPr="00660820">
        <w:rPr>
          <w:color w:val="auto"/>
        </w:rPr>
        <w:t>Figures</w:t>
      </w:r>
      <w:r w:rsidR="00CA4784" w:rsidRPr="00660820">
        <w:rPr>
          <w:color w:val="auto"/>
        </w:rPr>
        <w:fldChar w:fldCharType="begin"/>
      </w:r>
      <w:r w:rsidR="00CA4784" w:rsidRPr="00660820">
        <w:rPr>
          <w:color w:val="auto"/>
        </w:rPr>
        <w:instrText xml:space="preserve"> TOC \c "Figure" </w:instrText>
      </w:r>
      <w:r w:rsidR="00CA4784" w:rsidRPr="00660820">
        <w:rPr>
          <w:color w:val="auto"/>
        </w:rPr>
        <w:fldChar w:fldCharType="separate"/>
      </w:r>
    </w:p>
    <w:p w14:paraId="16204F87" w14:textId="58531BFC" w:rsidR="00660820" w:rsidRDefault="00660820">
      <w:pPr>
        <w:pStyle w:val="TableofFigures"/>
        <w:tabs>
          <w:tab w:val="right" w:leader="dot" w:pos="9350"/>
        </w:tabs>
        <w:rPr>
          <w:rFonts w:asciiTheme="minorHAnsi" w:hAnsiTheme="minorHAnsi"/>
          <w:noProof/>
          <w:sz w:val="22"/>
          <w:szCs w:val="22"/>
        </w:rPr>
      </w:pPr>
      <w:r w:rsidRPr="00F21768">
        <w:rPr>
          <w:noProof/>
        </w:rPr>
        <w:t>Figure 1. Spread and Volume Throughout Trading Hours</w:t>
      </w:r>
      <w:r>
        <w:rPr>
          <w:noProof/>
        </w:rPr>
        <w:tab/>
      </w:r>
      <w:r>
        <w:rPr>
          <w:noProof/>
        </w:rPr>
        <w:fldChar w:fldCharType="begin"/>
      </w:r>
      <w:r>
        <w:rPr>
          <w:noProof/>
        </w:rPr>
        <w:instrText xml:space="preserve"> PAGEREF _Toc121259115 \h </w:instrText>
      </w:r>
      <w:r>
        <w:rPr>
          <w:noProof/>
        </w:rPr>
      </w:r>
      <w:r>
        <w:rPr>
          <w:noProof/>
        </w:rPr>
        <w:fldChar w:fldCharType="separate"/>
      </w:r>
      <w:r w:rsidR="0075294B">
        <w:rPr>
          <w:noProof/>
        </w:rPr>
        <w:t>3</w:t>
      </w:r>
      <w:r>
        <w:rPr>
          <w:noProof/>
        </w:rPr>
        <w:fldChar w:fldCharType="end"/>
      </w:r>
    </w:p>
    <w:p w14:paraId="7097BE10" w14:textId="5D45F23C" w:rsidR="00660820" w:rsidRDefault="00660820">
      <w:pPr>
        <w:pStyle w:val="TableofFigures"/>
        <w:tabs>
          <w:tab w:val="right" w:leader="dot" w:pos="9350"/>
        </w:tabs>
        <w:rPr>
          <w:rFonts w:asciiTheme="minorHAnsi" w:hAnsiTheme="minorHAnsi"/>
          <w:noProof/>
          <w:sz w:val="22"/>
          <w:szCs w:val="22"/>
        </w:rPr>
      </w:pPr>
      <w:r w:rsidRPr="00F21768">
        <w:rPr>
          <w:noProof/>
        </w:rPr>
        <w:t>Figure 2. Spread and Volume Correspondence</w:t>
      </w:r>
      <w:r>
        <w:rPr>
          <w:noProof/>
        </w:rPr>
        <w:tab/>
      </w:r>
      <w:r>
        <w:rPr>
          <w:noProof/>
        </w:rPr>
        <w:fldChar w:fldCharType="begin"/>
      </w:r>
      <w:r>
        <w:rPr>
          <w:noProof/>
        </w:rPr>
        <w:instrText xml:space="preserve"> PAGEREF _Toc121259116 \h </w:instrText>
      </w:r>
      <w:r>
        <w:rPr>
          <w:noProof/>
        </w:rPr>
      </w:r>
      <w:r>
        <w:rPr>
          <w:noProof/>
        </w:rPr>
        <w:fldChar w:fldCharType="separate"/>
      </w:r>
      <w:r w:rsidR="0075294B">
        <w:rPr>
          <w:noProof/>
        </w:rPr>
        <w:t>4</w:t>
      </w:r>
      <w:r>
        <w:rPr>
          <w:noProof/>
        </w:rPr>
        <w:fldChar w:fldCharType="end"/>
      </w:r>
    </w:p>
    <w:p w14:paraId="08636BB8" w14:textId="1D4E5EFE" w:rsidR="00660820" w:rsidRDefault="00660820">
      <w:pPr>
        <w:pStyle w:val="TableofFigures"/>
        <w:tabs>
          <w:tab w:val="right" w:leader="dot" w:pos="9350"/>
        </w:tabs>
        <w:rPr>
          <w:rFonts w:asciiTheme="minorHAnsi" w:hAnsiTheme="minorHAnsi"/>
          <w:noProof/>
          <w:sz w:val="22"/>
          <w:szCs w:val="22"/>
        </w:rPr>
      </w:pPr>
      <w:r w:rsidRPr="00F21768">
        <w:rPr>
          <w:noProof/>
        </w:rPr>
        <w:t>Figures 3 and 4. Spread and Volatility Across Years and Months</w:t>
      </w:r>
      <w:r>
        <w:rPr>
          <w:noProof/>
        </w:rPr>
        <w:tab/>
      </w:r>
      <w:r>
        <w:rPr>
          <w:noProof/>
        </w:rPr>
        <w:fldChar w:fldCharType="begin"/>
      </w:r>
      <w:r>
        <w:rPr>
          <w:noProof/>
        </w:rPr>
        <w:instrText xml:space="preserve"> PAGEREF _Toc121259117 \h </w:instrText>
      </w:r>
      <w:r>
        <w:rPr>
          <w:noProof/>
        </w:rPr>
      </w:r>
      <w:r>
        <w:rPr>
          <w:noProof/>
        </w:rPr>
        <w:fldChar w:fldCharType="separate"/>
      </w:r>
      <w:r w:rsidR="0075294B">
        <w:rPr>
          <w:noProof/>
        </w:rPr>
        <w:t>4</w:t>
      </w:r>
      <w:r>
        <w:rPr>
          <w:noProof/>
        </w:rPr>
        <w:fldChar w:fldCharType="end"/>
      </w:r>
    </w:p>
    <w:p w14:paraId="1AA15D3B" w14:textId="7D247DE6" w:rsidR="006D6108" w:rsidRPr="00660820" w:rsidRDefault="00CA4784" w:rsidP="006D6108">
      <w:r w:rsidRPr="00660820">
        <w:fldChar w:fldCharType="end"/>
      </w:r>
    </w:p>
    <w:p w14:paraId="4B29CA9F" w14:textId="77777777" w:rsidR="001736B2" w:rsidRPr="00660820" w:rsidRDefault="001736B2" w:rsidP="000A6D8C"/>
    <w:bookmarkEnd w:id="0"/>
    <w:p w14:paraId="6B55FB23" w14:textId="77777777" w:rsidR="00415035" w:rsidRPr="00660820" w:rsidRDefault="00415035" w:rsidP="00DB7C48">
      <w:pPr>
        <w:pStyle w:val="Heading1"/>
        <w:rPr>
          <w:color w:val="auto"/>
        </w:rPr>
        <w:sectPr w:rsidR="00415035" w:rsidRPr="00660820" w:rsidSect="006D6108">
          <w:headerReference w:type="default" r:id="rId8"/>
          <w:footerReference w:type="default" r:id="rId9"/>
          <w:headerReference w:type="first" r:id="rId10"/>
          <w:pgSz w:w="12240" w:h="15840"/>
          <w:pgMar w:top="1440" w:right="1440" w:bottom="1440" w:left="1440" w:header="432" w:footer="720" w:gutter="0"/>
          <w:pgNumType w:fmt="lowerRoman"/>
          <w:cols w:space="720"/>
          <w:titlePg/>
          <w:docGrid w:linePitch="360"/>
        </w:sectPr>
      </w:pPr>
    </w:p>
    <w:p w14:paraId="087B0457" w14:textId="04125D78" w:rsidR="009E5545" w:rsidRPr="00660820" w:rsidRDefault="00C6651D" w:rsidP="00B74EF4">
      <w:pPr>
        <w:pStyle w:val="Heading1"/>
        <w:rPr>
          <w:color w:val="auto"/>
        </w:rPr>
      </w:pPr>
      <w:bookmarkStart w:id="1" w:name="_Toc121259080"/>
      <w:r w:rsidRPr="00660820">
        <w:rPr>
          <w:color w:val="auto"/>
        </w:rPr>
        <w:lastRenderedPageBreak/>
        <w:t>Introduction</w:t>
      </w:r>
      <w:bookmarkEnd w:id="1"/>
    </w:p>
    <w:p w14:paraId="00153A7E" w14:textId="354FB4C7" w:rsidR="004D57BA" w:rsidRPr="00660820" w:rsidRDefault="004D57BA" w:rsidP="004D57BA">
      <w:pPr>
        <w:pStyle w:val="Heading2"/>
      </w:pPr>
      <w:bookmarkStart w:id="2" w:name="_Toc121259081"/>
      <w:r w:rsidRPr="00660820">
        <w:t>Conventional Wisdom</w:t>
      </w:r>
      <w:bookmarkEnd w:id="2"/>
    </w:p>
    <w:p w14:paraId="53044AFD" w14:textId="08B816AE" w:rsidR="003545DA" w:rsidRPr="00660820" w:rsidRDefault="00DA38EC" w:rsidP="00725E01">
      <w:r w:rsidRPr="00660820">
        <w:t>It’s generally believed that the best time to buy a</w:t>
      </w:r>
      <w:r w:rsidR="0065167A" w:rsidRPr="00660820">
        <w:t xml:space="preserve">n ETF </w:t>
      </w:r>
      <w:r w:rsidRPr="00660820">
        <w:t xml:space="preserve">is when it is most liquid, </w:t>
      </w:r>
      <w:proofErr w:type="gramStart"/>
      <w:r w:rsidRPr="00660820">
        <w:t>i.e.</w:t>
      </w:r>
      <w:proofErr w:type="gramEnd"/>
      <w:r w:rsidRPr="00660820">
        <w:t xml:space="preserve"> when trading volume is highest</w:t>
      </w:r>
      <w:r w:rsidR="001F5A69" w:rsidRPr="00660820">
        <w:t>, or at the beginning and end of the trading day</w:t>
      </w:r>
      <w:r w:rsidRPr="00660820">
        <w:t>. The premise is that with high volume</w:t>
      </w:r>
      <w:r w:rsidR="0065167A" w:rsidRPr="00660820">
        <w:t xml:space="preserve"> comes a narrowing of the ETF’s </w:t>
      </w:r>
      <w:r w:rsidR="004C5C46" w:rsidRPr="00660820">
        <w:t xml:space="preserve">spread: the difference in its </w:t>
      </w:r>
      <w:r w:rsidR="0065167A" w:rsidRPr="00660820">
        <w:t xml:space="preserve">bid and ask prices (what buyers are willing to pay and what sellers are willing to sell for, respectively). </w:t>
      </w:r>
      <w:r w:rsidR="003545DA" w:rsidRPr="00660820">
        <w:t xml:space="preserve">Ideally, one buys when the spread is small and sells when the spread is large – this way, one minimizes transaction losses to the spread. </w:t>
      </w:r>
    </w:p>
    <w:p w14:paraId="2B20DA83" w14:textId="58D73475" w:rsidR="0065167A" w:rsidRPr="00660820" w:rsidRDefault="00B92EA7" w:rsidP="00725E01">
      <w:r w:rsidRPr="00660820">
        <w:t>From basic economic theory, higher quantities of a good mean there are more ‘substitutes’ for the good and therefore price elasticity of the good increases</w:t>
      </w:r>
      <w:r w:rsidR="00EA1B57" w:rsidRPr="00660820">
        <w:t>; t</w:t>
      </w:r>
      <w:r w:rsidRPr="00660820">
        <w:t xml:space="preserve">he good becomes more ‘commoditized’ and </w:t>
      </w:r>
      <w:r w:rsidR="00EA1B57" w:rsidRPr="00660820">
        <w:t>surplus decreases</w:t>
      </w:r>
      <w:r w:rsidRPr="00660820">
        <w:t>. In trading, this suggests that</w:t>
      </w:r>
      <w:r w:rsidR="004C5C46" w:rsidRPr="00660820">
        <w:t>,</w:t>
      </w:r>
      <w:r w:rsidRPr="00660820">
        <w:t xml:space="preserve"> </w:t>
      </w:r>
      <w:r w:rsidR="004C5C46" w:rsidRPr="00660820">
        <w:t xml:space="preserve">when transacting in the market during times of higher liquidity, buyers </w:t>
      </w:r>
      <w:r w:rsidR="004C5C46" w:rsidRPr="00660820">
        <w:rPr>
          <w:i/>
          <w:iCs/>
        </w:rPr>
        <w:t>should</w:t>
      </w:r>
      <w:r w:rsidR="004C5C46" w:rsidRPr="00660820">
        <w:t xml:space="preserve"> pay less of a spread ‘premium</w:t>
      </w:r>
      <w:proofErr w:type="gramStart"/>
      <w:r w:rsidR="004C5C46" w:rsidRPr="00660820">
        <w:t>’</w:t>
      </w:r>
      <w:proofErr w:type="gramEnd"/>
      <w:r w:rsidR="004C5C46" w:rsidRPr="00660820">
        <w:t xml:space="preserve"> and sellers </w:t>
      </w:r>
      <w:r w:rsidR="004C5C46" w:rsidRPr="00660820">
        <w:rPr>
          <w:i/>
          <w:iCs/>
        </w:rPr>
        <w:t>should</w:t>
      </w:r>
      <w:r w:rsidR="004C5C46" w:rsidRPr="00660820">
        <w:t xml:space="preserve"> receive less of that ‘premium’ as well. </w:t>
      </w:r>
    </w:p>
    <w:p w14:paraId="7598F593" w14:textId="4DD6F3CF" w:rsidR="00DA38EC" w:rsidRPr="00660820" w:rsidRDefault="00DA38EC" w:rsidP="00725E01">
      <w:r w:rsidRPr="00660820">
        <w:t xml:space="preserve">Empirically, this seems to be the case </w:t>
      </w:r>
      <w:r w:rsidR="00B92EA7" w:rsidRPr="00660820">
        <w:t>–</w:t>
      </w:r>
      <w:r w:rsidRPr="00660820">
        <w:t xml:space="preserve"> </w:t>
      </w:r>
      <w:r w:rsidR="00B92EA7" w:rsidRPr="00660820">
        <w:t xml:space="preserve">placing a limit order </w:t>
      </w:r>
      <w:r w:rsidR="004C5C46" w:rsidRPr="00660820">
        <w:t xml:space="preserve">(an order to buy or sell a share for a specific price or better) </w:t>
      </w:r>
      <w:r w:rsidR="00B92EA7" w:rsidRPr="00660820">
        <w:t xml:space="preserve">at market open when liquidity is high, for example, seems to execute much more consistently than in the middle of the day when liquidity is lower. </w:t>
      </w:r>
    </w:p>
    <w:p w14:paraId="4A542AE9" w14:textId="654115F5" w:rsidR="004D57BA" w:rsidRPr="00660820" w:rsidRDefault="004D57BA" w:rsidP="004D57BA">
      <w:pPr>
        <w:pStyle w:val="Heading2"/>
      </w:pPr>
      <w:bookmarkStart w:id="3" w:name="_Toc121259082"/>
      <w:r w:rsidRPr="00660820">
        <w:t>Relevance</w:t>
      </w:r>
      <w:bookmarkEnd w:id="3"/>
    </w:p>
    <w:p w14:paraId="071FB12A" w14:textId="2CE204D2" w:rsidR="009966D4" w:rsidRPr="00660820" w:rsidRDefault="00EA1B57" w:rsidP="00725E01">
      <w:r w:rsidRPr="00660820">
        <w:t>The importance of this study is reflected in the implications of being on the ‘wrong side of the spread’ for large-volume institutional investors</w:t>
      </w:r>
      <w:r w:rsidR="003545DA" w:rsidRPr="00660820">
        <w:t xml:space="preserve"> like</w:t>
      </w:r>
      <w:r w:rsidRPr="00660820">
        <w:t xml:space="preserve"> market makers and high frequency traders</w:t>
      </w:r>
      <w:r w:rsidR="003545DA" w:rsidRPr="00660820">
        <w:t xml:space="preserve"> (HFTs)</w:t>
      </w:r>
      <w:r w:rsidRPr="00660820">
        <w:t xml:space="preserve">. </w:t>
      </w:r>
      <w:r w:rsidR="00B86604" w:rsidRPr="00660820">
        <w:t>These firms often employ delta-neutral strategies, and under those circumstances, must carefully analyze spread</w:t>
      </w:r>
      <w:r w:rsidR="00217CEB" w:rsidRPr="00660820">
        <w:t xml:space="preserve">. </w:t>
      </w:r>
      <w:r w:rsidR="003545DA" w:rsidRPr="00660820">
        <w:t>Though spread is tiny compared to the underlying asset’s price, firms who trade frequently, even with market-neutral positions, can expose themselves to unnecessary losses by trading at the wrong times</w:t>
      </w:r>
      <w:r w:rsidR="00372B5E" w:rsidRPr="00660820">
        <w:t xml:space="preserve"> and overpaying for an asset</w:t>
      </w:r>
      <w:r w:rsidR="003545DA" w:rsidRPr="00660820">
        <w:t xml:space="preserve">. </w:t>
      </w:r>
    </w:p>
    <w:p w14:paraId="6552AF9E" w14:textId="70021FDF" w:rsidR="004D57BA" w:rsidRPr="00660820" w:rsidRDefault="004D57BA" w:rsidP="004D57BA">
      <w:pPr>
        <w:pStyle w:val="Heading2"/>
      </w:pPr>
      <w:bookmarkStart w:id="4" w:name="_Toc121259083"/>
      <w:r w:rsidRPr="00660820">
        <w:t>Conclusion</w:t>
      </w:r>
      <w:bookmarkEnd w:id="4"/>
    </w:p>
    <w:p w14:paraId="0CBEB8CB" w14:textId="1EE60692" w:rsidR="00A052B9" w:rsidRPr="00660820" w:rsidRDefault="00A052B9" w:rsidP="00725E01">
      <w:r w:rsidRPr="00660820">
        <w:t xml:space="preserve">Surprisingly, the conventional wisdom is </w:t>
      </w:r>
      <w:r w:rsidR="001F5A69" w:rsidRPr="00660820">
        <w:t>only half right</w:t>
      </w:r>
      <w:r w:rsidRPr="00660820">
        <w:t xml:space="preserve">. </w:t>
      </w:r>
      <w:r w:rsidR="003E041E" w:rsidRPr="00660820">
        <w:t xml:space="preserve">In fact, reality is almost the exact opposite – spread and volume correlate positively, meaning that, barring a few outliers, the smallest spreads are in the middle </w:t>
      </w:r>
      <w:r w:rsidR="00F07193">
        <w:t xml:space="preserve">and end </w:t>
      </w:r>
      <w:r w:rsidR="003E041E" w:rsidRPr="00660820">
        <w:t>of the day when volume is lower.</w:t>
      </w:r>
    </w:p>
    <w:p w14:paraId="71A7B23E" w14:textId="74BD03B6" w:rsidR="00C6651D" w:rsidRPr="00660820" w:rsidRDefault="00C6651D" w:rsidP="00C6651D">
      <w:pPr>
        <w:pStyle w:val="Heading1"/>
        <w:rPr>
          <w:color w:val="auto"/>
        </w:rPr>
      </w:pPr>
      <w:bookmarkStart w:id="5" w:name="_Toc121259084"/>
      <w:r w:rsidRPr="00660820">
        <w:rPr>
          <w:color w:val="auto"/>
        </w:rPr>
        <w:t>Method and data</w:t>
      </w:r>
      <w:bookmarkEnd w:id="5"/>
    </w:p>
    <w:p w14:paraId="5E221027" w14:textId="2050714D" w:rsidR="004D57BA" w:rsidRPr="00660820" w:rsidRDefault="004D57BA" w:rsidP="004D57BA">
      <w:pPr>
        <w:pStyle w:val="Heading2"/>
      </w:pPr>
      <w:bookmarkStart w:id="6" w:name="_Toc121259085"/>
      <w:r w:rsidRPr="00660820">
        <w:t>Data Procurement</w:t>
      </w:r>
      <w:bookmarkEnd w:id="6"/>
    </w:p>
    <w:p w14:paraId="74CCC73C" w14:textId="79AC5CE2" w:rsidR="00C51FBD" w:rsidRPr="00660820" w:rsidRDefault="00C51FBD" w:rsidP="00725E01">
      <w:r w:rsidRPr="00660820">
        <w:t>Due to the high cost of granular historical intraday ticker data</w:t>
      </w:r>
      <w:r w:rsidR="004D57BA" w:rsidRPr="00660820">
        <w:t xml:space="preserve"> containing bid/ask prices</w:t>
      </w:r>
      <w:r w:rsidRPr="00660820">
        <w:t xml:space="preserve">, I am using </w:t>
      </w:r>
      <w:r w:rsidR="00A23C7C" w:rsidRPr="00660820">
        <w:t>a</w:t>
      </w:r>
      <w:r w:rsidRPr="00660820">
        <w:t xml:space="preserve"> popular ETF </w:t>
      </w:r>
      <w:r w:rsidR="00A23C7C" w:rsidRPr="00660820">
        <w:t>(</w:t>
      </w:r>
      <w:r w:rsidR="004D57BA" w:rsidRPr="00660820">
        <w:t xml:space="preserve">ticker </w:t>
      </w:r>
      <w:r w:rsidR="00A23C7C" w:rsidRPr="00660820">
        <w:t>IVE</w:t>
      </w:r>
      <w:r w:rsidR="004D57BA" w:rsidRPr="00660820">
        <w:t xml:space="preserve">, the </w:t>
      </w:r>
      <w:r w:rsidR="00A23C7C" w:rsidRPr="00660820">
        <w:t xml:space="preserve">iShares S&amp;P 500 Value ETF) </w:t>
      </w:r>
      <w:r w:rsidRPr="00660820">
        <w:t>as a case study</w:t>
      </w:r>
      <w:r w:rsidR="00A23C7C" w:rsidRPr="00660820">
        <w:t xml:space="preserve">. The results can loosely be generalized to other similar ETFs. I downloaded a dataset from </w:t>
      </w:r>
      <w:r w:rsidR="00820B2C" w:rsidRPr="00660820">
        <w:t>K</w:t>
      </w:r>
      <w:r w:rsidR="00A23C7C" w:rsidRPr="00660820">
        <w:t xml:space="preserve">ibot for the IVE ETF with second timestamps, dates, </w:t>
      </w:r>
      <w:r w:rsidR="00751D1D" w:rsidRPr="00660820">
        <w:t>close price</w:t>
      </w:r>
      <w:r w:rsidR="004D57BA" w:rsidRPr="00660820">
        <w:t>s</w:t>
      </w:r>
      <w:r w:rsidR="00751D1D" w:rsidRPr="00660820">
        <w:t xml:space="preserve">, </w:t>
      </w:r>
      <w:r w:rsidR="00A23C7C" w:rsidRPr="00660820">
        <w:t xml:space="preserve">bid and ask prices, and volumes. </w:t>
      </w:r>
      <w:r w:rsidR="00291A28" w:rsidRPr="00660820">
        <w:t>Kibot’s data is NBBO (National Best Bid and Offer) and is taken from multiple exchanges and ECNs</w:t>
      </w:r>
      <w:r w:rsidR="00C2059B" w:rsidRPr="00660820">
        <w:t>, making it relatively trustworthy</w:t>
      </w:r>
      <w:r w:rsidR="00291A28" w:rsidRPr="00660820">
        <w:t xml:space="preserve">. </w:t>
      </w:r>
      <w:r w:rsidR="00724BB3" w:rsidRPr="00660820">
        <w:t xml:space="preserve">The data </w:t>
      </w:r>
      <w:r w:rsidR="00A23C7C" w:rsidRPr="00660820">
        <w:t>span</w:t>
      </w:r>
      <w:r w:rsidR="00751D1D" w:rsidRPr="00660820">
        <w:t>s</w:t>
      </w:r>
      <w:r w:rsidR="00A23C7C" w:rsidRPr="00660820">
        <w:t xml:space="preserve"> </w:t>
      </w:r>
      <w:r w:rsidR="00291A28" w:rsidRPr="00660820">
        <w:t>4</w:t>
      </w:r>
      <w:r w:rsidR="00C2059B" w:rsidRPr="00660820">
        <w:t>,</w:t>
      </w:r>
      <w:r w:rsidR="00291A28" w:rsidRPr="00660820">
        <w:t>810 days (of which 3</w:t>
      </w:r>
      <w:r w:rsidR="00C2059B" w:rsidRPr="00660820">
        <w:t>,</w:t>
      </w:r>
      <w:r w:rsidR="00291A28" w:rsidRPr="00660820">
        <w:t xml:space="preserve">316 </w:t>
      </w:r>
      <w:r w:rsidR="00C2059B" w:rsidRPr="00660820">
        <w:t>had transactions</w:t>
      </w:r>
      <w:r w:rsidR="00291A28" w:rsidRPr="00660820">
        <w:t xml:space="preserve">) </w:t>
      </w:r>
      <w:r w:rsidR="00A23C7C" w:rsidRPr="00660820">
        <w:t xml:space="preserve">from </w:t>
      </w:r>
      <w:r w:rsidR="00291A28" w:rsidRPr="00660820">
        <w:t>09/28/2009</w:t>
      </w:r>
      <w:r w:rsidR="00A23C7C" w:rsidRPr="00660820">
        <w:t xml:space="preserve"> to </w:t>
      </w:r>
      <w:r w:rsidR="00F93539" w:rsidRPr="00660820">
        <w:t>11/28/2022 and</w:t>
      </w:r>
      <w:r w:rsidR="00A23C7C" w:rsidRPr="00660820">
        <w:t xml:space="preserve"> contain</w:t>
      </w:r>
      <w:r w:rsidR="00724BB3" w:rsidRPr="00660820">
        <w:t>s</w:t>
      </w:r>
      <w:r w:rsidR="00A23C7C" w:rsidRPr="00660820">
        <w:t xml:space="preserve"> 10.4 million entries. </w:t>
      </w:r>
    </w:p>
    <w:p w14:paraId="1EC3819D" w14:textId="65077958" w:rsidR="004D57BA" w:rsidRPr="00660820" w:rsidRDefault="004D57BA" w:rsidP="004D57BA">
      <w:pPr>
        <w:pStyle w:val="Heading2"/>
      </w:pPr>
      <w:bookmarkStart w:id="7" w:name="_Toc121259086"/>
      <w:r w:rsidRPr="00660820">
        <w:t>Methodology</w:t>
      </w:r>
      <w:bookmarkEnd w:id="7"/>
    </w:p>
    <w:p w14:paraId="004CC535" w14:textId="41DD37E5" w:rsidR="00751D1D" w:rsidRPr="00660820" w:rsidRDefault="004D57BA" w:rsidP="00725E01">
      <w:r w:rsidRPr="00660820">
        <w:t>My analysis</w:t>
      </w:r>
      <w:r w:rsidR="00BD7190" w:rsidRPr="00660820">
        <w:t xml:space="preserve"> involved the following steps</w:t>
      </w:r>
      <w:r w:rsidR="00751D1D" w:rsidRPr="00660820">
        <w:t>: load</w:t>
      </w:r>
      <w:r w:rsidRPr="00660820">
        <w:t>ing</w:t>
      </w:r>
      <w:r w:rsidR="00751D1D" w:rsidRPr="00660820">
        <w:t xml:space="preserve"> data, clean</w:t>
      </w:r>
      <w:r w:rsidRPr="00660820">
        <w:t>ing</w:t>
      </w:r>
      <w:r w:rsidR="00751D1D" w:rsidRPr="00660820">
        <w:t xml:space="preserve"> data, perform</w:t>
      </w:r>
      <w:r w:rsidRPr="00660820">
        <w:t>ing</w:t>
      </w:r>
      <w:r w:rsidR="00751D1D" w:rsidRPr="00660820">
        <w:t xml:space="preserve"> calculations, then perform</w:t>
      </w:r>
      <w:r w:rsidR="00C2059B" w:rsidRPr="00660820">
        <w:t>ing</w:t>
      </w:r>
      <w:r w:rsidR="00751D1D" w:rsidRPr="00660820">
        <w:t xml:space="preserve"> grouping calculations and visualizations</w:t>
      </w:r>
      <w:r w:rsidR="00C2059B" w:rsidRPr="00660820">
        <w:t xml:space="preserve"> on several interval lengths</w:t>
      </w:r>
      <w:r w:rsidR="00751D1D" w:rsidRPr="00660820">
        <w:t>.</w:t>
      </w:r>
    </w:p>
    <w:p w14:paraId="4A9999A6" w14:textId="718944A3" w:rsidR="00454745" w:rsidRPr="00660820" w:rsidRDefault="00454745" w:rsidP="00454745">
      <w:pPr>
        <w:pStyle w:val="Heading3"/>
      </w:pPr>
      <w:bookmarkStart w:id="8" w:name="_Toc121259087"/>
      <w:r w:rsidRPr="00660820">
        <w:t>Cleaning Data</w:t>
      </w:r>
      <w:bookmarkEnd w:id="8"/>
    </w:p>
    <w:p w14:paraId="5EB61206" w14:textId="2C8A2426" w:rsidR="00C2059B" w:rsidRPr="00660820" w:rsidRDefault="00C2059B" w:rsidP="00725E01">
      <w:r w:rsidRPr="00660820">
        <w:t>To clean the data, I removed all entries with NA values or 0’s for the prices. These would have skewed the distribution of data</w:t>
      </w:r>
      <w:r w:rsidR="00A609C5" w:rsidRPr="00660820">
        <w:t xml:space="preserve"> significantly to the left. I also removed all entries whose timestamp fell outside of the normal 9:30AM-4:00PM trading day, as there was significantly </w:t>
      </w:r>
      <w:r w:rsidR="00A609C5" w:rsidRPr="00660820">
        <w:lastRenderedPageBreak/>
        <w:t>less trading volume outside of this range. Trading ETFs after hours is generally risky and would be unrepresentative of typical trading behavior. The final step of cleaning was to remove all rows with uncharacteristically high spreads to reduce noise in the data. I arbitrarily set an upper limit of the spread being 2% of the asset’s price. In total, I removed 19,624 entries with ‘bad’ data</w:t>
      </w:r>
      <w:r w:rsidR="00256E0C" w:rsidRPr="00660820">
        <w:t>, or 0.2% of the dataset</w:t>
      </w:r>
      <w:r w:rsidR="00A609C5" w:rsidRPr="00660820">
        <w:t xml:space="preserve">. </w:t>
      </w:r>
    </w:p>
    <w:p w14:paraId="61DC7605" w14:textId="0EDD0A9B" w:rsidR="00454745" w:rsidRPr="00660820" w:rsidRDefault="00454745" w:rsidP="00454745">
      <w:pPr>
        <w:pStyle w:val="Heading3"/>
      </w:pPr>
      <w:bookmarkStart w:id="9" w:name="_Toc121259088"/>
      <w:r w:rsidRPr="00660820">
        <w:t>Calculations</w:t>
      </w:r>
      <w:bookmarkEnd w:id="9"/>
    </w:p>
    <w:p w14:paraId="2072B3A0" w14:textId="78835839" w:rsidR="00A609C5" w:rsidRPr="00660820" w:rsidRDefault="0094392B" w:rsidP="00725E01">
      <w:r w:rsidRPr="00660820">
        <w:t xml:space="preserve">To perform calculations, I used the bid and ask fields to calculate absolute spread for each entry. Since the price of the ETF changes over the years, I normalized the spread at each timestamp by converting it to a percentage of the price at that time. </w:t>
      </w:r>
    </w:p>
    <w:p w14:paraId="5FFBDB7C" w14:textId="77777777" w:rsidR="00256E0C" w:rsidRPr="00660820" w:rsidRDefault="0094392B" w:rsidP="00725E01">
      <w:r w:rsidRPr="00660820">
        <w:t xml:space="preserve">I then identified several (arbitrary) interval lengths: 1-minute, 5-minute, 20-minute, 30-minute, and 1-hour blocks. </w:t>
      </w:r>
      <w:r w:rsidR="00256E0C" w:rsidRPr="00660820">
        <w:t xml:space="preserve">I did not go below 1 minute because the data would be too granular and uneven, as large orders would cause spikes. Conversely, I did not go above 1 hour because there would not be enough blocks of time to visualize any trends, as a normal trading day only lasts 6.5 hours. </w:t>
      </w:r>
    </w:p>
    <w:p w14:paraId="3680D6DC" w14:textId="502D5ECE" w:rsidR="005348F4" w:rsidRPr="00660820" w:rsidRDefault="0094392B" w:rsidP="00725E01">
      <w:r w:rsidRPr="00660820">
        <w:t>For each of these</w:t>
      </w:r>
      <w:r w:rsidR="00256E0C" w:rsidRPr="00660820">
        <w:t xml:space="preserve"> intervals</w:t>
      </w:r>
      <w:r w:rsidRPr="00660820">
        <w:t>, I performed a group-by operation to classify spreads into ‘bins’ of the chosen interval length</w:t>
      </w:r>
      <w:r w:rsidR="001A2DDF" w:rsidRPr="00660820">
        <w:t xml:space="preserve">, then took the mean for each ‘bin’. </w:t>
      </w:r>
      <w:r w:rsidRPr="00660820">
        <w:t xml:space="preserve">I repeated </w:t>
      </w:r>
      <w:r w:rsidR="001A2DDF" w:rsidRPr="00660820">
        <w:t>a similar</w:t>
      </w:r>
      <w:r w:rsidRPr="00660820">
        <w:t xml:space="preserve"> process for </w:t>
      </w:r>
      <w:r w:rsidR="001A2DDF" w:rsidRPr="00660820">
        <w:t>volumes and</w:t>
      </w:r>
      <w:r w:rsidRPr="00660820">
        <w:t xml:space="preserve"> normalized </w:t>
      </w:r>
      <w:r w:rsidR="001A2DDF" w:rsidRPr="00660820">
        <w:t>the bins’ sums</w:t>
      </w:r>
      <w:r w:rsidRPr="00660820">
        <w:t xml:space="preserve"> to a percentage of the total trading day volume for </w:t>
      </w:r>
      <w:r w:rsidR="001A2DDF" w:rsidRPr="00660820">
        <w:t>readability and unit consistency, as total volumes at times of the day across years was less useful</w:t>
      </w:r>
      <w:r w:rsidRPr="00660820">
        <w:t xml:space="preserve">. </w:t>
      </w:r>
      <w:r w:rsidR="00053A9A" w:rsidRPr="00660820">
        <w:t>Plots were generated from the outputs</w:t>
      </w:r>
      <w:r w:rsidR="00256E0C" w:rsidRPr="00660820">
        <w:t xml:space="preserve"> measuring spread over the course of the trading day, volume over the course of the trading day, and correlation between volume and spread</w:t>
      </w:r>
      <w:r w:rsidR="00053A9A" w:rsidRPr="00660820">
        <w:t>.</w:t>
      </w:r>
      <w:r w:rsidR="005348F4" w:rsidRPr="00660820">
        <w:t xml:space="preserve"> I used Pearson’s </w:t>
      </w:r>
      <w:r w:rsidR="00F614E3" w:rsidRPr="00660820">
        <w:t xml:space="preserve">formula, the most common method to calculate linear correlation between 2 numeric sets of data, to calculate the correlation coefficient between spread and volume. </w:t>
      </w:r>
    </w:p>
    <w:p w14:paraId="501B09A8" w14:textId="79538EAC" w:rsidR="00F614E3" w:rsidRPr="00660820" w:rsidRDefault="00F614E3" w:rsidP="00725E01">
      <w:r w:rsidRPr="00660820">
        <w:t xml:space="preserve">Under the assumption that asset values follow a lognormal distribution, </w:t>
      </w:r>
      <w:r w:rsidR="004132A6" w:rsidRPr="00660820">
        <w:t xml:space="preserve">continuously compounded returns follow a normal distribution, which reflects the real world. </w:t>
      </w:r>
      <w:r w:rsidRPr="00660820">
        <w:t xml:space="preserve">I calculated the continuously compounded return by grouping the intraday data into daily data, </w:t>
      </w:r>
      <w:r w:rsidR="004132A6" w:rsidRPr="00660820">
        <w:t>took</w:t>
      </w:r>
      <w:r w:rsidRPr="00660820">
        <w:t xml:space="preserve"> the opening price of each trading day as the price, and </w:t>
      </w:r>
      <w:r w:rsidR="004132A6" w:rsidRPr="00660820">
        <w:t>computed</w:t>
      </w:r>
      <w:r w:rsidRPr="00660820">
        <w:t xml:space="preserve"> the natural logarithm of</w:t>
      </w:r>
      <w:r w:rsidR="004132A6" w:rsidRPr="00660820">
        <w:t xml:space="preserve"> ratios of prices from one day to the next</w:t>
      </w:r>
      <w:r w:rsidRPr="00660820">
        <w:t xml:space="preserve">. Continuously compounded returns were grouped (by month/year) and the daily standard deviation of log returns was taken for each group. </w:t>
      </w:r>
      <w:r w:rsidR="004132A6" w:rsidRPr="00660820">
        <w:t>Lastly</w:t>
      </w:r>
      <w:r w:rsidRPr="00660820">
        <w:t>, the daily volatility for each group was scaled to monthly/yearly volatilities.</w:t>
      </w:r>
    </w:p>
    <w:p w14:paraId="5021BCD1" w14:textId="3E225D37" w:rsidR="00053A9A" w:rsidRPr="00660820" w:rsidRDefault="00053A9A" w:rsidP="00725E01">
      <w:r w:rsidRPr="00660820">
        <w:t xml:space="preserve">Finally, I checked </w:t>
      </w:r>
      <w:r w:rsidR="005348F4" w:rsidRPr="00660820">
        <w:t xml:space="preserve">spread </w:t>
      </w:r>
      <w:r w:rsidRPr="00660820">
        <w:t xml:space="preserve">variance based on </w:t>
      </w:r>
      <w:r w:rsidR="005348F4" w:rsidRPr="00660820">
        <w:t>macro time periods</w:t>
      </w:r>
      <w:r w:rsidRPr="00660820">
        <w:t xml:space="preserve">, such as </w:t>
      </w:r>
      <w:r w:rsidR="005348F4" w:rsidRPr="00660820">
        <w:t xml:space="preserve">by </w:t>
      </w:r>
      <w:r w:rsidRPr="00660820">
        <w:t xml:space="preserve">year and </w:t>
      </w:r>
      <w:r w:rsidR="005348F4" w:rsidRPr="00660820">
        <w:t xml:space="preserve">by </w:t>
      </w:r>
      <w:r w:rsidRPr="00660820">
        <w:t xml:space="preserve">month. I performed a 2-level group-by operation on the </w:t>
      </w:r>
      <w:r w:rsidR="005348F4" w:rsidRPr="00660820">
        <w:t>macro period</w:t>
      </w:r>
      <w:r w:rsidRPr="00660820">
        <w:t xml:space="preserve"> and a chosen</w:t>
      </w:r>
      <w:r w:rsidR="005348F4" w:rsidRPr="00660820">
        <w:t xml:space="preserve"> time</w:t>
      </w:r>
      <w:r w:rsidRPr="00660820">
        <w:t xml:space="preserve"> interval, </w:t>
      </w:r>
      <w:r w:rsidR="00256E0C" w:rsidRPr="00660820">
        <w:t>like</w:t>
      </w:r>
      <w:r w:rsidRPr="00660820">
        <w:t xml:space="preserve"> before. From this, </w:t>
      </w:r>
      <w:r w:rsidR="004132A6" w:rsidRPr="00660820">
        <w:t xml:space="preserve">along with the above volatility data, </w:t>
      </w:r>
      <w:r w:rsidRPr="00660820">
        <w:t xml:space="preserve">a grouped </w:t>
      </w:r>
      <w:r w:rsidR="00256E0C" w:rsidRPr="00660820">
        <w:t>bar chart</w:t>
      </w:r>
      <w:r w:rsidRPr="00660820">
        <w:t xml:space="preserve"> was generated that showed changes in intraday spreads</w:t>
      </w:r>
      <w:r w:rsidR="004132A6" w:rsidRPr="00660820">
        <w:t xml:space="preserve"> (</w:t>
      </w:r>
      <w:r w:rsidRPr="00660820">
        <w:t>month</w:t>
      </w:r>
      <w:r w:rsidR="004132A6" w:rsidRPr="00660820">
        <w:t>ly/</w:t>
      </w:r>
      <w:r w:rsidRPr="00660820">
        <w:t>year</w:t>
      </w:r>
      <w:r w:rsidR="004132A6" w:rsidRPr="00660820">
        <w:t>ly) together with volatility fluctuations throughout the macro periods (months/years).</w:t>
      </w:r>
    </w:p>
    <w:p w14:paraId="1D2E95CD" w14:textId="40238DA5" w:rsidR="00C6651D" w:rsidRPr="00660820" w:rsidRDefault="00C6651D" w:rsidP="00C6651D">
      <w:pPr>
        <w:pStyle w:val="Heading1"/>
        <w:rPr>
          <w:color w:val="auto"/>
        </w:rPr>
      </w:pPr>
      <w:bookmarkStart w:id="10" w:name="_Toc121259089"/>
      <w:r w:rsidRPr="00660820">
        <w:rPr>
          <w:color w:val="auto"/>
        </w:rPr>
        <w:t>Results</w:t>
      </w:r>
      <w:bookmarkEnd w:id="10"/>
    </w:p>
    <w:p w14:paraId="106EFCB2" w14:textId="60C08E62" w:rsidR="00B86604" w:rsidRPr="00660820" w:rsidRDefault="00B86604" w:rsidP="00B86604">
      <w:pPr>
        <w:pStyle w:val="Heading2"/>
      </w:pPr>
      <w:bookmarkStart w:id="11" w:name="_Toc121259090"/>
      <w:r w:rsidRPr="00660820">
        <w:t>Objective and Hypothesis</w:t>
      </w:r>
      <w:bookmarkEnd w:id="11"/>
    </w:p>
    <w:p w14:paraId="39C41B24" w14:textId="16BDF50F" w:rsidR="00E43C47" w:rsidRPr="00660820" w:rsidRDefault="008556D7" w:rsidP="00CA4784">
      <w:r w:rsidRPr="00660820">
        <w:t xml:space="preserve">The main objective of this study was to analyze whether conventional wisdom </w:t>
      </w:r>
      <w:r w:rsidR="00B77B79" w:rsidRPr="00660820">
        <w:t xml:space="preserve">of buying at the start and end of a trading period (the trading day) holds true. </w:t>
      </w:r>
    </w:p>
    <w:p w14:paraId="510A7FA0" w14:textId="125A5502" w:rsidR="00B86604" w:rsidRPr="00660820" w:rsidRDefault="00B86604" w:rsidP="00CA4784">
      <w:r w:rsidRPr="00660820">
        <w:t>My hypothesis was that conventional wisdom is correct</w:t>
      </w:r>
      <w:r w:rsidR="00217CEB" w:rsidRPr="00660820">
        <w:t>.</w:t>
      </w:r>
      <w:r w:rsidRPr="00660820">
        <w:t xml:space="preserve"> I expect the highest volumes at market open and close; this would imply tighter spreads, and therefore I expect the market-neutral</w:t>
      </w:r>
      <w:r w:rsidR="00217CEB" w:rsidRPr="00660820">
        <w:t xml:space="preserve"> (regardless of whether the price will rise or fall)</w:t>
      </w:r>
      <w:r w:rsidRPr="00660820">
        <w:t xml:space="preserve"> best time to transact is at market open and close. </w:t>
      </w:r>
    </w:p>
    <w:p w14:paraId="3CD9A23D" w14:textId="3B446C8C" w:rsidR="00C75F80" w:rsidRPr="00C75F80" w:rsidRDefault="007E5FDF" w:rsidP="00C75F80">
      <w:r w:rsidRPr="00660820">
        <w:t>I</w:t>
      </w:r>
      <w:r w:rsidR="00C75F80" w:rsidRPr="00C75F80">
        <w:t xml:space="preserve"> </w:t>
      </w:r>
      <w:r w:rsidR="00C75F80" w:rsidRPr="00660820">
        <w:t xml:space="preserve">also </w:t>
      </w:r>
      <w:r w:rsidR="00C75F80" w:rsidRPr="00C75F80">
        <w:t xml:space="preserve">expect that higher volatilities correlate with higher spreads because </w:t>
      </w:r>
      <w:r w:rsidRPr="00660820">
        <w:t>v</w:t>
      </w:r>
      <w:r w:rsidR="00C75F80" w:rsidRPr="00C75F80">
        <w:t>olatility usually increases during periods of rapid market decline or advancement</w:t>
      </w:r>
      <w:r w:rsidR="00E95D2E" w:rsidRPr="00660820">
        <w:t>. A</w:t>
      </w:r>
      <w:r w:rsidR="00C75F80" w:rsidRPr="00C75F80">
        <w:t xml:space="preserve">t these times, </w:t>
      </w:r>
      <w:r w:rsidR="00E95D2E" w:rsidRPr="00660820">
        <w:t xml:space="preserve">high risk and </w:t>
      </w:r>
      <w:r w:rsidRPr="00660820">
        <w:t>uncertainty and risk</w:t>
      </w:r>
      <w:r w:rsidR="00E95D2E" w:rsidRPr="00660820">
        <w:t xml:space="preserve"> create an environment where</w:t>
      </w:r>
      <w:r w:rsidRPr="00660820">
        <w:t xml:space="preserve"> </w:t>
      </w:r>
      <w:r w:rsidR="00C75F80" w:rsidRPr="00C75F80">
        <w:t xml:space="preserve">market makers </w:t>
      </w:r>
      <w:r w:rsidRPr="00660820">
        <w:t>take advantage by charging higher premiums</w:t>
      </w:r>
      <w:r w:rsidR="00E95D2E" w:rsidRPr="00660820">
        <w:t>, thereby widening the spread.</w:t>
      </w:r>
    </w:p>
    <w:p w14:paraId="2E7BFB0E" w14:textId="77777777" w:rsidR="00C75F80" w:rsidRPr="00660820" w:rsidRDefault="00C75F80" w:rsidP="00CA4784"/>
    <w:p w14:paraId="023C66FE" w14:textId="33A7C60B" w:rsidR="00B86604" w:rsidRPr="00660820" w:rsidRDefault="00B86604" w:rsidP="00B86604">
      <w:pPr>
        <w:pStyle w:val="Heading2"/>
      </w:pPr>
      <w:bookmarkStart w:id="12" w:name="_Toc121259091"/>
      <w:r w:rsidRPr="00660820">
        <w:lastRenderedPageBreak/>
        <w:t>Insights</w:t>
      </w:r>
      <w:bookmarkEnd w:id="12"/>
    </w:p>
    <w:p w14:paraId="3BAC627E" w14:textId="3EFAE671" w:rsidR="00454745" w:rsidRPr="00660820" w:rsidRDefault="00454745" w:rsidP="00454745">
      <w:pPr>
        <w:pStyle w:val="Heading3"/>
      </w:pPr>
      <w:bookmarkStart w:id="13" w:name="_Toc121259092"/>
      <w:r w:rsidRPr="00660820">
        <w:t>Spread and Volume</w:t>
      </w:r>
      <w:bookmarkEnd w:id="13"/>
    </w:p>
    <w:p w14:paraId="07932BBE" w14:textId="38ACBF49" w:rsidR="00A54757" w:rsidRPr="00660820" w:rsidRDefault="00F12A79" w:rsidP="00A54757">
      <w:r w:rsidRPr="00660820">
        <w:fldChar w:fldCharType="begin"/>
      </w:r>
      <w:r w:rsidRPr="00660820">
        <w:instrText xml:space="preserve"> REF _Ref121255006 \h </w:instrText>
      </w:r>
      <w:r w:rsidR="00660820">
        <w:instrText xml:space="preserve"> \* MERGEFORMAT </w:instrText>
      </w:r>
      <w:r w:rsidRPr="00660820">
        <w:fldChar w:fldCharType="separate"/>
      </w:r>
      <w:r w:rsidR="0075294B" w:rsidRPr="00660820">
        <w:t xml:space="preserve">Figure </w:t>
      </w:r>
      <w:r w:rsidR="0075294B">
        <w:rPr>
          <w:noProof/>
        </w:rPr>
        <w:t>1</w:t>
      </w:r>
      <w:r w:rsidRPr="00660820">
        <w:fldChar w:fldCharType="end"/>
      </w:r>
      <w:r w:rsidRPr="00660820">
        <w:t xml:space="preserve"> </w:t>
      </w:r>
      <w:r w:rsidR="00217CEB" w:rsidRPr="00660820">
        <w:t>displays the spread (as a percent of the asset price) and volume (as a percent of the total daily volume) throughout trading hours</w:t>
      </w:r>
      <w:r w:rsidR="0016560B" w:rsidRPr="00660820">
        <w:t xml:space="preserve">, in ‘bins’ of </w:t>
      </w:r>
      <w:r w:rsidRPr="00660820">
        <w:t>15</w:t>
      </w:r>
      <w:r w:rsidR="0016560B" w:rsidRPr="00660820">
        <w:t xml:space="preserve"> minutes</w:t>
      </w:r>
      <w:r w:rsidR="00217CEB" w:rsidRPr="00660820">
        <w:t xml:space="preserve">. </w:t>
      </w:r>
    </w:p>
    <w:p w14:paraId="01ADF5A8" w14:textId="4A2A7C84" w:rsidR="00A54757" w:rsidRPr="00660820" w:rsidRDefault="00A54757" w:rsidP="00A54757">
      <w:pPr>
        <w:pStyle w:val="Caption"/>
        <w:rPr>
          <w:color w:val="auto"/>
        </w:rPr>
      </w:pPr>
      <w:bookmarkStart w:id="14" w:name="_Ref121255006"/>
      <w:bookmarkStart w:id="15" w:name="_Ref121254995"/>
      <w:bookmarkStart w:id="16" w:name="_Ref121255000"/>
      <w:bookmarkStart w:id="17" w:name="_Toc121259115"/>
      <w:r w:rsidRPr="00660820">
        <w:rPr>
          <w:color w:val="auto"/>
        </w:rPr>
        <w:t xml:space="preserve">Figure </w:t>
      </w:r>
      <w:r w:rsidRPr="00660820">
        <w:rPr>
          <w:color w:val="auto"/>
        </w:rPr>
        <w:fldChar w:fldCharType="begin"/>
      </w:r>
      <w:r w:rsidRPr="00660820">
        <w:rPr>
          <w:color w:val="auto"/>
        </w:rPr>
        <w:instrText xml:space="preserve"> SEQ Figure \* ARABIC </w:instrText>
      </w:r>
      <w:r w:rsidRPr="00660820">
        <w:rPr>
          <w:color w:val="auto"/>
        </w:rPr>
        <w:fldChar w:fldCharType="separate"/>
      </w:r>
      <w:r w:rsidR="0075294B">
        <w:rPr>
          <w:noProof/>
          <w:color w:val="auto"/>
        </w:rPr>
        <w:t>1</w:t>
      </w:r>
      <w:r w:rsidRPr="00660820">
        <w:rPr>
          <w:color w:val="auto"/>
        </w:rPr>
        <w:fldChar w:fldCharType="end"/>
      </w:r>
      <w:bookmarkEnd w:id="14"/>
      <w:r w:rsidRPr="00660820">
        <w:rPr>
          <w:color w:val="auto"/>
        </w:rPr>
        <w:t xml:space="preserve">. </w:t>
      </w:r>
      <w:bookmarkEnd w:id="15"/>
      <w:bookmarkEnd w:id="16"/>
      <w:r w:rsidR="00F11E7E" w:rsidRPr="00660820">
        <w:rPr>
          <w:color w:val="auto"/>
        </w:rPr>
        <w:t>Spread and Volume Throughout Trading Hours</w:t>
      </w:r>
      <w:bookmarkEnd w:id="17"/>
    </w:p>
    <w:p w14:paraId="7E67CD3F" w14:textId="10A59414" w:rsidR="004132A6" w:rsidRPr="00660820" w:rsidRDefault="004132A6" w:rsidP="00A54757">
      <w:pPr>
        <w:jc w:val="center"/>
      </w:pPr>
      <w:r w:rsidRPr="00660820">
        <w:rPr>
          <w:noProof/>
        </w:rPr>
        <w:drawing>
          <wp:inline distT="0" distB="0" distL="0" distR="0" wp14:anchorId="3B2E7E29" wp14:editId="4E31DA2F">
            <wp:extent cx="4300537" cy="3071943"/>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51250" cy="3179600"/>
                    </a:xfrm>
                    <a:prstGeom prst="rect">
                      <a:avLst/>
                    </a:prstGeom>
                  </pic:spPr>
                </pic:pic>
              </a:graphicData>
            </a:graphic>
          </wp:inline>
        </w:drawing>
      </w:r>
    </w:p>
    <w:p w14:paraId="5B34B863" w14:textId="77777777" w:rsidR="0016560B" w:rsidRPr="00660820" w:rsidRDefault="00217CEB" w:rsidP="00B86604">
      <w:r w:rsidRPr="00660820">
        <w:t xml:space="preserve">As expected, volume roughly follows a ‘U’ shaped curve: the highest trading volume is indeed in the periods right after 9:30AM (market open) and right before 4PM (market close). </w:t>
      </w:r>
      <w:r w:rsidR="0016560B" w:rsidRPr="00660820">
        <w:t xml:space="preserve">The half hours after market open and before market close together account for over 26% of the daily volume. </w:t>
      </w:r>
    </w:p>
    <w:p w14:paraId="57B2C584" w14:textId="21A3B5F6" w:rsidR="0016560B" w:rsidRPr="00660820" w:rsidRDefault="0016560B" w:rsidP="00B86604">
      <w:r w:rsidRPr="00660820">
        <w:t xml:space="preserve">Spread is highest at market open, and quickly shrinks until around 11AM, when it stabilizes. From then on, it trends downwards slowly for the remaining of the trading day. This might be </w:t>
      </w:r>
      <w:proofErr w:type="gramStart"/>
      <w:r w:rsidRPr="00660820">
        <w:t>due to the fact that</w:t>
      </w:r>
      <w:proofErr w:type="gramEnd"/>
      <w:r w:rsidRPr="00660820">
        <w:t xml:space="preserve"> </w:t>
      </w:r>
      <w:r w:rsidR="00BF7250" w:rsidRPr="00660820">
        <w:t>while</w:t>
      </w:r>
      <w:r w:rsidRPr="00660820">
        <w:t xml:space="preserve"> ETFs can be traded after hours </w:t>
      </w:r>
      <w:r w:rsidR="00BF7250" w:rsidRPr="00660820">
        <w:t>(</w:t>
      </w:r>
      <w:r w:rsidRPr="00660820">
        <w:t>like stocks</w:t>
      </w:r>
      <w:r w:rsidR="00BF7250" w:rsidRPr="00660820">
        <w:t>)</w:t>
      </w:r>
      <w:r w:rsidRPr="00660820">
        <w:t xml:space="preserve">, </w:t>
      </w:r>
      <w:r w:rsidR="00BF7250" w:rsidRPr="00660820">
        <w:t>lower liquidity means orders may not be filled until the next market open, creating a situation with a wide array of prices investors are willing to buy and sell at.</w:t>
      </w:r>
    </w:p>
    <w:p w14:paraId="287170FF" w14:textId="6DA65C5F" w:rsidR="004132A6" w:rsidRPr="00660820" w:rsidRDefault="0016560B" w:rsidP="00B86604">
      <w:r w:rsidRPr="00660820">
        <w:t xml:space="preserve">Interestingly, spread appears to be </w:t>
      </w:r>
      <w:r w:rsidR="00BF7250" w:rsidRPr="00660820">
        <w:t xml:space="preserve">positively </w:t>
      </w:r>
      <w:r w:rsidRPr="00660820">
        <w:t>correlated with volume</w:t>
      </w:r>
      <w:r w:rsidR="00BF7250" w:rsidRPr="00660820">
        <w:t>, especially</w:t>
      </w:r>
      <w:r w:rsidRPr="00660820">
        <w:t xml:space="preserve"> from market </w:t>
      </w:r>
      <w:r w:rsidR="00717631" w:rsidRPr="00660820">
        <w:t>open</w:t>
      </w:r>
      <w:r w:rsidRPr="00660820">
        <w:t xml:space="preserve"> until around 2PM.</w:t>
      </w:r>
      <w:r w:rsidR="00D7064A" w:rsidRPr="00660820">
        <w:t xml:space="preserve"> </w:t>
      </w:r>
      <w:r w:rsidR="00F12A79" w:rsidRPr="00660820">
        <w:fldChar w:fldCharType="begin"/>
      </w:r>
      <w:r w:rsidR="00F12A79" w:rsidRPr="00660820">
        <w:instrText xml:space="preserve"> REF _Ref121255468 \h </w:instrText>
      </w:r>
      <w:r w:rsidR="00660820">
        <w:instrText xml:space="preserve"> \* MERGEFORMAT </w:instrText>
      </w:r>
      <w:r w:rsidR="00F12A79" w:rsidRPr="00660820">
        <w:fldChar w:fldCharType="separate"/>
      </w:r>
      <w:r w:rsidR="0075294B" w:rsidRPr="00660820">
        <w:t xml:space="preserve">Figure </w:t>
      </w:r>
      <w:r w:rsidR="0075294B">
        <w:rPr>
          <w:noProof/>
        </w:rPr>
        <w:t>2</w:t>
      </w:r>
      <w:r w:rsidR="00F12A79" w:rsidRPr="00660820">
        <w:fldChar w:fldCharType="end"/>
      </w:r>
      <w:r w:rsidR="00F12A79" w:rsidRPr="00660820">
        <w:t xml:space="preserve"> </w:t>
      </w:r>
      <w:r w:rsidR="00D7064A" w:rsidRPr="00660820">
        <w:t xml:space="preserve">further illustrates the spread-volume correspondence using ‘bins’ of </w:t>
      </w:r>
      <w:r w:rsidR="00F12A79" w:rsidRPr="00660820">
        <w:t>30</w:t>
      </w:r>
      <w:r w:rsidR="00D7064A" w:rsidRPr="00660820">
        <w:t xml:space="preserve"> minutes. </w:t>
      </w:r>
    </w:p>
    <w:p w14:paraId="3961FBE6" w14:textId="7076D8AB" w:rsidR="00A54757" w:rsidRPr="00660820" w:rsidRDefault="00A54757" w:rsidP="00A54757">
      <w:pPr>
        <w:keepNext/>
      </w:pPr>
    </w:p>
    <w:p w14:paraId="5563226F" w14:textId="287A525F" w:rsidR="00A54757" w:rsidRPr="00660820" w:rsidRDefault="00A54757" w:rsidP="00A54757">
      <w:pPr>
        <w:pStyle w:val="Caption"/>
        <w:rPr>
          <w:color w:val="auto"/>
        </w:rPr>
      </w:pPr>
      <w:bookmarkStart w:id="18" w:name="_Ref121255468"/>
      <w:bookmarkStart w:id="19" w:name="_Toc121259116"/>
      <w:r w:rsidRPr="00660820">
        <w:rPr>
          <w:color w:val="auto"/>
        </w:rPr>
        <w:t xml:space="preserve">Figure </w:t>
      </w:r>
      <w:r w:rsidRPr="00660820">
        <w:rPr>
          <w:color w:val="auto"/>
        </w:rPr>
        <w:fldChar w:fldCharType="begin"/>
      </w:r>
      <w:r w:rsidRPr="00660820">
        <w:rPr>
          <w:color w:val="auto"/>
        </w:rPr>
        <w:instrText xml:space="preserve"> SEQ Figure \* ARABIC </w:instrText>
      </w:r>
      <w:r w:rsidRPr="00660820">
        <w:rPr>
          <w:color w:val="auto"/>
        </w:rPr>
        <w:fldChar w:fldCharType="separate"/>
      </w:r>
      <w:r w:rsidR="0075294B">
        <w:rPr>
          <w:noProof/>
          <w:color w:val="auto"/>
        </w:rPr>
        <w:t>2</w:t>
      </w:r>
      <w:r w:rsidRPr="00660820">
        <w:rPr>
          <w:color w:val="auto"/>
        </w:rPr>
        <w:fldChar w:fldCharType="end"/>
      </w:r>
      <w:bookmarkEnd w:id="18"/>
      <w:r w:rsidRPr="00660820">
        <w:rPr>
          <w:color w:val="auto"/>
        </w:rPr>
        <w:t xml:space="preserve">. </w:t>
      </w:r>
      <w:r w:rsidR="00F11E7E" w:rsidRPr="00660820">
        <w:rPr>
          <w:color w:val="auto"/>
        </w:rPr>
        <w:t>Spread and Volume Correspondence</w:t>
      </w:r>
      <w:bookmarkEnd w:id="19"/>
    </w:p>
    <w:p w14:paraId="1DB68912" w14:textId="654602BD" w:rsidR="004132A6" w:rsidRPr="00660820" w:rsidRDefault="004132A6" w:rsidP="00A54757">
      <w:pPr>
        <w:jc w:val="center"/>
      </w:pPr>
      <w:r w:rsidRPr="00660820">
        <w:rPr>
          <w:noProof/>
        </w:rPr>
        <w:drawing>
          <wp:inline distT="0" distB="0" distL="0" distR="0" wp14:anchorId="49E40345" wp14:editId="00507387">
            <wp:extent cx="3858094" cy="27559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9374" cy="2792530"/>
                    </a:xfrm>
                    <a:prstGeom prst="rect">
                      <a:avLst/>
                    </a:prstGeom>
                  </pic:spPr>
                </pic:pic>
              </a:graphicData>
            </a:graphic>
          </wp:inline>
        </w:drawing>
      </w:r>
    </w:p>
    <w:p w14:paraId="4053F497" w14:textId="5437CAF2" w:rsidR="00B86604" w:rsidRPr="00660820" w:rsidRDefault="00546A76" w:rsidP="00B86604">
      <w:r w:rsidRPr="00660820">
        <w:t xml:space="preserve">Notably, there is a clear trend among darker colored dots – all the outliers appear to be in the light green to yellow color range, or at the tail end of the trading day. </w:t>
      </w:r>
      <w:r w:rsidR="00717631" w:rsidRPr="00660820">
        <w:t xml:space="preserve">At </w:t>
      </w:r>
      <w:r w:rsidRPr="00660820">
        <w:t>this time</w:t>
      </w:r>
      <w:r w:rsidR="00717631" w:rsidRPr="00660820">
        <w:t xml:space="preserve">, </w:t>
      </w:r>
      <w:r w:rsidRPr="00660820">
        <w:t xml:space="preserve">as shown in </w:t>
      </w:r>
      <w:r w:rsidRPr="00660820">
        <w:fldChar w:fldCharType="begin"/>
      </w:r>
      <w:r w:rsidRPr="00660820">
        <w:instrText xml:space="preserve"> REF _Ref121255006 \h </w:instrText>
      </w:r>
      <w:r w:rsidR="00660820">
        <w:instrText xml:space="preserve"> \* MERGEFORMAT </w:instrText>
      </w:r>
      <w:r w:rsidRPr="00660820">
        <w:fldChar w:fldCharType="separate"/>
      </w:r>
      <w:r w:rsidR="0075294B" w:rsidRPr="00660820">
        <w:t xml:space="preserve">Figure </w:t>
      </w:r>
      <w:r w:rsidR="0075294B">
        <w:rPr>
          <w:noProof/>
        </w:rPr>
        <w:t>1</w:t>
      </w:r>
      <w:r w:rsidRPr="00660820">
        <w:fldChar w:fldCharType="end"/>
      </w:r>
      <w:r w:rsidRPr="00660820">
        <w:t xml:space="preserve">, </w:t>
      </w:r>
      <w:r w:rsidR="00717631" w:rsidRPr="00660820">
        <w:t>volume increases dramatically whereas the spread stays relatively constant</w:t>
      </w:r>
      <w:r w:rsidR="00D7064A" w:rsidRPr="00660820">
        <w:t xml:space="preserve">. With high liquidity and low spread, </w:t>
      </w:r>
      <w:r w:rsidRPr="00660820">
        <w:t xml:space="preserve">near </w:t>
      </w:r>
      <w:r w:rsidR="00D7064A" w:rsidRPr="00660820">
        <w:t>market close would be a good time to execute trades.</w:t>
      </w:r>
      <w:r w:rsidR="000E501B" w:rsidRPr="00660820">
        <w:t xml:space="preserve"> </w:t>
      </w:r>
    </w:p>
    <w:p w14:paraId="415D2CE7" w14:textId="65B968E9" w:rsidR="00454745" w:rsidRPr="00660820" w:rsidRDefault="00454745" w:rsidP="00454745">
      <w:pPr>
        <w:pStyle w:val="Heading3"/>
      </w:pPr>
      <w:bookmarkStart w:id="20" w:name="_Toc121259093"/>
      <w:r w:rsidRPr="00660820">
        <w:t>Spread and Volatility</w:t>
      </w:r>
      <w:bookmarkEnd w:id="20"/>
    </w:p>
    <w:p w14:paraId="1776A661" w14:textId="20394944" w:rsidR="004132A6" w:rsidRPr="00660820" w:rsidRDefault="00F614E3" w:rsidP="00B86604">
      <w:r w:rsidRPr="00660820">
        <w:t>Volatility</w:t>
      </w:r>
      <w:r w:rsidR="001C2374" w:rsidRPr="00660820">
        <w:t xml:space="preserve"> results </w:t>
      </w:r>
      <w:r w:rsidR="002916C7" w:rsidRPr="00660820">
        <w:t>along with daily spreads</w:t>
      </w:r>
      <w:r w:rsidR="00A54757" w:rsidRPr="00660820">
        <w:t xml:space="preserve"> across</w:t>
      </w:r>
      <w:r w:rsidR="004132A6" w:rsidRPr="00660820">
        <w:t xml:space="preserve"> macro time periods (years/months) </w:t>
      </w:r>
      <w:r w:rsidR="001C2374" w:rsidRPr="00660820">
        <w:t xml:space="preserve">are illustrated </w:t>
      </w:r>
      <w:r w:rsidR="00546A76" w:rsidRPr="00660820">
        <w:fldChar w:fldCharType="begin"/>
      </w:r>
      <w:r w:rsidR="00546A76" w:rsidRPr="00660820">
        <w:instrText xml:space="preserve"> REF _Ref121255057 \p \h </w:instrText>
      </w:r>
      <w:r w:rsidR="00660820">
        <w:instrText xml:space="preserve"> \* MERGEFORMAT </w:instrText>
      </w:r>
      <w:r w:rsidR="00546A76" w:rsidRPr="00660820">
        <w:fldChar w:fldCharType="separate"/>
      </w:r>
      <w:r w:rsidR="0075294B">
        <w:t>below</w:t>
      </w:r>
      <w:r w:rsidR="00546A76" w:rsidRPr="00660820">
        <w:fldChar w:fldCharType="end"/>
      </w:r>
      <w:r w:rsidR="001C2374" w:rsidRPr="00660820">
        <w:t xml:space="preserve">. </w:t>
      </w:r>
    </w:p>
    <w:p w14:paraId="160A225A" w14:textId="539BBA97" w:rsidR="00A54757" w:rsidRPr="00660820" w:rsidRDefault="00A54757" w:rsidP="00A54757">
      <w:pPr>
        <w:pStyle w:val="Caption"/>
        <w:rPr>
          <w:color w:val="auto"/>
        </w:rPr>
      </w:pPr>
      <w:bookmarkStart w:id="21" w:name="_Ref121255046"/>
      <w:bookmarkStart w:id="22" w:name="_Ref121255057"/>
      <w:bookmarkStart w:id="23" w:name="_Toc121259117"/>
      <w:r w:rsidRPr="00660820">
        <w:rPr>
          <w:color w:val="auto"/>
        </w:rPr>
        <w:t xml:space="preserve">Figures </w:t>
      </w:r>
      <w:r w:rsidRPr="00660820">
        <w:rPr>
          <w:color w:val="auto"/>
        </w:rPr>
        <w:fldChar w:fldCharType="begin"/>
      </w:r>
      <w:r w:rsidRPr="00660820">
        <w:rPr>
          <w:color w:val="auto"/>
        </w:rPr>
        <w:instrText xml:space="preserve"> SEQ Figure \* ARABIC </w:instrText>
      </w:r>
      <w:r w:rsidRPr="00660820">
        <w:rPr>
          <w:color w:val="auto"/>
        </w:rPr>
        <w:fldChar w:fldCharType="separate"/>
      </w:r>
      <w:r w:rsidR="0075294B">
        <w:rPr>
          <w:noProof/>
          <w:color w:val="auto"/>
        </w:rPr>
        <w:t>3</w:t>
      </w:r>
      <w:r w:rsidRPr="00660820">
        <w:rPr>
          <w:color w:val="auto"/>
        </w:rPr>
        <w:fldChar w:fldCharType="end"/>
      </w:r>
      <w:bookmarkEnd w:id="21"/>
      <w:r w:rsidRPr="00660820">
        <w:rPr>
          <w:color w:val="auto"/>
        </w:rPr>
        <w:t xml:space="preserve"> and 4. </w:t>
      </w:r>
      <w:bookmarkEnd w:id="22"/>
      <w:r w:rsidR="00F11E7E" w:rsidRPr="00660820">
        <w:rPr>
          <w:color w:val="auto"/>
        </w:rPr>
        <w:t>Spread and Volatility Across Years and Months</w:t>
      </w:r>
      <w:bookmarkEnd w:id="23"/>
    </w:p>
    <w:p w14:paraId="5DF61CCA" w14:textId="68042581" w:rsidR="004132A6" w:rsidRPr="00660820" w:rsidRDefault="00A54757" w:rsidP="00A54757">
      <w:pPr>
        <w:jc w:val="center"/>
      </w:pPr>
      <w:r w:rsidRPr="00660820">
        <w:rPr>
          <w:noProof/>
        </w:rPr>
        <w:drawing>
          <wp:inline distT="0" distB="0" distL="0" distR="0" wp14:anchorId="4D267D91" wp14:editId="7BF28F0E">
            <wp:extent cx="2921000" cy="2086518"/>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31763" cy="2094206"/>
                    </a:xfrm>
                    <a:prstGeom prst="rect">
                      <a:avLst/>
                    </a:prstGeom>
                  </pic:spPr>
                </pic:pic>
              </a:graphicData>
            </a:graphic>
          </wp:inline>
        </w:drawing>
      </w:r>
      <w:r w:rsidRPr="00660820">
        <w:rPr>
          <w:noProof/>
        </w:rPr>
        <w:drawing>
          <wp:inline distT="0" distB="0" distL="0" distR="0" wp14:anchorId="42A621EE" wp14:editId="61D5314D">
            <wp:extent cx="2921000" cy="2086518"/>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45804" cy="2104236"/>
                    </a:xfrm>
                    <a:prstGeom prst="rect">
                      <a:avLst/>
                    </a:prstGeom>
                  </pic:spPr>
                </pic:pic>
              </a:graphicData>
            </a:graphic>
          </wp:inline>
        </w:drawing>
      </w:r>
    </w:p>
    <w:p w14:paraId="7C6BBD0D" w14:textId="64222CFB" w:rsidR="001C2374" w:rsidRPr="00660820" w:rsidRDefault="001C2374" w:rsidP="00B86604">
      <w:r w:rsidRPr="00660820">
        <w:t xml:space="preserve">There appears to be a slight correlation between general spread levels and volatility: for example, </w:t>
      </w:r>
      <w:r w:rsidR="002916C7" w:rsidRPr="00660820">
        <w:t xml:space="preserve">Figure </w:t>
      </w:r>
      <w:r w:rsidR="00F12A79" w:rsidRPr="00660820">
        <w:t>3</w:t>
      </w:r>
      <w:r w:rsidR="002916C7" w:rsidRPr="00660820">
        <w:t xml:space="preserve"> shows that generally, when the yearly volatility is high, spreads throughout the day tend to also be high on average.</w:t>
      </w:r>
      <w:r w:rsidRPr="00660820">
        <w:t xml:space="preserve"> </w:t>
      </w:r>
      <w:r w:rsidR="002916C7" w:rsidRPr="00660820">
        <w:t>The correlation between monthly volatility and spread is less clear, as months’ spreads do not vary tremendously (for the most part, they average ~0.014% of the asset price throughout the year) and yearly effects dominate (for example, the abnormally high March volatility is due in large part to the onset of COVID in 2020</w:t>
      </w:r>
      <w:r w:rsidR="00F12A79" w:rsidRPr="00660820">
        <w:t xml:space="preserve"> and the significant disruptions it caused</w:t>
      </w:r>
      <w:r w:rsidR="002916C7" w:rsidRPr="00660820">
        <w:t xml:space="preserve">). </w:t>
      </w:r>
    </w:p>
    <w:p w14:paraId="316623DA" w14:textId="0D5F047E" w:rsidR="00B86604" w:rsidRPr="00660820" w:rsidRDefault="00B86604" w:rsidP="00B86604">
      <w:pPr>
        <w:pStyle w:val="Heading2"/>
      </w:pPr>
      <w:bookmarkStart w:id="24" w:name="_Toc121259094"/>
      <w:r w:rsidRPr="00660820">
        <w:lastRenderedPageBreak/>
        <w:t>Statistical Significance</w:t>
      </w:r>
      <w:bookmarkEnd w:id="24"/>
    </w:p>
    <w:p w14:paraId="66ABEDEC" w14:textId="65929ECC" w:rsidR="000E501B" w:rsidRPr="00660820" w:rsidRDefault="000E501B" w:rsidP="00CA4784">
      <w:r w:rsidRPr="00660820">
        <w:t xml:space="preserve">From Figures </w:t>
      </w:r>
      <w:r w:rsidR="00F12A79" w:rsidRPr="00660820">
        <w:t>1</w:t>
      </w:r>
      <w:r w:rsidRPr="00660820">
        <w:t xml:space="preserve"> and </w:t>
      </w:r>
      <w:r w:rsidR="00F12A79" w:rsidRPr="00660820">
        <w:t>2</w:t>
      </w:r>
      <w:r w:rsidRPr="00660820">
        <w:t xml:space="preserve">, </w:t>
      </w:r>
      <w:proofErr w:type="gramStart"/>
      <w:r w:rsidRPr="00660820">
        <w:t>it is clear that there</w:t>
      </w:r>
      <w:proofErr w:type="gramEnd"/>
      <w:r w:rsidRPr="00660820">
        <w:t xml:space="preserve"> is some degree of correlation between spread and volume, especially for the period before 2PM (14:00). </w:t>
      </w:r>
      <w:r w:rsidR="00781179" w:rsidRPr="00660820">
        <w:t xml:space="preserve">For 30-minute intervals, </w:t>
      </w:r>
      <w:r w:rsidR="00F12A79" w:rsidRPr="00660820">
        <w:t>t</w:t>
      </w:r>
      <w:r w:rsidRPr="00660820">
        <w:t xml:space="preserve">he Pearson correlation coefficient, r, between spread and volume is 0.242 when considering all trading hours. When excluding times past 2PM, r is much higher at 0.977. </w:t>
      </w:r>
      <w:r w:rsidR="00763466" w:rsidRPr="00660820">
        <w:t>From this, we can deduce that the variables are highly correlated</w:t>
      </w:r>
      <w:r w:rsidR="00F12A79" w:rsidRPr="00660820">
        <w:t xml:space="preserve"> for all hours save for near market close</w:t>
      </w:r>
      <w:r w:rsidR="00763466" w:rsidRPr="00660820">
        <w:t xml:space="preserve">. </w:t>
      </w:r>
      <w:r w:rsidR="00057E13" w:rsidRPr="00660820">
        <w:t xml:space="preserve">Results are summarized in </w:t>
      </w:r>
      <w:r w:rsidR="00D538AE" w:rsidRPr="00660820">
        <w:fldChar w:fldCharType="begin"/>
      </w:r>
      <w:r w:rsidR="00D538AE" w:rsidRPr="00660820">
        <w:instrText xml:space="preserve"> REF _Ref121240381 \h </w:instrText>
      </w:r>
      <w:r w:rsidR="00660820">
        <w:instrText xml:space="preserve"> \* MERGEFORMAT </w:instrText>
      </w:r>
      <w:r w:rsidR="00D538AE" w:rsidRPr="00660820">
        <w:fldChar w:fldCharType="separate"/>
      </w:r>
      <w:r w:rsidR="0075294B" w:rsidRPr="00660820">
        <w:t xml:space="preserve">Table </w:t>
      </w:r>
      <w:r w:rsidR="0075294B">
        <w:rPr>
          <w:noProof/>
        </w:rPr>
        <w:t>1</w:t>
      </w:r>
      <w:r w:rsidR="00D538AE" w:rsidRPr="00660820">
        <w:fldChar w:fldCharType="end"/>
      </w:r>
      <w:r w:rsidR="00057E13" w:rsidRPr="00660820">
        <w:t xml:space="preserve"> below</w:t>
      </w:r>
      <w:r w:rsidR="000658A9" w:rsidRPr="00660820">
        <w:t xml:space="preserve">. It is important to note that while the p-values for pre-2PM data are statistically significant, the caveat is the sample sizes </w:t>
      </w:r>
      <w:r w:rsidR="00F12A79" w:rsidRPr="00660820">
        <w:t>are</w:t>
      </w:r>
      <w:r w:rsidR="000658A9" w:rsidRPr="00660820">
        <w:t xml:space="preserve"> quite small. </w:t>
      </w:r>
    </w:p>
    <w:p w14:paraId="74E182CE" w14:textId="1E137658" w:rsidR="00B86604" w:rsidRPr="00660820" w:rsidRDefault="00D538AE" w:rsidP="00D538AE">
      <w:pPr>
        <w:pStyle w:val="Caption"/>
        <w:rPr>
          <w:color w:val="auto"/>
        </w:rPr>
      </w:pPr>
      <w:bookmarkStart w:id="25" w:name="_Ref121240381"/>
      <w:bookmarkStart w:id="26" w:name="_Toc121258579"/>
      <w:r w:rsidRPr="00660820">
        <w:rPr>
          <w:color w:val="auto"/>
        </w:rPr>
        <w:t xml:space="preserve">Table </w:t>
      </w:r>
      <w:r w:rsidRPr="00660820">
        <w:rPr>
          <w:color w:val="auto"/>
        </w:rPr>
        <w:fldChar w:fldCharType="begin"/>
      </w:r>
      <w:r w:rsidRPr="00660820">
        <w:rPr>
          <w:color w:val="auto"/>
        </w:rPr>
        <w:instrText xml:space="preserve"> SEQ Table \* ARABIC </w:instrText>
      </w:r>
      <w:r w:rsidRPr="00660820">
        <w:rPr>
          <w:color w:val="auto"/>
        </w:rPr>
        <w:fldChar w:fldCharType="separate"/>
      </w:r>
      <w:r w:rsidR="0075294B">
        <w:rPr>
          <w:noProof/>
          <w:color w:val="auto"/>
        </w:rPr>
        <w:t>1</w:t>
      </w:r>
      <w:r w:rsidRPr="00660820">
        <w:rPr>
          <w:color w:val="auto"/>
        </w:rPr>
        <w:fldChar w:fldCharType="end"/>
      </w:r>
      <w:bookmarkEnd w:id="25"/>
      <w:r w:rsidR="000658A9" w:rsidRPr="000658A9">
        <w:rPr>
          <w:color w:val="auto"/>
        </w:rPr>
        <w:t xml:space="preserve">. </w:t>
      </w:r>
      <w:r w:rsidR="000658A9" w:rsidRPr="00CA71BA">
        <w:rPr>
          <w:color w:val="auto"/>
        </w:rPr>
        <w:t>Pearson Correlation of Spread and Volume</w:t>
      </w:r>
      <w:bookmarkEnd w:id="26"/>
    </w:p>
    <w:tbl>
      <w:tblPr>
        <w:tblStyle w:val="GridTable7Colorful"/>
        <w:tblW w:w="0" w:type="auto"/>
        <w:tblLook w:val="04A0" w:firstRow="1" w:lastRow="0" w:firstColumn="1" w:lastColumn="0" w:noHBand="0" w:noVBand="1"/>
      </w:tblPr>
      <w:tblGrid>
        <w:gridCol w:w="1188"/>
        <w:gridCol w:w="1170"/>
        <w:gridCol w:w="1440"/>
        <w:gridCol w:w="1530"/>
        <w:gridCol w:w="1260"/>
        <w:gridCol w:w="1540"/>
        <w:gridCol w:w="1448"/>
      </w:tblGrid>
      <w:tr w:rsidR="004F328E" w:rsidRPr="00660820" w14:paraId="5F88F3E0" w14:textId="4EEEA74D" w:rsidTr="00D44E6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8" w:type="dxa"/>
            <w:shd w:val="clear" w:color="auto" w:fill="00274C" w:themeFill="accent1"/>
          </w:tcPr>
          <w:p w14:paraId="1E125913" w14:textId="77777777" w:rsidR="004F328E" w:rsidRPr="00660820" w:rsidRDefault="004F328E" w:rsidP="00CA4784">
            <w:pPr>
              <w:rPr>
                <w:color w:val="auto"/>
              </w:rPr>
            </w:pPr>
          </w:p>
        </w:tc>
        <w:tc>
          <w:tcPr>
            <w:tcW w:w="4140" w:type="dxa"/>
            <w:gridSpan w:val="3"/>
            <w:shd w:val="clear" w:color="auto" w:fill="00274C" w:themeFill="accent1"/>
          </w:tcPr>
          <w:p w14:paraId="5249427F" w14:textId="6C0E0475" w:rsidR="004F328E" w:rsidRPr="00660820" w:rsidRDefault="004F328E" w:rsidP="004F328E">
            <w:pPr>
              <w:jc w:val="center"/>
              <w:cnfStyle w:val="100000000000" w:firstRow="1" w:lastRow="0" w:firstColumn="0" w:lastColumn="0" w:oddVBand="0" w:evenVBand="0" w:oddHBand="0" w:evenHBand="0" w:firstRowFirstColumn="0" w:firstRowLastColumn="0" w:lastRowFirstColumn="0" w:lastRowLastColumn="0"/>
              <w:rPr>
                <w:color w:val="auto"/>
              </w:rPr>
            </w:pPr>
            <w:r w:rsidRPr="00660820">
              <w:rPr>
                <w:color w:val="auto"/>
              </w:rPr>
              <w:t>Pearson correlation coefficient (r)</w:t>
            </w:r>
          </w:p>
        </w:tc>
        <w:tc>
          <w:tcPr>
            <w:tcW w:w="4248" w:type="dxa"/>
            <w:gridSpan w:val="3"/>
            <w:shd w:val="clear" w:color="auto" w:fill="00274C" w:themeFill="accent1"/>
          </w:tcPr>
          <w:p w14:paraId="34951721" w14:textId="512EE5BA" w:rsidR="004F328E" w:rsidRPr="00660820" w:rsidRDefault="004F328E" w:rsidP="00F37344">
            <w:pPr>
              <w:jc w:val="center"/>
              <w:cnfStyle w:val="100000000000" w:firstRow="1" w:lastRow="0" w:firstColumn="0" w:lastColumn="0" w:oddVBand="0" w:evenVBand="0" w:oddHBand="0" w:evenHBand="0" w:firstRowFirstColumn="0" w:firstRowLastColumn="0" w:lastRowFirstColumn="0" w:lastRowLastColumn="0"/>
              <w:rPr>
                <w:color w:val="auto"/>
              </w:rPr>
            </w:pPr>
            <w:r w:rsidRPr="00660820">
              <w:rPr>
                <w:color w:val="auto"/>
              </w:rPr>
              <w:t>P-value</w:t>
            </w:r>
          </w:p>
        </w:tc>
      </w:tr>
      <w:tr w:rsidR="004F328E" w:rsidRPr="00660820" w14:paraId="2171BB8E" w14:textId="56A524E1" w:rsidTr="00E02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shd w:val="clear" w:color="auto" w:fill="00274C" w:themeFill="accent1"/>
          </w:tcPr>
          <w:p w14:paraId="74EC6E12" w14:textId="7563F130" w:rsidR="004F328E" w:rsidRPr="00E02EAA" w:rsidRDefault="004F328E" w:rsidP="004F328E">
            <w:pPr>
              <w:rPr>
                <w:color w:val="auto"/>
                <w:sz w:val="18"/>
                <w:szCs w:val="18"/>
              </w:rPr>
            </w:pPr>
            <w:r w:rsidRPr="00E02EAA">
              <w:rPr>
                <w:color w:val="auto"/>
                <w:sz w:val="18"/>
                <w:szCs w:val="18"/>
              </w:rPr>
              <w:t>Interval size (min)</w:t>
            </w:r>
          </w:p>
        </w:tc>
        <w:tc>
          <w:tcPr>
            <w:tcW w:w="1170" w:type="dxa"/>
            <w:shd w:val="clear" w:color="auto" w:fill="00274C" w:themeFill="accent1"/>
          </w:tcPr>
          <w:p w14:paraId="2D47ABBD" w14:textId="5F354291" w:rsidR="004F328E" w:rsidRPr="00E02EAA" w:rsidRDefault="004F328E" w:rsidP="004F328E">
            <w:pPr>
              <w:cnfStyle w:val="000000100000" w:firstRow="0" w:lastRow="0" w:firstColumn="0" w:lastColumn="0" w:oddVBand="0" w:evenVBand="0" w:oddHBand="1" w:evenHBand="0" w:firstRowFirstColumn="0" w:firstRowLastColumn="0" w:lastRowFirstColumn="0" w:lastRowLastColumn="0"/>
              <w:rPr>
                <w:color w:val="auto"/>
                <w:sz w:val="18"/>
                <w:szCs w:val="18"/>
              </w:rPr>
            </w:pPr>
            <w:r w:rsidRPr="00E02EAA">
              <w:rPr>
                <w:color w:val="auto"/>
                <w:sz w:val="18"/>
                <w:szCs w:val="18"/>
              </w:rPr>
              <w:t>All trading hours</w:t>
            </w:r>
          </w:p>
        </w:tc>
        <w:tc>
          <w:tcPr>
            <w:tcW w:w="1440" w:type="dxa"/>
            <w:shd w:val="clear" w:color="auto" w:fill="00274C" w:themeFill="accent1"/>
          </w:tcPr>
          <w:p w14:paraId="1BB3B627" w14:textId="74B56237" w:rsidR="004F328E" w:rsidRPr="00E02EAA" w:rsidRDefault="004F328E" w:rsidP="004F328E">
            <w:pPr>
              <w:cnfStyle w:val="000000100000" w:firstRow="0" w:lastRow="0" w:firstColumn="0" w:lastColumn="0" w:oddVBand="0" w:evenVBand="0" w:oddHBand="1" w:evenHBand="0" w:firstRowFirstColumn="0" w:firstRowLastColumn="0" w:lastRowFirstColumn="0" w:lastRowLastColumn="0"/>
              <w:rPr>
                <w:sz w:val="18"/>
                <w:szCs w:val="18"/>
              </w:rPr>
            </w:pPr>
            <w:r w:rsidRPr="00E02EAA">
              <w:rPr>
                <w:color w:val="auto"/>
                <w:sz w:val="18"/>
                <w:szCs w:val="18"/>
              </w:rPr>
              <w:t>Trading hours before 2PM</w:t>
            </w:r>
          </w:p>
        </w:tc>
        <w:tc>
          <w:tcPr>
            <w:tcW w:w="1530" w:type="dxa"/>
            <w:shd w:val="clear" w:color="auto" w:fill="00274C" w:themeFill="accent1"/>
          </w:tcPr>
          <w:p w14:paraId="31944D99" w14:textId="7F2A1E72" w:rsidR="004F328E" w:rsidRPr="00E02EAA" w:rsidRDefault="004F328E" w:rsidP="004F328E">
            <w:pPr>
              <w:cnfStyle w:val="000000100000" w:firstRow="0" w:lastRow="0" w:firstColumn="0" w:lastColumn="0" w:oddVBand="0" w:evenVBand="0" w:oddHBand="1" w:evenHBand="0" w:firstRowFirstColumn="0" w:firstRowLastColumn="0" w:lastRowFirstColumn="0" w:lastRowLastColumn="0"/>
              <w:rPr>
                <w:color w:val="auto"/>
                <w:sz w:val="18"/>
                <w:szCs w:val="18"/>
              </w:rPr>
            </w:pPr>
            <w:r w:rsidRPr="00E02EAA">
              <w:rPr>
                <w:color w:val="auto"/>
                <w:sz w:val="18"/>
                <w:szCs w:val="18"/>
              </w:rPr>
              <w:t xml:space="preserve">Trading hours </w:t>
            </w:r>
            <w:r w:rsidRPr="00E02EAA">
              <w:rPr>
                <w:color w:val="auto"/>
                <w:sz w:val="18"/>
                <w:szCs w:val="18"/>
              </w:rPr>
              <w:t>after</w:t>
            </w:r>
            <w:r w:rsidRPr="00E02EAA">
              <w:rPr>
                <w:color w:val="auto"/>
                <w:sz w:val="18"/>
                <w:szCs w:val="18"/>
              </w:rPr>
              <w:t xml:space="preserve"> 2PM</w:t>
            </w:r>
          </w:p>
        </w:tc>
        <w:tc>
          <w:tcPr>
            <w:tcW w:w="1260" w:type="dxa"/>
            <w:shd w:val="clear" w:color="auto" w:fill="00274C" w:themeFill="accent1"/>
          </w:tcPr>
          <w:p w14:paraId="18646629" w14:textId="66C46374" w:rsidR="004F328E" w:rsidRPr="00E02EAA" w:rsidRDefault="004F328E" w:rsidP="004F328E">
            <w:pPr>
              <w:cnfStyle w:val="000000100000" w:firstRow="0" w:lastRow="0" w:firstColumn="0" w:lastColumn="0" w:oddVBand="0" w:evenVBand="0" w:oddHBand="1" w:evenHBand="0" w:firstRowFirstColumn="0" w:firstRowLastColumn="0" w:lastRowFirstColumn="0" w:lastRowLastColumn="0"/>
              <w:rPr>
                <w:color w:val="auto"/>
                <w:sz w:val="18"/>
                <w:szCs w:val="18"/>
              </w:rPr>
            </w:pPr>
            <w:r w:rsidRPr="00E02EAA">
              <w:rPr>
                <w:color w:val="auto"/>
                <w:sz w:val="18"/>
                <w:szCs w:val="18"/>
              </w:rPr>
              <w:t>All trading hours</w:t>
            </w:r>
          </w:p>
        </w:tc>
        <w:tc>
          <w:tcPr>
            <w:tcW w:w="1540" w:type="dxa"/>
            <w:shd w:val="clear" w:color="auto" w:fill="00274C" w:themeFill="accent1"/>
          </w:tcPr>
          <w:p w14:paraId="1582C82B" w14:textId="63E4C88A" w:rsidR="004F328E" w:rsidRPr="00E02EAA" w:rsidRDefault="004F328E" w:rsidP="004F328E">
            <w:pPr>
              <w:cnfStyle w:val="000000100000" w:firstRow="0" w:lastRow="0" w:firstColumn="0" w:lastColumn="0" w:oddVBand="0" w:evenVBand="0" w:oddHBand="1" w:evenHBand="0" w:firstRowFirstColumn="0" w:firstRowLastColumn="0" w:lastRowFirstColumn="0" w:lastRowLastColumn="0"/>
              <w:rPr>
                <w:sz w:val="18"/>
                <w:szCs w:val="18"/>
              </w:rPr>
            </w:pPr>
            <w:r w:rsidRPr="00E02EAA">
              <w:rPr>
                <w:color w:val="auto"/>
                <w:sz w:val="18"/>
                <w:szCs w:val="18"/>
              </w:rPr>
              <w:t>Trading hours before 2PM</w:t>
            </w:r>
          </w:p>
        </w:tc>
        <w:tc>
          <w:tcPr>
            <w:tcW w:w="1448" w:type="dxa"/>
            <w:shd w:val="clear" w:color="auto" w:fill="00274C" w:themeFill="accent1"/>
          </w:tcPr>
          <w:p w14:paraId="1884A80D" w14:textId="59813D82" w:rsidR="004F328E" w:rsidRPr="00E02EAA" w:rsidRDefault="004F328E" w:rsidP="004F328E">
            <w:pPr>
              <w:cnfStyle w:val="000000100000" w:firstRow="0" w:lastRow="0" w:firstColumn="0" w:lastColumn="0" w:oddVBand="0" w:evenVBand="0" w:oddHBand="1" w:evenHBand="0" w:firstRowFirstColumn="0" w:firstRowLastColumn="0" w:lastRowFirstColumn="0" w:lastRowLastColumn="0"/>
              <w:rPr>
                <w:color w:val="auto"/>
                <w:sz w:val="18"/>
                <w:szCs w:val="18"/>
              </w:rPr>
            </w:pPr>
            <w:r w:rsidRPr="00E02EAA">
              <w:rPr>
                <w:color w:val="auto"/>
                <w:sz w:val="18"/>
                <w:szCs w:val="18"/>
              </w:rPr>
              <w:t xml:space="preserve">Trading hours </w:t>
            </w:r>
            <w:r w:rsidRPr="00E02EAA">
              <w:rPr>
                <w:color w:val="auto"/>
                <w:sz w:val="18"/>
                <w:szCs w:val="18"/>
              </w:rPr>
              <w:t>after</w:t>
            </w:r>
            <w:r w:rsidRPr="00E02EAA">
              <w:rPr>
                <w:color w:val="auto"/>
                <w:sz w:val="18"/>
                <w:szCs w:val="18"/>
              </w:rPr>
              <w:t xml:space="preserve"> 2PM</w:t>
            </w:r>
          </w:p>
        </w:tc>
      </w:tr>
      <w:tr w:rsidR="004F328E" w:rsidRPr="00660820" w14:paraId="67472BE2" w14:textId="342FCC2C" w:rsidTr="00E02EAA">
        <w:tc>
          <w:tcPr>
            <w:cnfStyle w:val="001000000000" w:firstRow="0" w:lastRow="0" w:firstColumn="1" w:lastColumn="0" w:oddVBand="0" w:evenVBand="0" w:oddHBand="0" w:evenHBand="0" w:firstRowFirstColumn="0" w:firstRowLastColumn="0" w:lastRowFirstColumn="0" w:lastRowLastColumn="0"/>
            <w:tcW w:w="1188" w:type="dxa"/>
          </w:tcPr>
          <w:p w14:paraId="2334E951" w14:textId="6BAB8F42" w:rsidR="004F328E" w:rsidRPr="00E02EAA" w:rsidRDefault="004F328E" w:rsidP="004F328E">
            <w:pPr>
              <w:rPr>
                <w:color w:val="auto"/>
                <w:sz w:val="18"/>
                <w:szCs w:val="18"/>
              </w:rPr>
            </w:pPr>
            <w:r w:rsidRPr="00E02EAA">
              <w:rPr>
                <w:color w:val="auto"/>
                <w:sz w:val="18"/>
                <w:szCs w:val="18"/>
              </w:rPr>
              <w:t>10</w:t>
            </w:r>
          </w:p>
        </w:tc>
        <w:tc>
          <w:tcPr>
            <w:tcW w:w="1170" w:type="dxa"/>
          </w:tcPr>
          <w:p w14:paraId="3FE77AC7" w14:textId="34F0624A" w:rsidR="004F328E" w:rsidRPr="00E02EAA" w:rsidRDefault="004F328E" w:rsidP="004F328E">
            <w:pPr>
              <w:cnfStyle w:val="000000000000" w:firstRow="0" w:lastRow="0" w:firstColumn="0" w:lastColumn="0" w:oddVBand="0" w:evenVBand="0" w:oddHBand="0" w:evenHBand="0" w:firstRowFirstColumn="0" w:firstRowLastColumn="0" w:lastRowFirstColumn="0" w:lastRowLastColumn="0"/>
              <w:rPr>
                <w:color w:val="auto"/>
                <w:sz w:val="18"/>
                <w:szCs w:val="18"/>
              </w:rPr>
            </w:pPr>
            <w:r w:rsidRPr="00E02EAA">
              <w:rPr>
                <w:color w:val="auto"/>
                <w:sz w:val="18"/>
                <w:szCs w:val="18"/>
              </w:rPr>
              <w:t>0.286</w:t>
            </w:r>
          </w:p>
        </w:tc>
        <w:tc>
          <w:tcPr>
            <w:tcW w:w="1440" w:type="dxa"/>
          </w:tcPr>
          <w:p w14:paraId="69550C9A" w14:textId="6D85CBAB" w:rsidR="004F328E" w:rsidRPr="00E02EAA" w:rsidRDefault="004F328E" w:rsidP="004F328E">
            <w:pPr>
              <w:cnfStyle w:val="000000000000" w:firstRow="0" w:lastRow="0" w:firstColumn="0" w:lastColumn="0" w:oddVBand="0" w:evenVBand="0" w:oddHBand="0" w:evenHBand="0" w:firstRowFirstColumn="0" w:firstRowLastColumn="0" w:lastRowFirstColumn="0" w:lastRowLastColumn="0"/>
              <w:rPr>
                <w:sz w:val="18"/>
                <w:szCs w:val="18"/>
              </w:rPr>
            </w:pPr>
            <w:r w:rsidRPr="00E02EAA">
              <w:rPr>
                <w:color w:val="auto"/>
                <w:sz w:val="18"/>
                <w:szCs w:val="18"/>
              </w:rPr>
              <w:t>0.974</w:t>
            </w:r>
          </w:p>
        </w:tc>
        <w:tc>
          <w:tcPr>
            <w:tcW w:w="1530" w:type="dxa"/>
          </w:tcPr>
          <w:p w14:paraId="2E5E0088" w14:textId="1711E6FE" w:rsidR="004F328E" w:rsidRPr="00E02EAA" w:rsidRDefault="004F328E" w:rsidP="004F328E">
            <w:pPr>
              <w:cnfStyle w:val="000000000000" w:firstRow="0" w:lastRow="0" w:firstColumn="0" w:lastColumn="0" w:oddVBand="0" w:evenVBand="0" w:oddHBand="0" w:evenHBand="0" w:firstRowFirstColumn="0" w:firstRowLastColumn="0" w:lastRowFirstColumn="0" w:lastRowLastColumn="0"/>
              <w:rPr>
                <w:color w:val="auto"/>
                <w:sz w:val="18"/>
                <w:szCs w:val="18"/>
              </w:rPr>
            </w:pPr>
            <w:r w:rsidRPr="00E02EAA">
              <w:rPr>
                <w:color w:val="auto"/>
                <w:sz w:val="18"/>
                <w:szCs w:val="18"/>
              </w:rPr>
              <w:t>0.211</w:t>
            </w:r>
          </w:p>
        </w:tc>
        <w:tc>
          <w:tcPr>
            <w:tcW w:w="1260" w:type="dxa"/>
          </w:tcPr>
          <w:p w14:paraId="20057B14" w14:textId="28A8AB0C" w:rsidR="004F328E" w:rsidRPr="00E02EAA" w:rsidRDefault="004F328E" w:rsidP="004F328E">
            <w:pPr>
              <w:cnfStyle w:val="000000000000" w:firstRow="0" w:lastRow="0" w:firstColumn="0" w:lastColumn="0" w:oddVBand="0" w:evenVBand="0" w:oddHBand="0" w:evenHBand="0" w:firstRowFirstColumn="0" w:firstRowLastColumn="0" w:lastRowFirstColumn="0" w:lastRowLastColumn="0"/>
              <w:rPr>
                <w:color w:val="auto"/>
                <w:sz w:val="18"/>
                <w:szCs w:val="18"/>
              </w:rPr>
            </w:pPr>
            <w:r w:rsidRPr="00E02EAA">
              <w:rPr>
                <w:color w:val="auto"/>
                <w:sz w:val="18"/>
                <w:szCs w:val="18"/>
              </w:rPr>
              <w:t>0.077</w:t>
            </w:r>
          </w:p>
        </w:tc>
        <w:tc>
          <w:tcPr>
            <w:tcW w:w="1540" w:type="dxa"/>
          </w:tcPr>
          <w:p w14:paraId="73AE94AC" w14:textId="5AEE3F2E" w:rsidR="004F328E" w:rsidRPr="00E02EAA" w:rsidRDefault="004F328E" w:rsidP="004F328E">
            <w:pPr>
              <w:cnfStyle w:val="000000000000" w:firstRow="0" w:lastRow="0" w:firstColumn="0" w:lastColumn="0" w:oddVBand="0" w:evenVBand="0" w:oddHBand="0" w:evenHBand="0" w:firstRowFirstColumn="0" w:firstRowLastColumn="0" w:lastRowFirstColumn="0" w:lastRowLastColumn="0"/>
              <w:rPr>
                <w:sz w:val="18"/>
                <w:szCs w:val="18"/>
              </w:rPr>
            </w:pPr>
            <w:r w:rsidRPr="00E02EAA">
              <w:rPr>
                <w:color w:val="auto"/>
                <w:sz w:val="18"/>
                <w:szCs w:val="18"/>
              </w:rPr>
              <w:t>&lt;0.001</w:t>
            </w:r>
          </w:p>
        </w:tc>
        <w:tc>
          <w:tcPr>
            <w:tcW w:w="1448" w:type="dxa"/>
          </w:tcPr>
          <w:p w14:paraId="28B87878" w14:textId="341DE7BC" w:rsidR="004F328E" w:rsidRPr="00E02EAA" w:rsidRDefault="004F328E" w:rsidP="004F328E">
            <w:pPr>
              <w:cnfStyle w:val="000000000000" w:firstRow="0" w:lastRow="0" w:firstColumn="0" w:lastColumn="0" w:oddVBand="0" w:evenVBand="0" w:oddHBand="0" w:evenHBand="0" w:firstRowFirstColumn="0" w:firstRowLastColumn="0" w:lastRowFirstColumn="0" w:lastRowLastColumn="0"/>
              <w:rPr>
                <w:color w:val="auto"/>
                <w:sz w:val="18"/>
                <w:szCs w:val="18"/>
              </w:rPr>
            </w:pPr>
            <w:r w:rsidRPr="00E02EAA">
              <w:rPr>
                <w:color w:val="auto"/>
                <w:sz w:val="18"/>
                <w:szCs w:val="18"/>
              </w:rPr>
              <w:t>0.051</w:t>
            </w:r>
          </w:p>
        </w:tc>
      </w:tr>
      <w:tr w:rsidR="004F328E" w:rsidRPr="00660820" w14:paraId="3AE58F7D" w14:textId="47F26E2F" w:rsidTr="00E02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06B6C12" w14:textId="3527B0B6" w:rsidR="004F328E" w:rsidRPr="00E02EAA" w:rsidRDefault="004F328E" w:rsidP="004F328E">
            <w:pPr>
              <w:rPr>
                <w:color w:val="auto"/>
                <w:sz w:val="18"/>
                <w:szCs w:val="18"/>
              </w:rPr>
            </w:pPr>
            <w:r w:rsidRPr="00E02EAA">
              <w:rPr>
                <w:color w:val="auto"/>
                <w:sz w:val="18"/>
                <w:szCs w:val="18"/>
              </w:rPr>
              <w:t>15</w:t>
            </w:r>
          </w:p>
        </w:tc>
        <w:tc>
          <w:tcPr>
            <w:tcW w:w="1170" w:type="dxa"/>
          </w:tcPr>
          <w:p w14:paraId="241DC8C1" w14:textId="58890B9B" w:rsidR="004F328E" w:rsidRPr="00E02EAA" w:rsidRDefault="004F328E" w:rsidP="004F328E">
            <w:pPr>
              <w:cnfStyle w:val="000000100000" w:firstRow="0" w:lastRow="0" w:firstColumn="0" w:lastColumn="0" w:oddVBand="0" w:evenVBand="0" w:oddHBand="1" w:evenHBand="0" w:firstRowFirstColumn="0" w:firstRowLastColumn="0" w:lastRowFirstColumn="0" w:lastRowLastColumn="0"/>
              <w:rPr>
                <w:color w:val="auto"/>
                <w:sz w:val="18"/>
                <w:szCs w:val="18"/>
              </w:rPr>
            </w:pPr>
            <w:r w:rsidRPr="00E02EAA">
              <w:rPr>
                <w:color w:val="auto"/>
                <w:sz w:val="18"/>
                <w:szCs w:val="18"/>
              </w:rPr>
              <w:t>0.268</w:t>
            </w:r>
          </w:p>
        </w:tc>
        <w:tc>
          <w:tcPr>
            <w:tcW w:w="1440" w:type="dxa"/>
          </w:tcPr>
          <w:p w14:paraId="41D12A1C" w14:textId="40E34A58" w:rsidR="004F328E" w:rsidRPr="00E02EAA" w:rsidRDefault="004F328E" w:rsidP="004F328E">
            <w:pPr>
              <w:cnfStyle w:val="000000100000" w:firstRow="0" w:lastRow="0" w:firstColumn="0" w:lastColumn="0" w:oddVBand="0" w:evenVBand="0" w:oddHBand="1" w:evenHBand="0" w:firstRowFirstColumn="0" w:firstRowLastColumn="0" w:lastRowFirstColumn="0" w:lastRowLastColumn="0"/>
              <w:rPr>
                <w:sz w:val="18"/>
                <w:szCs w:val="18"/>
              </w:rPr>
            </w:pPr>
            <w:r w:rsidRPr="00E02EAA">
              <w:rPr>
                <w:color w:val="auto"/>
                <w:sz w:val="18"/>
                <w:szCs w:val="18"/>
              </w:rPr>
              <w:t>0.975</w:t>
            </w:r>
          </w:p>
        </w:tc>
        <w:tc>
          <w:tcPr>
            <w:tcW w:w="1530" w:type="dxa"/>
          </w:tcPr>
          <w:p w14:paraId="25AB6244" w14:textId="53825D71" w:rsidR="004F328E" w:rsidRPr="00E02EAA" w:rsidRDefault="004F328E" w:rsidP="004F328E">
            <w:pPr>
              <w:cnfStyle w:val="000000100000" w:firstRow="0" w:lastRow="0" w:firstColumn="0" w:lastColumn="0" w:oddVBand="0" w:evenVBand="0" w:oddHBand="1" w:evenHBand="0" w:firstRowFirstColumn="0" w:firstRowLastColumn="0" w:lastRowFirstColumn="0" w:lastRowLastColumn="0"/>
              <w:rPr>
                <w:color w:val="auto"/>
                <w:sz w:val="18"/>
                <w:szCs w:val="18"/>
              </w:rPr>
            </w:pPr>
            <w:r w:rsidRPr="00E02EAA">
              <w:rPr>
                <w:color w:val="auto"/>
                <w:sz w:val="18"/>
                <w:szCs w:val="18"/>
              </w:rPr>
              <w:t>0.366</w:t>
            </w:r>
          </w:p>
        </w:tc>
        <w:tc>
          <w:tcPr>
            <w:tcW w:w="1260" w:type="dxa"/>
          </w:tcPr>
          <w:p w14:paraId="3C34275D" w14:textId="35DC35FE" w:rsidR="004F328E" w:rsidRPr="00E02EAA" w:rsidRDefault="004F328E" w:rsidP="004F328E">
            <w:pPr>
              <w:cnfStyle w:val="000000100000" w:firstRow="0" w:lastRow="0" w:firstColumn="0" w:lastColumn="0" w:oddVBand="0" w:evenVBand="0" w:oddHBand="1" w:evenHBand="0" w:firstRowFirstColumn="0" w:firstRowLastColumn="0" w:lastRowFirstColumn="0" w:lastRowLastColumn="0"/>
              <w:rPr>
                <w:color w:val="auto"/>
                <w:sz w:val="18"/>
                <w:szCs w:val="18"/>
              </w:rPr>
            </w:pPr>
            <w:r w:rsidRPr="00E02EAA">
              <w:rPr>
                <w:color w:val="auto"/>
                <w:sz w:val="18"/>
                <w:szCs w:val="18"/>
              </w:rPr>
              <w:t>0.186</w:t>
            </w:r>
          </w:p>
        </w:tc>
        <w:tc>
          <w:tcPr>
            <w:tcW w:w="1540" w:type="dxa"/>
          </w:tcPr>
          <w:p w14:paraId="59F7D623" w14:textId="00FABAE1" w:rsidR="004F328E" w:rsidRPr="00E02EAA" w:rsidRDefault="004F328E" w:rsidP="004F328E">
            <w:pPr>
              <w:cnfStyle w:val="000000100000" w:firstRow="0" w:lastRow="0" w:firstColumn="0" w:lastColumn="0" w:oddVBand="0" w:evenVBand="0" w:oddHBand="1" w:evenHBand="0" w:firstRowFirstColumn="0" w:firstRowLastColumn="0" w:lastRowFirstColumn="0" w:lastRowLastColumn="0"/>
              <w:rPr>
                <w:sz w:val="18"/>
                <w:szCs w:val="18"/>
              </w:rPr>
            </w:pPr>
            <w:r w:rsidRPr="00E02EAA">
              <w:rPr>
                <w:color w:val="auto"/>
                <w:sz w:val="18"/>
                <w:szCs w:val="18"/>
              </w:rPr>
              <w:t>&lt;0.001</w:t>
            </w:r>
          </w:p>
        </w:tc>
        <w:tc>
          <w:tcPr>
            <w:tcW w:w="1448" w:type="dxa"/>
          </w:tcPr>
          <w:p w14:paraId="3A79CBB4" w14:textId="11FAF17D" w:rsidR="004F328E" w:rsidRPr="00E02EAA" w:rsidRDefault="004F328E" w:rsidP="004F328E">
            <w:pPr>
              <w:cnfStyle w:val="000000100000" w:firstRow="0" w:lastRow="0" w:firstColumn="0" w:lastColumn="0" w:oddVBand="0" w:evenVBand="0" w:oddHBand="1" w:evenHBand="0" w:firstRowFirstColumn="0" w:firstRowLastColumn="0" w:lastRowFirstColumn="0" w:lastRowLastColumn="0"/>
              <w:rPr>
                <w:color w:val="auto"/>
                <w:sz w:val="18"/>
                <w:szCs w:val="18"/>
              </w:rPr>
            </w:pPr>
            <w:r w:rsidRPr="00E02EAA">
              <w:rPr>
                <w:color w:val="auto"/>
                <w:sz w:val="18"/>
                <w:szCs w:val="18"/>
              </w:rPr>
              <w:t>0.373</w:t>
            </w:r>
          </w:p>
        </w:tc>
      </w:tr>
      <w:tr w:rsidR="004F328E" w:rsidRPr="00660820" w14:paraId="33572A7E" w14:textId="6D888EEE" w:rsidTr="00E02EAA">
        <w:tc>
          <w:tcPr>
            <w:cnfStyle w:val="001000000000" w:firstRow="0" w:lastRow="0" w:firstColumn="1" w:lastColumn="0" w:oddVBand="0" w:evenVBand="0" w:oddHBand="0" w:evenHBand="0" w:firstRowFirstColumn="0" w:firstRowLastColumn="0" w:lastRowFirstColumn="0" w:lastRowLastColumn="0"/>
            <w:tcW w:w="1188" w:type="dxa"/>
          </w:tcPr>
          <w:p w14:paraId="13BE7E83" w14:textId="27440EDD" w:rsidR="004F328E" w:rsidRPr="00E02EAA" w:rsidRDefault="004F328E" w:rsidP="004F328E">
            <w:pPr>
              <w:rPr>
                <w:color w:val="auto"/>
                <w:sz w:val="18"/>
                <w:szCs w:val="18"/>
              </w:rPr>
            </w:pPr>
            <w:r w:rsidRPr="00E02EAA">
              <w:rPr>
                <w:color w:val="auto"/>
                <w:sz w:val="18"/>
                <w:szCs w:val="18"/>
              </w:rPr>
              <w:t>30</w:t>
            </w:r>
          </w:p>
        </w:tc>
        <w:tc>
          <w:tcPr>
            <w:tcW w:w="1170" w:type="dxa"/>
          </w:tcPr>
          <w:p w14:paraId="0E0821BD" w14:textId="21B16A92" w:rsidR="004F328E" w:rsidRPr="00E02EAA" w:rsidRDefault="004F328E" w:rsidP="004F328E">
            <w:pPr>
              <w:cnfStyle w:val="000000000000" w:firstRow="0" w:lastRow="0" w:firstColumn="0" w:lastColumn="0" w:oddVBand="0" w:evenVBand="0" w:oddHBand="0" w:evenHBand="0" w:firstRowFirstColumn="0" w:firstRowLastColumn="0" w:lastRowFirstColumn="0" w:lastRowLastColumn="0"/>
              <w:rPr>
                <w:color w:val="auto"/>
                <w:sz w:val="18"/>
                <w:szCs w:val="18"/>
              </w:rPr>
            </w:pPr>
            <w:r w:rsidRPr="00E02EAA">
              <w:rPr>
                <w:color w:val="auto"/>
                <w:sz w:val="18"/>
                <w:szCs w:val="18"/>
              </w:rPr>
              <w:t>0.242</w:t>
            </w:r>
          </w:p>
        </w:tc>
        <w:tc>
          <w:tcPr>
            <w:tcW w:w="1440" w:type="dxa"/>
          </w:tcPr>
          <w:p w14:paraId="660C28BA" w14:textId="6AA7E91C" w:rsidR="004F328E" w:rsidRPr="00E02EAA" w:rsidRDefault="004F328E" w:rsidP="004F328E">
            <w:pPr>
              <w:cnfStyle w:val="000000000000" w:firstRow="0" w:lastRow="0" w:firstColumn="0" w:lastColumn="0" w:oddVBand="0" w:evenVBand="0" w:oddHBand="0" w:evenHBand="0" w:firstRowFirstColumn="0" w:firstRowLastColumn="0" w:lastRowFirstColumn="0" w:lastRowLastColumn="0"/>
              <w:rPr>
                <w:sz w:val="18"/>
                <w:szCs w:val="18"/>
              </w:rPr>
            </w:pPr>
            <w:r w:rsidRPr="00E02EAA">
              <w:rPr>
                <w:color w:val="auto"/>
                <w:sz w:val="18"/>
                <w:szCs w:val="18"/>
              </w:rPr>
              <w:t>0.977</w:t>
            </w:r>
          </w:p>
        </w:tc>
        <w:tc>
          <w:tcPr>
            <w:tcW w:w="1530" w:type="dxa"/>
          </w:tcPr>
          <w:p w14:paraId="69030156" w14:textId="4F1E9F19" w:rsidR="004F328E" w:rsidRPr="00E02EAA" w:rsidRDefault="004F328E" w:rsidP="004F328E">
            <w:pPr>
              <w:cnfStyle w:val="000000000000" w:firstRow="0" w:lastRow="0" w:firstColumn="0" w:lastColumn="0" w:oddVBand="0" w:evenVBand="0" w:oddHBand="0" w:evenHBand="0" w:firstRowFirstColumn="0" w:firstRowLastColumn="0" w:lastRowFirstColumn="0" w:lastRowLastColumn="0"/>
              <w:rPr>
                <w:color w:val="auto"/>
                <w:sz w:val="18"/>
                <w:szCs w:val="18"/>
              </w:rPr>
            </w:pPr>
            <w:r w:rsidRPr="00E02EAA">
              <w:rPr>
                <w:color w:val="auto"/>
                <w:sz w:val="18"/>
                <w:szCs w:val="18"/>
              </w:rPr>
              <w:t>-0.922</w:t>
            </w:r>
          </w:p>
        </w:tc>
        <w:tc>
          <w:tcPr>
            <w:tcW w:w="1260" w:type="dxa"/>
          </w:tcPr>
          <w:p w14:paraId="4D36E701" w14:textId="07F59859" w:rsidR="004F328E" w:rsidRPr="00E02EAA" w:rsidRDefault="004F328E" w:rsidP="004F328E">
            <w:pPr>
              <w:cnfStyle w:val="000000000000" w:firstRow="0" w:lastRow="0" w:firstColumn="0" w:lastColumn="0" w:oddVBand="0" w:evenVBand="0" w:oddHBand="0" w:evenHBand="0" w:firstRowFirstColumn="0" w:firstRowLastColumn="0" w:lastRowFirstColumn="0" w:lastRowLastColumn="0"/>
              <w:rPr>
                <w:color w:val="auto"/>
                <w:sz w:val="18"/>
                <w:szCs w:val="18"/>
              </w:rPr>
            </w:pPr>
            <w:r w:rsidRPr="00E02EAA">
              <w:rPr>
                <w:color w:val="auto"/>
                <w:sz w:val="18"/>
                <w:szCs w:val="18"/>
              </w:rPr>
              <w:t>0.425</w:t>
            </w:r>
          </w:p>
        </w:tc>
        <w:tc>
          <w:tcPr>
            <w:tcW w:w="1540" w:type="dxa"/>
          </w:tcPr>
          <w:p w14:paraId="6AB3CAE6" w14:textId="2DE0042F" w:rsidR="004F328E" w:rsidRPr="00E02EAA" w:rsidRDefault="004F328E" w:rsidP="004F328E">
            <w:pPr>
              <w:cnfStyle w:val="000000000000" w:firstRow="0" w:lastRow="0" w:firstColumn="0" w:lastColumn="0" w:oddVBand="0" w:evenVBand="0" w:oddHBand="0" w:evenHBand="0" w:firstRowFirstColumn="0" w:firstRowLastColumn="0" w:lastRowFirstColumn="0" w:lastRowLastColumn="0"/>
              <w:rPr>
                <w:sz w:val="18"/>
                <w:szCs w:val="18"/>
              </w:rPr>
            </w:pPr>
            <w:r w:rsidRPr="00E02EAA">
              <w:rPr>
                <w:color w:val="auto"/>
                <w:sz w:val="18"/>
                <w:szCs w:val="18"/>
              </w:rPr>
              <w:t>&lt;0.001</w:t>
            </w:r>
          </w:p>
        </w:tc>
        <w:tc>
          <w:tcPr>
            <w:tcW w:w="1448" w:type="dxa"/>
          </w:tcPr>
          <w:p w14:paraId="2AE038CC" w14:textId="57613983" w:rsidR="004F328E" w:rsidRPr="00E02EAA" w:rsidRDefault="004F328E" w:rsidP="004F328E">
            <w:pPr>
              <w:cnfStyle w:val="000000000000" w:firstRow="0" w:lastRow="0" w:firstColumn="0" w:lastColumn="0" w:oddVBand="0" w:evenVBand="0" w:oddHBand="0" w:evenHBand="0" w:firstRowFirstColumn="0" w:firstRowLastColumn="0" w:lastRowFirstColumn="0" w:lastRowLastColumn="0"/>
              <w:rPr>
                <w:color w:val="auto"/>
                <w:sz w:val="18"/>
                <w:szCs w:val="18"/>
              </w:rPr>
            </w:pPr>
            <w:r w:rsidRPr="00E02EAA">
              <w:rPr>
                <w:color w:val="auto"/>
                <w:sz w:val="18"/>
                <w:szCs w:val="18"/>
              </w:rPr>
              <w:t>0.077</w:t>
            </w:r>
          </w:p>
        </w:tc>
      </w:tr>
    </w:tbl>
    <w:p w14:paraId="40A2464C" w14:textId="77777777" w:rsidR="00B86A4B" w:rsidRDefault="00B86A4B" w:rsidP="00CA4784"/>
    <w:p w14:paraId="56940EE1" w14:textId="698C2632" w:rsidR="00F85F97" w:rsidRPr="00660820" w:rsidRDefault="00DD3353" w:rsidP="00CA4784">
      <w:r w:rsidRPr="00DD3353">
        <w:t>I also made a rudimentary model for a given interval of time that takes volumes and predicts the spread at any given time in that interval</w:t>
      </w:r>
      <w:r w:rsidR="00F614E3" w:rsidRPr="00660820">
        <w:t xml:space="preserve"> (testing and training sets were randomly sampled at a ratio of 30:70)</w:t>
      </w:r>
      <w:r w:rsidRPr="00DD3353">
        <w:t>. The coefficient of determination, R</w:t>
      </w:r>
      <w:r w:rsidRPr="00DD3353">
        <w:rPr>
          <w:vertAlign w:val="superscript"/>
        </w:rPr>
        <w:t>2</w:t>
      </w:r>
      <w:r w:rsidRPr="00DD3353">
        <w:t>, is highest for intervals of 10 minutes, at 0.93</w:t>
      </w:r>
      <w:r w:rsidR="009F4069" w:rsidRPr="00660820">
        <w:t xml:space="preserve"> (</w:t>
      </w:r>
      <w:r w:rsidRPr="00660820">
        <w:t>but values varied widely depending on the interval size</w:t>
      </w:r>
      <w:r w:rsidR="009F4069" w:rsidRPr="00660820">
        <w:t>)</w:t>
      </w:r>
      <w:r w:rsidRPr="00DD3353">
        <w:t xml:space="preserve">. </w:t>
      </w:r>
      <w:r w:rsidR="009F4069" w:rsidRPr="00660820">
        <w:t xml:space="preserve">The model coefficient was 0.004 with an intercept of 0.007, meaning for a 1% increase in share of daily volume for a particular 10-minute interval, spread is expected to increase 0.004% of the asset price. </w:t>
      </w:r>
      <w:r w:rsidRPr="00DD3353">
        <w:t xml:space="preserve">Larger intervals were unable to be tested because there were not enough data points (bins) to split into testing and training data. </w:t>
      </w:r>
    </w:p>
    <w:p w14:paraId="7E7C20ED" w14:textId="5F553184" w:rsidR="00FB780E" w:rsidRPr="00660820" w:rsidRDefault="00FB780E" w:rsidP="00FB780E">
      <w:pPr>
        <w:pStyle w:val="Heading2"/>
      </w:pPr>
      <w:bookmarkStart w:id="27" w:name="_Toc121259095"/>
      <w:r w:rsidRPr="00660820">
        <w:t>Application</w:t>
      </w:r>
      <w:bookmarkEnd w:id="27"/>
    </w:p>
    <w:p w14:paraId="687B0D9A" w14:textId="5194D9DB" w:rsidR="004D1521" w:rsidRPr="00660820" w:rsidRDefault="00584DD9" w:rsidP="00CA4784">
      <w:r w:rsidRPr="00660820">
        <w:t>Many</w:t>
      </w:r>
      <w:r w:rsidR="00CF10EA" w:rsidRPr="00660820">
        <w:t xml:space="preserve"> players </w:t>
      </w:r>
      <w:r w:rsidRPr="00660820">
        <w:t xml:space="preserve">in the market must consider spreads when trading, including HFTs and algorithmic traders, market makers, and mutual funds (to name a few). </w:t>
      </w:r>
    </w:p>
    <w:p w14:paraId="56767E99" w14:textId="17D24DCE" w:rsidR="00584DD9" w:rsidRPr="00660820" w:rsidRDefault="00584DD9" w:rsidP="00CA4784">
      <w:r w:rsidRPr="00660820">
        <w:t xml:space="preserve">HFTs </w:t>
      </w:r>
      <w:r w:rsidR="00C43ACF" w:rsidRPr="00660820">
        <w:t xml:space="preserve">move billions of shares every day, and on every </w:t>
      </w:r>
      <w:r w:rsidR="00C03B75" w:rsidRPr="00660820">
        <w:t>share,</w:t>
      </w:r>
      <w:r w:rsidR="00C43ACF" w:rsidRPr="00660820">
        <w:t xml:space="preserve"> there is a little bit lost to</w:t>
      </w:r>
      <w:r w:rsidR="00C03B75" w:rsidRPr="00660820">
        <w:t xml:space="preserve"> the spread</w:t>
      </w:r>
      <w:r w:rsidR="00C43ACF" w:rsidRPr="00660820">
        <w:t xml:space="preserve">. With algorithms that can make thousands of trades every second </w:t>
      </w:r>
      <w:proofErr w:type="gramStart"/>
      <w:r w:rsidR="00C43ACF" w:rsidRPr="00660820">
        <w:t>in an attempt to</w:t>
      </w:r>
      <w:proofErr w:type="gramEnd"/>
      <w:r w:rsidR="00C43ACF" w:rsidRPr="00660820">
        <w:t xml:space="preserve"> scalp pennies, the small spread becomes a much more prevalent concern. A similar concept applies to market makers, who profit from the spread by providing liquidity. </w:t>
      </w:r>
      <w:r w:rsidR="00C03B75" w:rsidRPr="00660820">
        <w:t xml:space="preserve">Market makers remain delta-neutral, and because they don’t take directional positions on assets, they must pay close attention to fluctuations in bid/ask prices. </w:t>
      </w:r>
    </w:p>
    <w:p w14:paraId="3F713A9E" w14:textId="2B8C1D49" w:rsidR="00C43ACF" w:rsidRPr="00660820" w:rsidRDefault="00C43ACF" w:rsidP="00CA4784">
      <w:r w:rsidRPr="00660820">
        <w:t>Mutual funds that charge fees with the goal of beating an index by a small percentage often rebalance their entire portfolio, sometimes multiple times a year. In such cases, fractions of percentage points lost to the spread can add up quickly and make it that much more difficult to meet the performance metric required.</w:t>
      </w:r>
    </w:p>
    <w:p w14:paraId="060D287E" w14:textId="751A07C5" w:rsidR="00972F1E" w:rsidRPr="00660820" w:rsidRDefault="00C6651D" w:rsidP="00972F1E">
      <w:pPr>
        <w:pStyle w:val="Heading1"/>
        <w:rPr>
          <w:color w:val="auto"/>
        </w:rPr>
      </w:pPr>
      <w:bookmarkStart w:id="28" w:name="_Toc121259096"/>
      <w:r w:rsidRPr="00660820">
        <w:rPr>
          <w:color w:val="auto"/>
        </w:rPr>
        <w:t>Conclusion</w:t>
      </w:r>
      <w:bookmarkStart w:id="29" w:name="_Ref47980644"/>
      <w:bookmarkEnd w:id="28"/>
    </w:p>
    <w:bookmarkEnd w:id="29"/>
    <w:p w14:paraId="07386E89" w14:textId="629B37C0" w:rsidR="00C43ACF" w:rsidRPr="00660820" w:rsidRDefault="00C43ACF" w:rsidP="00CA4784">
      <w:r w:rsidRPr="00660820">
        <w:t xml:space="preserve">The conventional wisdom of buying at market open and close, as well as </w:t>
      </w:r>
      <w:r w:rsidR="00C03B75" w:rsidRPr="00660820">
        <w:t xml:space="preserve">avoiding trading when volatility is high, is only partially correct from a spread perspective. </w:t>
      </w:r>
    </w:p>
    <w:p w14:paraId="1A41D26E" w14:textId="77777777" w:rsidR="00486ED2" w:rsidRPr="00660820" w:rsidRDefault="00AF43AE" w:rsidP="00CA4784">
      <w:r w:rsidRPr="00660820">
        <w:t xml:space="preserve">Spread is highest at market open and decreases dramatically until around 11AM, after which it levels off until market close. The spread can vary by over 0.01% of the share price over the course of a day – $1 per $10,000 traded. This may not seem like a lot, but to institutional investors who trade millions or billions of dollars, the losses add up quickly. </w:t>
      </w:r>
    </w:p>
    <w:p w14:paraId="45204E41" w14:textId="20B219A0" w:rsidR="00AF43AE" w:rsidRPr="00660820" w:rsidRDefault="00486ED2" w:rsidP="00CA4784">
      <w:r w:rsidRPr="00660820">
        <w:t>Thus, to take advantage of small spreads, it is best to trade near market close, but not market open. Lastly, s</w:t>
      </w:r>
      <w:r w:rsidR="00AF43AE" w:rsidRPr="00660820">
        <w:t>pread</w:t>
      </w:r>
      <w:r w:rsidRPr="00660820">
        <w:t>s</w:t>
      </w:r>
      <w:r w:rsidR="00AF43AE" w:rsidRPr="00660820">
        <w:t xml:space="preserve"> </w:t>
      </w:r>
      <w:r w:rsidRPr="00660820">
        <w:t>do</w:t>
      </w:r>
      <w:r w:rsidR="00AF43AE" w:rsidRPr="00660820">
        <w:t xml:space="preserve"> </w:t>
      </w:r>
      <w:r w:rsidRPr="00660820">
        <w:t xml:space="preserve">tend to be </w:t>
      </w:r>
      <w:r w:rsidR="00AF43AE" w:rsidRPr="00660820">
        <w:t>larger when volatility is high</w:t>
      </w:r>
      <w:r w:rsidRPr="00660820">
        <w:t>, as expected.</w:t>
      </w:r>
    </w:p>
    <w:sectPr w:rsidR="00AF43AE" w:rsidRPr="00660820" w:rsidSect="005F611D">
      <w:headerReference w:type="default" r:id="rId15"/>
      <w:pgSz w:w="12240" w:h="15840" w:code="1"/>
      <w:pgMar w:top="1008" w:right="1440" w:bottom="720" w:left="1440"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23682" w14:textId="77777777" w:rsidR="00B40DE8" w:rsidRDefault="00B40DE8" w:rsidP="00DB23F4">
      <w:pPr>
        <w:spacing w:after="0"/>
      </w:pPr>
      <w:r>
        <w:separator/>
      </w:r>
    </w:p>
  </w:endnote>
  <w:endnote w:type="continuationSeparator" w:id="0">
    <w:p w14:paraId="5F263D46" w14:textId="77777777" w:rsidR="00B40DE8" w:rsidRDefault="00B40DE8" w:rsidP="00DB2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9919754"/>
      <w:docPartObj>
        <w:docPartGallery w:val="Page Numbers (Bottom of Page)"/>
        <w:docPartUnique/>
      </w:docPartObj>
    </w:sdtPr>
    <w:sdtEndPr>
      <w:rPr>
        <w:noProof/>
      </w:rPr>
    </w:sdtEndPr>
    <w:sdtContent>
      <w:p w14:paraId="215F9F82" w14:textId="77777777" w:rsidR="00A62FBF" w:rsidRPr="000A6D8C" w:rsidRDefault="00A62FBF" w:rsidP="000A6D8C">
        <w:pPr>
          <w:pStyle w:val="Footer"/>
          <w:pBdr>
            <w:top w:val="single" w:sz="4" w:space="1" w:color="44546A" w:themeColor="text2"/>
          </w:pBdr>
          <w:jc w:val="center"/>
          <w:rPr>
            <w:sz w:val="12"/>
            <w:szCs w:val="12"/>
          </w:rPr>
        </w:pPr>
      </w:p>
      <w:p w14:paraId="6C770B07" w14:textId="77777777" w:rsidR="00A62FBF" w:rsidRDefault="00A62FBF" w:rsidP="001736B2">
        <w:pPr>
          <w:pStyle w:val="Footer"/>
          <w:pBdr>
            <w:top w:val="single" w:sz="4" w:space="1" w:color="44546A" w:themeColor="text2"/>
          </w:pBd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78BFC" w14:textId="77777777" w:rsidR="00B40DE8" w:rsidRDefault="00B40DE8" w:rsidP="00DB23F4">
      <w:pPr>
        <w:spacing w:after="0"/>
      </w:pPr>
      <w:r>
        <w:separator/>
      </w:r>
    </w:p>
  </w:footnote>
  <w:footnote w:type="continuationSeparator" w:id="0">
    <w:p w14:paraId="2860437D" w14:textId="77777777" w:rsidR="00B40DE8" w:rsidRDefault="00B40DE8" w:rsidP="00DB23F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4AE53" w14:textId="70A444E1" w:rsidR="00A62FBF" w:rsidRDefault="00A62FBF" w:rsidP="007462FD">
    <w:pPr>
      <w:pStyle w:val="Header"/>
      <w:pBdr>
        <w:bottom w:val="single" w:sz="6" w:space="1" w:color="44546A" w:themeColor="text2"/>
      </w:pBdr>
    </w:pPr>
    <w:r>
      <w:rPr>
        <w:noProof/>
      </w:rPr>
      <w:drawing>
        <wp:anchor distT="0" distB="0" distL="114300" distR="114300" simplePos="0" relativeHeight="251665408" behindDoc="0" locked="0" layoutInCell="1" allowOverlap="1" wp14:anchorId="5F3C6A28" wp14:editId="0D76B109">
          <wp:simplePos x="0" y="0"/>
          <wp:positionH relativeFrom="column">
            <wp:posOffset>4292600</wp:posOffset>
          </wp:positionH>
          <wp:positionV relativeFrom="paragraph">
            <wp:posOffset>-36195</wp:posOffset>
          </wp:positionV>
          <wp:extent cx="1685925" cy="3930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393065"/>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410510079"/>
        <w:placeholder>
          <w:docPart w:val="9D8C11EF4FF64D20BF4A583FBB347240"/>
        </w:placeholder>
        <w:dataBinding w:prefixMappings="xmlns:ns0='http://purl.org/dc/elements/1.1/' xmlns:ns1='http://schemas.openxmlformats.org/package/2006/metadata/core-properties' " w:xpath="/ns1:coreProperties[1]/ns0:title[1]" w:storeItemID="{6C3C8BC8-F283-45AE-878A-BAB7291924A1}"/>
        <w:text/>
      </w:sdtPr>
      <w:sdtContent>
        <w:r w:rsidR="00B80126">
          <w:t>The Best Time of Day to Trade – An Analysis of Intraday Spread</w:t>
        </w:r>
      </w:sdtContent>
    </w:sdt>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E063F" w14:textId="7D0E668F" w:rsidR="00A62FBF" w:rsidRDefault="00A62FBF" w:rsidP="00D401D6">
    <w:pPr>
      <w:pStyle w:val="Header"/>
      <w:spacing w:after="40"/>
      <w:jc w:val="right"/>
    </w:pPr>
    <w:r>
      <w:rPr>
        <w:noProof/>
      </w:rPr>
      <w:drawing>
        <wp:inline distT="0" distB="0" distL="0" distR="0" wp14:anchorId="2C818140" wp14:editId="0F7BB5D7">
          <wp:extent cx="1760084" cy="410686"/>
          <wp:effectExtent l="0" t="0" r="0" b="8890"/>
          <wp:docPr id="15" name="Picture 1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higanRossHoriz_MB_RGB.jpg"/>
                  <pic:cNvPicPr/>
                </pic:nvPicPr>
                <pic:blipFill>
                  <a:blip r:embed="rId1">
                    <a:extLst>
                      <a:ext uri="{28A0092B-C50C-407E-A947-70E740481C1C}">
                        <a14:useLocalDpi xmlns:a14="http://schemas.microsoft.com/office/drawing/2010/main" val="0"/>
                      </a:ext>
                    </a:extLst>
                  </a:blip>
                  <a:stretch>
                    <a:fillRect/>
                  </a:stretch>
                </pic:blipFill>
                <pic:spPr>
                  <a:xfrm>
                    <a:off x="0" y="0"/>
                    <a:ext cx="1787527" cy="4170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A71AA" w14:textId="782292E7" w:rsidR="00A62FBF" w:rsidRDefault="00A62FBF" w:rsidP="007462FD">
    <w:pPr>
      <w:pStyle w:val="Header"/>
      <w:pBdr>
        <w:bottom w:val="single" w:sz="6" w:space="1" w:color="44546A" w:themeColor="text2"/>
      </w:pBdr>
    </w:pPr>
    <w:r>
      <w:rPr>
        <w:noProof/>
      </w:rPr>
      <w:drawing>
        <wp:anchor distT="0" distB="0" distL="114300" distR="114300" simplePos="0" relativeHeight="251662336" behindDoc="1" locked="0" layoutInCell="1" allowOverlap="1" wp14:anchorId="46F75C07" wp14:editId="1A924725">
          <wp:simplePos x="0" y="0"/>
          <wp:positionH relativeFrom="column">
            <wp:posOffset>4292600</wp:posOffset>
          </wp:positionH>
          <wp:positionV relativeFrom="paragraph">
            <wp:posOffset>-36195</wp:posOffset>
          </wp:positionV>
          <wp:extent cx="1612265" cy="375920"/>
          <wp:effectExtent l="0" t="0" r="6985" b="5080"/>
          <wp:wrapTight wrapText="bothSides">
            <wp:wrapPolygon edited="0">
              <wp:start x="0" y="0"/>
              <wp:lineTo x="0" y="20797"/>
              <wp:lineTo x="21438" y="20797"/>
              <wp:lineTo x="2143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2265" cy="37592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466616486"/>
        <w:placeholder>
          <w:docPart w:val="617B481C97754047A78F285E3CD7A6B3"/>
        </w:placeholder>
        <w:dataBinding w:prefixMappings="xmlns:ns0='http://purl.org/dc/elements/1.1/' xmlns:ns1='http://schemas.openxmlformats.org/package/2006/metadata/core-properties' " w:xpath="/ns1:coreProperties[1]/ns0:title[1]" w:storeItemID="{6C3C8BC8-F283-45AE-878A-BAB7291924A1}"/>
        <w:text/>
      </w:sdtPr>
      <w:sdtContent>
        <w:r w:rsidR="00B80126">
          <w:t>The Best Time of Day to Trade – An Analysis of Intraday Spread</w:t>
        </w:r>
      </w:sdtContent>
    </w:sdt>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2C1B1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8478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01C466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8F43F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C28B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2241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28C3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7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8ECCF5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0887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317A2"/>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7872D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EA6163B"/>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EE523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45F2F2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9743A03"/>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772FD"/>
    <w:multiLevelType w:val="multilevel"/>
    <w:tmpl w:val="3AB2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A64EF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C5905A5"/>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8F50FC"/>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6EE08A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7C95B4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85A5CFE"/>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1E2D7A"/>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7A512FD"/>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23E3E89"/>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535F2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59D5DD1"/>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77821634"/>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9760347"/>
    <w:multiLevelType w:val="multilevel"/>
    <w:tmpl w:val="B9241106"/>
    <w:lvl w:ilvl="0">
      <w:start w:val="1"/>
      <w:numFmt w:val="bullet"/>
      <w:lvlText w:val="□"/>
      <w:lvlJc w:val="left"/>
      <w:pPr>
        <w:ind w:left="360" w:hanging="360"/>
      </w:pPr>
      <w:rPr>
        <w:rFonts w:ascii="Cambria" w:hAnsi="Cambria" w:hint="default"/>
        <w:color w:val="00274C" w:themeColor="accent1"/>
      </w:rPr>
    </w:lvl>
    <w:lvl w:ilvl="1">
      <w:start w:val="1"/>
      <w:numFmt w:val="bullet"/>
      <w:lvlText w:val=""/>
      <w:lvlJc w:val="left"/>
      <w:pPr>
        <w:ind w:left="720" w:hanging="360"/>
      </w:pPr>
      <w:rPr>
        <w:rFonts w:ascii="Symbol" w:hAnsi="Symbol" w:hint="default"/>
        <w:color w:val="00274C" w:themeColor="accent1"/>
      </w:rPr>
    </w:lvl>
    <w:lvl w:ilvl="2">
      <w:start w:val="1"/>
      <w:numFmt w:val="bullet"/>
      <w:lvlText w:val=""/>
      <w:lvlJc w:val="left"/>
      <w:pPr>
        <w:ind w:left="1080" w:hanging="360"/>
      </w:pPr>
      <w:rPr>
        <w:rFonts w:ascii="Symbol" w:hAnsi="Symbol" w:hint="default"/>
        <w:color w:val="00274C" w:themeColor="accent1"/>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7C7E31CD"/>
    <w:multiLevelType w:val="multilevel"/>
    <w:tmpl w:val="BC6CED34"/>
    <w:lvl w:ilvl="0">
      <w:start w:val="1"/>
      <w:numFmt w:val="bullet"/>
      <w:pStyle w:val="ListParagraph"/>
      <w:lvlText w:val="□"/>
      <w:lvlJc w:val="left"/>
      <w:pPr>
        <w:ind w:left="360" w:hanging="360"/>
      </w:pPr>
      <w:rPr>
        <w:rFonts w:ascii="Cambria" w:hAnsi="Cambria" w:hint="default"/>
        <w:color w:val="44546A" w:themeColor="text2"/>
      </w:rPr>
    </w:lvl>
    <w:lvl w:ilvl="1">
      <w:start w:val="1"/>
      <w:numFmt w:val="bullet"/>
      <w:lvlText w:val="●"/>
      <w:lvlJc w:val="left"/>
      <w:pPr>
        <w:ind w:left="720" w:hanging="360"/>
      </w:pPr>
      <w:rPr>
        <w:rFonts w:ascii="Garamond" w:hAnsi="Garamond" w:hint="default"/>
        <w:color w:val="auto"/>
      </w:rPr>
    </w:lvl>
    <w:lvl w:ilvl="2">
      <w:start w:val="1"/>
      <w:numFmt w:val="bullet"/>
      <w:lvlText w:val="−"/>
      <w:lvlJc w:val="left"/>
      <w:pPr>
        <w:ind w:left="1080" w:hanging="360"/>
      </w:pPr>
      <w:rPr>
        <w:rFonts w:ascii="Calibri" w:hAnsi="Calibri"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36245203">
    <w:abstractNumId w:val="19"/>
  </w:num>
  <w:num w:numId="2" w16cid:durableId="176316327">
    <w:abstractNumId w:val="27"/>
  </w:num>
  <w:num w:numId="3" w16cid:durableId="758143283">
    <w:abstractNumId w:val="10"/>
  </w:num>
  <w:num w:numId="4" w16cid:durableId="1587111942">
    <w:abstractNumId w:val="24"/>
  </w:num>
  <w:num w:numId="5" w16cid:durableId="1693267753">
    <w:abstractNumId w:val="13"/>
  </w:num>
  <w:num w:numId="6" w16cid:durableId="110780980">
    <w:abstractNumId w:val="22"/>
  </w:num>
  <w:num w:numId="7" w16cid:durableId="2100640096">
    <w:abstractNumId w:val="21"/>
  </w:num>
  <w:num w:numId="8" w16cid:durableId="1791167255">
    <w:abstractNumId w:val="28"/>
  </w:num>
  <w:num w:numId="9" w16cid:durableId="372001981">
    <w:abstractNumId w:val="23"/>
  </w:num>
  <w:num w:numId="10" w16cid:durableId="1275139179">
    <w:abstractNumId w:val="20"/>
  </w:num>
  <w:num w:numId="11" w16cid:durableId="958102660">
    <w:abstractNumId w:val="14"/>
  </w:num>
  <w:num w:numId="12" w16cid:durableId="1419058466">
    <w:abstractNumId w:val="18"/>
  </w:num>
  <w:num w:numId="13" w16cid:durableId="1101997858">
    <w:abstractNumId w:val="16"/>
  </w:num>
  <w:num w:numId="14" w16cid:durableId="669019138">
    <w:abstractNumId w:val="9"/>
  </w:num>
  <w:num w:numId="15" w16cid:durableId="152723899">
    <w:abstractNumId w:val="7"/>
  </w:num>
  <w:num w:numId="16" w16cid:durableId="401565787">
    <w:abstractNumId w:val="6"/>
  </w:num>
  <w:num w:numId="17" w16cid:durableId="2081058462">
    <w:abstractNumId w:val="5"/>
  </w:num>
  <w:num w:numId="18" w16cid:durableId="1205026366">
    <w:abstractNumId w:val="4"/>
  </w:num>
  <w:num w:numId="19" w16cid:durableId="1127119422">
    <w:abstractNumId w:val="8"/>
  </w:num>
  <w:num w:numId="20" w16cid:durableId="485366252">
    <w:abstractNumId w:val="3"/>
  </w:num>
  <w:num w:numId="21" w16cid:durableId="1305349447">
    <w:abstractNumId w:val="2"/>
  </w:num>
  <w:num w:numId="22" w16cid:durableId="1215118234">
    <w:abstractNumId w:val="1"/>
  </w:num>
  <w:num w:numId="23" w16cid:durableId="1866289596">
    <w:abstractNumId w:val="0"/>
  </w:num>
  <w:num w:numId="24" w16cid:durableId="1339698083">
    <w:abstractNumId w:val="26"/>
  </w:num>
  <w:num w:numId="25" w16cid:durableId="621889463">
    <w:abstractNumId w:val="29"/>
  </w:num>
  <w:num w:numId="26" w16cid:durableId="1758474731">
    <w:abstractNumId w:val="25"/>
  </w:num>
  <w:num w:numId="27" w16cid:durableId="548342225">
    <w:abstractNumId w:val="17"/>
  </w:num>
  <w:num w:numId="28" w16cid:durableId="803741725">
    <w:abstractNumId w:val="12"/>
  </w:num>
  <w:num w:numId="29" w16cid:durableId="1192110636">
    <w:abstractNumId w:val="30"/>
  </w:num>
  <w:num w:numId="30" w16cid:durableId="2125073700">
    <w:abstractNumId w:val="11"/>
  </w:num>
  <w:num w:numId="31" w16cid:durableId="2941446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PWAFNeedToUniquify" w:val="false"/>
    <w:docVar w:name="APWAFVersion" w:val="5.0"/>
  </w:docVars>
  <w:rsids>
    <w:rsidRoot w:val="005949A1"/>
    <w:rsid w:val="000035CF"/>
    <w:rsid w:val="000155EC"/>
    <w:rsid w:val="00045A72"/>
    <w:rsid w:val="00053A9A"/>
    <w:rsid w:val="000568DF"/>
    <w:rsid w:val="00057E13"/>
    <w:rsid w:val="000658A9"/>
    <w:rsid w:val="000A04BE"/>
    <w:rsid w:val="000A6D8C"/>
    <w:rsid w:val="000D6BAF"/>
    <w:rsid w:val="000E501B"/>
    <w:rsid w:val="000E7270"/>
    <w:rsid w:val="000F28EC"/>
    <w:rsid w:val="000F40F9"/>
    <w:rsid w:val="000F677D"/>
    <w:rsid w:val="001056F6"/>
    <w:rsid w:val="00111C0E"/>
    <w:rsid w:val="00137FDE"/>
    <w:rsid w:val="00152A31"/>
    <w:rsid w:val="0016560B"/>
    <w:rsid w:val="00166C2D"/>
    <w:rsid w:val="001736B2"/>
    <w:rsid w:val="001745D4"/>
    <w:rsid w:val="001A2DDF"/>
    <w:rsid w:val="001C2374"/>
    <w:rsid w:val="001F5A69"/>
    <w:rsid w:val="0020148D"/>
    <w:rsid w:val="00215F62"/>
    <w:rsid w:val="00216FCB"/>
    <w:rsid w:val="00217CEB"/>
    <w:rsid w:val="0023682D"/>
    <w:rsid w:val="00247C44"/>
    <w:rsid w:val="00256E0C"/>
    <w:rsid w:val="00270ECE"/>
    <w:rsid w:val="002916C7"/>
    <w:rsid w:val="00291A28"/>
    <w:rsid w:val="002D4C0F"/>
    <w:rsid w:val="002D60AA"/>
    <w:rsid w:val="002E580C"/>
    <w:rsid w:val="002F24C1"/>
    <w:rsid w:val="003020EB"/>
    <w:rsid w:val="003076B1"/>
    <w:rsid w:val="00311B36"/>
    <w:rsid w:val="00312047"/>
    <w:rsid w:val="00317BEB"/>
    <w:rsid w:val="00317F71"/>
    <w:rsid w:val="00321A87"/>
    <w:rsid w:val="0033189C"/>
    <w:rsid w:val="00341B33"/>
    <w:rsid w:val="0034755B"/>
    <w:rsid w:val="003545DA"/>
    <w:rsid w:val="00357B48"/>
    <w:rsid w:val="00362A53"/>
    <w:rsid w:val="00372B5E"/>
    <w:rsid w:val="003C658B"/>
    <w:rsid w:val="003C6B65"/>
    <w:rsid w:val="003C7B18"/>
    <w:rsid w:val="003D3579"/>
    <w:rsid w:val="003D4620"/>
    <w:rsid w:val="003E041E"/>
    <w:rsid w:val="003F199D"/>
    <w:rsid w:val="00407CD4"/>
    <w:rsid w:val="004132A6"/>
    <w:rsid w:val="00415035"/>
    <w:rsid w:val="004305F0"/>
    <w:rsid w:val="0045055B"/>
    <w:rsid w:val="00454745"/>
    <w:rsid w:val="00460114"/>
    <w:rsid w:val="00461A32"/>
    <w:rsid w:val="00467D75"/>
    <w:rsid w:val="00474CD7"/>
    <w:rsid w:val="004774A6"/>
    <w:rsid w:val="0048613F"/>
    <w:rsid w:val="00486ED2"/>
    <w:rsid w:val="0049222A"/>
    <w:rsid w:val="004B6A01"/>
    <w:rsid w:val="004B6B6B"/>
    <w:rsid w:val="004C2BA8"/>
    <w:rsid w:val="004C5C46"/>
    <w:rsid w:val="004D0180"/>
    <w:rsid w:val="004D1521"/>
    <w:rsid w:val="004D57BA"/>
    <w:rsid w:val="004E4065"/>
    <w:rsid w:val="004F328E"/>
    <w:rsid w:val="005001EB"/>
    <w:rsid w:val="005069CE"/>
    <w:rsid w:val="005256E3"/>
    <w:rsid w:val="00532AB9"/>
    <w:rsid w:val="005348F4"/>
    <w:rsid w:val="00541835"/>
    <w:rsid w:val="00546A76"/>
    <w:rsid w:val="005608AE"/>
    <w:rsid w:val="005618D5"/>
    <w:rsid w:val="0056237A"/>
    <w:rsid w:val="00564246"/>
    <w:rsid w:val="005716DA"/>
    <w:rsid w:val="00584DD9"/>
    <w:rsid w:val="005949A1"/>
    <w:rsid w:val="005D1B0C"/>
    <w:rsid w:val="005E08CC"/>
    <w:rsid w:val="005E338D"/>
    <w:rsid w:val="005F611D"/>
    <w:rsid w:val="00604C82"/>
    <w:rsid w:val="006176D5"/>
    <w:rsid w:val="00630F00"/>
    <w:rsid w:val="00636EF0"/>
    <w:rsid w:val="00644132"/>
    <w:rsid w:val="0065167A"/>
    <w:rsid w:val="00660820"/>
    <w:rsid w:val="006628E2"/>
    <w:rsid w:val="00673A64"/>
    <w:rsid w:val="00674E9E"/>
    <w:rsid w:val="006801A0"/>
    <w:rsid w:val="0068159A"/>
    <w:rsid w:val="0069667F"/>
    <w:rsid w:val="006A4530"/>
    <w:rsid w:val="006B165F"/>
    <w:rsid w:val="006B3D48"/>
    <w:rsid w:val="006C3E44"/>
    <w:rsid w:val="006C643C"/>
    <w:rsid w:val="006D6108"/>
    <w:rsid w:val="006E595B"/>
    <w:rsid w:val="006E79A7"/>
    <w:rsid w:val="006F33F6"/>
    <w:rsid w:val="006F3F89"/>
    <w:rsid w:val="006F7B84"/>
    <w:rsid w:val="0071054B"/>
    <w:rsid w:val="0071414B"/>
    <w:rsid w:val="007154F6"/>
    <w:rsid w:val="00715C61"/>
    <w:rsid w:val="00717631"/>
    <w:rsid w:val="00723E28"/>
    <w:rsid w:val="00724BB3"/>
    <w:rsid w:val="00725E01"/>
    <w:rsid w:val="007462FD"/>
    <w:rsid w:val="00751D1D"/>
    <w:rsid w:val="0075294B"/>
    <w:rsid w:val="00754471"/>
    <w:rsid w:val="00763466"/>
    <w:rsid w:val="00766BCE"/>
    <w:rsid w:val="00781179"/>
    <w:rsid w:val="00787B33"/>
    <w:rsid w:val="007914BC"/>
    <w:rsid w:val="00795F63"/>
    <w:rsid w:val="007A583F"/>
    <w:rsid w:val="007B71AA"/>
    <w:rsid w:val="007C4002"/>
    <w:rsid w:val="007D6801"/>
    <w:rsid w:val="007E2CDB"/>
    <w:rsid w:val="007E5FDF"/>
    <w:rsid w:val="007F4F9B"/>
    <w:rsid w:val="008116B3"/>
    <w:rsid w:val="00820B2C"/>
    <w:rsid w:val="00825E70"/>
    <w:rsid w:val="008556D7"/>
    <w:rsid w:val="00862F61"/>
    <w:rsid w:val="00871337"/>
    <w:rsid w:val="008726B9"/>
    <w:rsid w:val="00872987"/>
    <w:rsid w:val="00881851"/>
    <w:rsid w:val="0088425E"/>
    <w:rsid w:val="008903B5"/>
    <w:rsid w:val="008B16E2"/>
    <w:rsid w:val="008C0327"/>
    <w:rsid w:val="008C43C3"/>
    <w:rsid w:val="008F5BFF"/>
    <w:rsid w:val="00907D9D"/>
    <w:rsid w:val="009319A0"/>
    <w:rsid w:val="00934DA4"/>
    <w:rsid w:val="0094174A"/>
    <w:rsid w:val="0094392B"/>
    <w:rsid w:val="00957F49"/>
    <w:rsid w:val="00972F1E"/>
    <w:rsid w:val="00973D70"/>
    <w:rsid w:val="009966D4"/>
    <w:rsid w:val="009C2433"/>
    <w:rsid w:val="009D1890"/>
    <w:rsid w:val="009E5545"/>
    <w:rsid w:val="009F4069"/>
    <w:rsid w:val="00A052B9"/>
    <w:rsid w:val="00A0561F"/>
    <w:rsid w:val="00A05DF9"/>
    <w:rsid w:val="00A121DA"/>
    <w:rsid w:val="00A225E2"/>
    <w:rsid w:val="00A23C7C"/>
    <w:rsid w:val="00A30EF8"/>
    <w:rsid w:val="00A4181C"/>
    <w:rsid w:val="00A54757"/>
    <w:rsid w:val="00A609C5"/>
    <w:rsid w:val="00A62FBF"/>
    <w:rsid w:val="00A63C00"/>
    <w:rsid w:val="00A83157"/>
    <w:rsid w:val="00A91A9F"/>
    <w:rsid w:val="00AA1AD0"/>
    <w:rsid w:val="00AB72B5"/>
    <w:rsid w:val="00AC0CEA"/>
    <w:rsid w:val="00AC24E1"/>
    <w:rsid w:val="00AC24FF"/>
    <w:rsid w:val="00AD1DF4"/>
    <w:rsid w:val="00AD794B"/>
    <w:rsid w:val="00AF43AE"/>
    <w:rsid w:val="00AF5BE5"/>
    <w:rsid w:val="00B274B9"/>
    <w:rsid w:val="00B40DE8"/>
    <w:rsid w:val="00B64CD2"/>
    <w:rsid w:val="00B74EF4"/>
    <w:rsid w:val="00B77B79"/>
    <w:rsid w:val="00B80126"/>
    <w:rsid w:val="00B85B36"/>
    <w:rsid w:val="00B86604"/>
    <w:rsid w:val="00B86A4B"/>
    <w:rsid w:val="00B92EA7"/>
    <w:rsid w:val="00B97E3B"/>
    <w:rsid w:val="00BB5305"/>
    <w:rsid w:val="00BC0E72"/>
    <w:rsid w:val="00BD09F0"/>
    <w:rsid w:val="00BD3AB7"/>
    <w:rsid w:val="00BD7190"/>
    <w:rsid w:val="00BF371D"/>
    <w:rsid w:val="00BF3FA8"/>
    <w:rsid w:val="00BF7250"/>
    <w:rsid w:val="00C03AE2"/>
    <w:rsid w:val="00C03B75"/>
    <w:rsid w:val="00C07B47"/>
    <w:rsid w:val="00C14B03"/>
    <w:rsid w:val="00C2059B"/>
    <w:rsid w:val="00C43ACF"/>
    <w:rsid w:val="00C43E71"/>
    <w:rsid w:val="00C51FBD"/>
    <w:rsid w:val="00C6651D"/>
    <w:rsid w:val="00C7168D"/>
    <w:rsid w:val="00C75F80"/>
    <w:rsid w:val="00C8228D"/>
    <w:rsid w:val="00C970AD"/>
    <w:rsid w:val="00CA076F"/>
    <w:rsid w:val="00CA4784"/>
    <w:rsid w:val="00CA71BA"/>
    <w:rsid w:val="00CB2ABA"/>
    <w:rsid w:val="00CB4C0F"/>
    <w:rsid w:val="00CB6F5F"/>
    <w:rsid w:val="00CC2EAE"/>
    <w:rsid w:val="00CD5B21"/>
    <w:rsid w:val="00CE0BB5"/>
    <w:rsid w:val="00CE2550"/>
    <w:rsid w:val="00CF0D31"/>
    <w:rsid w:val="00CF10EA"/>
    <w:rsid w:val="00CF2F16"/>
    <w:rsid w:val="00D332F4"/>
    <w:rsid w:val="00D33EDD"/>
    <w:rsid w:val="00D346C6"/>
    <w:rsid w:val="00D401D6"/>
    <w:rsid w:val="00D44E67"/>
    <w:rsid w:val="00D538AE"/>
    <w:rsid w:val="00D7064A"/>
    <w:rsid w:val="00D81992"/>
    <w:rsid w:val="00D921AE"/>
    <w:rsid w:val="00D953DB"/>
    <w:rsid w:val="00D979A1"/>
    <w:rsid w:val="00DA146A"/>
    <w:rsid w:val="00DA38EC"/>
    <w:rsid w:val="00DA4824"/>
    <w:rsid w:val="00DB23F4"/>
    <w:rsid w:val="00DB64DF"/>
    <w:rsid w:val="00DB7C48"/>
    <w:rsid w:val="00DD3353"/>
    <w:rsid w:val="00DD4AB4"/>
    <w:rsid w:val="00DD557F"/>
    <w:rsid w:val="00DD56E8"/>
    <w:rsid w:val="00DE629E"/>
    <w:rsid w:val="00DF2F3D"/>
    <w:rsid w:val="00DF2FAB"/>
    <w:rsid w:val="00E02EAA"/>
    <w:rsid w:val="00E058E0"/>
    <w:rsid w:val="00E102A8"/>
    <w:rsid w:val="00E408E8"/>
    <w:rsid w:val="00E43C47"/>
    <w:rsid w:val="00E45674"/>
    <w:rsid w:val="00E5025A"/>
    <w:rsid w:val="00E5076B"/>
    <w:rsid w:val="00E62B5D"/>
    <w:rsid w:val="00E648F3"/>
    <w:rsid w:val="00E7140B"/>
    <w:rsid w:val="00E742C9"/>
    <w:rsid w:val="00E746C1"/>
    <w:rsid w:val="00E95D2E"/>
    <w:rsid w:val="00EA0C43"/>
    <w:rsid w:val="00EA1B57"/>
    <w:rsid w:val="00EC0555"/>
    <w:rsid w:val="00ED7E8A"/>
    <w:rsid w:val="00EE59EC"/>
    <w:rsid w:val="00EE5AA1"/>
    <w:rsid w:val="00EF55C8"/>
    <w:rsid w:val="00F07193"/>
    <w:rsid w:val="00F11E7E"/>
    <w:rsid w:val="00F12A79"/>
    <w:rsid w:val="00F15D69"/>
    <w:rsid w:val="00F2615F"/>
    <w:rsid w:val="00F34279"/>
    <w:rsid w:val="00F3624A"/>
    <w:rsid w:val="00F37344"/>
    <w:rsid w:val="00F614E3"/>
    <w:rsid w:val="00F77566"/>
    <w:rsid w:val="00F85F97"/>
    <w:rsid w:val="00F93539"/>
    <w:rsid w:val="00FA0F84"/>
    <w:rsid w:val="00FA1F7B"/>
    <w:rsid w:val="00FA653C"/>
    <w:rsid w:val="00FB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DADC3"/>
  <w15:docId w15:val="{942D795A-3B7C-4179-B84B-531B46B0A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8A9"/>
    <w:pPr>
      <w:spacing w:after="80" w:line="240" w:lineRule="auto"/>
    </w:pPr>
    <w:rPr>
      <w:rFonts w:ascii="News Gothic MT" w:hAnsi="News Gothic MT"/>
    </w:rPr>
  </w:style>
  <w:style w:type="paragraph" w:styleId="Heading1">
    <w:name w:val="heading 1"/>
    <w:basedOn w:val="Normal"/>
    <w:next w:val="Normal"/>
    <w:link w:val="Heading1Char"/>
    <w:uiPriority w:val="9"/>
    <w:qFormat/>
    <w:rsid w:val="00B64CD2"/>
    <w:pPr>
      <w:keepNext/>
      <w:keepLines/>
      <w:spacing w:before="120"/>
      <w:outlineLvl w:val="0"/>
    </w:pPr>
    <w:rPr>
      <w:rFonts w:eastAsiaTheme="majorEastAsia" w:cstheme="majorBidi"/>
      <w:color w:val="001C38" w:themeColor="accent1" w:themeShade="BF"/>
      <w:sz w:val="40"/>
      <w:szCs w:val="40"/>
    </w:rPr>
  </w:style>
  <w:style w:type="paragraph" w:styleId="Heading2">
    <w:name w:val="heading 2"/>
    <w:basedOn w:val="Normal"/>
    <w:next w:val="Normal"/>
    <w:link w:val="Heading2Char"/>
    <w:uiPriority w:val="9"/>
    <w:unhideWhenUsed/>
    <w:qFormat/>
    <w:rsid w:val="00B64CD2"/>
    <w:pPr>
      <w:keepNext/>
      <w:keepLines/>
      <w:spacing w:before="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B64CD2"/>
    <w:pPr>
      <w:keepNext/>
      <w:keepLines/>
      <w:spacing w:before="40"/>
      <w:outlineLvl w:val="2"/>
    </w:pPr>
    <w:rPr>
      <w:rFonts w:eastAsiaTheme="majorEastAsia" w:cstheme="majorBidi"/>
      <w:sz w:val="28"/>
      <w:szCs w:val="32"/>
    </w:rPr>
  </w:style>
  <w:style w:type="paragraph" w:styleId="Heading4">
    <w:name w:val="heading 4"/>
    <w:basedOn w:val="Normal"/>
    <w:next w:val="Normal"/>
    <w:link w:val="Heading4Char"/>
    <w:uiPriority w:val="9"/>
    <w:unhideWhenUsed/>
    <w:qFormat/>
    <w:rsid w:val="005949A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949A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949A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949A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949A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949A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qFormat/>
    <w:rsid w:val="00B74EF4"/>
    <w:pPr>
      <w:spacing w:after="0" w:line="240" w:lineRule="auto"/>
    </w:pPr>
    <w:rPr>
      <w:rFonts w:ascii="News Gothic MT" w:hAnsi="News Gothic MT"/>
      <w:bCs/>
      <w:sz w:val="20"/>
    </w:rPr>
  </w:style>
  <w:style w:type="character" w:customStyle="1" w:styleId="Heading1Char">
    <w:name w:val="Heading 1 Char"/>
    <w:basedOn w:val="DefaultParagraphFont"/>
    <w:link w:val="Heading1"/>
    <w:uiPriority w:val="9"/>
    <w:rsid w:val="00B64CD2"/>
    <w:rPr>
      <w:rFonts w:ascii="News Gothic MT" w:eastAsiaTheme="majorEastAsia" w:hAnsi="News Gothic MT" w:cstheme="majorBidi"/>
      <w:color w:val="001C38" w:themeColor="accent1" w:themeShade="BF"/>
      <w:sz w:val="40"/>
      <w:szCs w:val="40"/>
    </w:rPr>
  </w:style>
  <w:style w:type="character" w:customStyle="1" w:styleId="Heading2Char">
    <w:name w:val="Heading 2 Char"/>
    <w:basedOn w:val="DefaultParagraphFont"/>
    <w:link w:val="Heading2"/>
    <w:uiPriority w:val="9"/>
    <w:rsid w:val="00B64CD2"/>
    <w:rPr>
      <w:rFonts w:ascii="News Gothic MT" w:eastAsiaTheme="majorEastAsia" w:hAnsi="News Gothic MT" w:cstheme="majorBidi"/>
      <w:sz w:val="32"/>
      <w:szCs w:val="32"/>
    </w:rPr>
  </w:style>
  <w:style w:type="character" w:customStyle="1" w:styleId="Heading3Char">
    <w:name w:val="Heading 3 Char"/>
    <w:basedOn w:val="DefaultParagraphFont"/>
    <w:link w:val="Heading3"/>
    <w:uiPriority w:val="9"/>
    <w:rsid w:val="00B64CD2"/>
    <w:rPr>
      <w:rFonts w:ascii="News Gothic MT" w:eastAsiaTheme="majorEastAsia" w:hAnsi="News Gothic MT" w:cstheme="majorBidi"/>
      <w:sz w:val="28"/>
      <w:szCs w:val="32"/>
    </w:rPr>
  </w:style>
  <w:style w:type="character" w:customStyle="1" w:styleId="Heading4Char">
    <w:name w:val="Heading 4 Char"/>
    <w:basedOn w:val="DefaultParagraphFont"/>
    <w:link w:val="Heading4"/>
    <w:uiPriority w:val="9"/>
    <w:rsid w:val="005949A1"/>
    <w:rPr>
      <w:rFonts w:asciiTheme="majorHAnsi" w:eastAsiaTheme="majorEastAsia" w:hAnsiTheme="majorHAnsi" w:cstheme="majorBidi"/>
      <w:i/>
      <w:iCs/>
      <w:sz w:val="30"/>
      <w:szCs w:val="30"/>
    </w:rPr>
  </w:style>
  <w:style w:type="paragraph" w:styleId="Caption">
    <w:name w:val="caption"/>
    <w:basedOn w:val="Normal"/>
    <w:next w:val="Normal"/>
    <w:uiPriority w:val="35"/>
    <w:unhideWhenUsed/>
    <w:qFormat/>
    <w:rsid w:val="001056F6"/>
    <w:pPr>
      <w:keepNext/>
      <w:jc w:val="center"/>
    </w:pPr>
    <w:rPr>
      <w:b/>
      <w:bCs/>
      <w:color w:val="404040" w:themeColor="text1" w:themeTint="BF"/>
      <w:sz w:val="20"/>
      <w:szCs w:val="16"/>
    </w:rPr>
  </w:style>
  <w:style w:type="paragraph" w:styleId="Title">
    <w:name w:val="Title"/>
    <w:basedOn w:val="Normal"/>
    <w:next w:val="Normal"/>
    <w:link w:val="TitleChar"/>
    <w:uiPriority w:val="10"/>
    <w:qFormat/>
    <w:rsid w:val="00C6651D"/>
    <w:pPr>
      <w:pBdr>
        <w:top w:val="single" w:sz="6" w:space="8" w:color="A5A5A5" w:themeColor="accent3"/>
        <w:bottom w:val="single" w:sz="6" w:space="8" w:color="A5A5A5" w:themeColor="accent3"/>
      </w:pBdr>
      <w:spacing w:after="400"/>
      <w:contextualSpacing/>
      <w:jc w:val="center"/>
    </w:pPr>
    <w:rPr>
      <w:rFonts w:eastAsiaTheme="majorEastAsia" w:cstheme="majorBidi"/>
      <w:color w:val="44546A" w:themeColor="text2"/>
      <w:sz w:val="40"/>
      <w:szCs w:val="72"/>
    </w:rPr>
  </w:style>
  <w:style w:type="character" w:customStyle="1" w:styleId="TitleChar">
    <w:name w:val="Title Char"/>
    <w:basedOn w:val="DefaultParagraphFont"/>
    <w:link w:val="Title"/>
    <w:uiPriority w:val="10"/>
    <w:rsid w:val="00C6651D"/>
    <w:rPr>
      <w:rFonts w:ascii="News Gothic MT" w:eastAsiaTheme="majorEastAsia" w:hAnsi="News Gothic MT" w:cstheme="majorBidi"/>
      <w:color w:val="44546A" w:themeColor="text2"/>
      <w:sz w:val="40"/>
      <w:szCs w:val="72"/>
    </w:rPr>
  </w:style>
  <w:style w:type="character" w:styleId="Strong">
    <w:name w:val="Strong"/>
    <w:basedOn w:val="DefaultParagraphFont"/>
    <w:uiPriority w:val="22"/>
    <w:qFormat/>
    <w:rsid w:val="005949A1"/>
    <w:rPr>
      <w:b/>
      <w:bCs/>
    </w:rPr>
  </w:style>
  <w:style w:type="character" w:styleId="Emphasis">
    <w:name w:val="Emphasis"/>
    <w:basedOn w:val="DefaultParagraphFont"/>
    <w:uiPriority w:val="20"/>
    <w:qFormat/>
    <w:rsid w:val="005949A1"/>
    <w:rPr>
      <w:i/>
      <w:iCs/>
      <w:color w:val="000000" w:themeColor="text1"/>
    </w:rPr>
  </w:style>
  <w:style w:type="paragraph" w:styleId="NoSpacing">
    <w:name w:val="No Spacing"/>
    <w:uiPriority w:val="1"/>
    <w:qFormat/>
    <w:rsid w:val="005949A1"/>
    <w:pPr>
      <w:spacing w:after="0" w:line="240" w:lineRule="auto"/>
    </w:pPr>
  </w:style>
  <w:style w:type="paragraph" w:styleId="ListParagraph">
    <w:name w:val="List Paragraph"/>
    <w:basedOn w:val="Normal"/>
    <w:uiPriority w:val="34"/>
    <w:qFormat/>
    <w:rsid w:val="009D1890"/>
    <w:pPr>
      <w:numPr>
        <w:numId w:val="29"/>
      </w:numPr>
      <w:contextualSpacing/>
    </w:pPr>
  </w:style>
  <w:style w:type="paragraph" w:styleId="Quote">
    <w:name w:val="Quote"/>
    <w:basedOn w:val="Normal"/>
    <w:next w:val="Normal"/>
    <w:link w:val="QuoteChar"/>
    <w:uiPriority w:val="29"/>
    <w:qFormat/>
    <w:rsid w:val="005949A1"/>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5949A1"/>
    <w:rPr>
      <w:i/>
      <w:iCs/>
      <w:color w:val="7B7B7B" w:themeColor="accent3" w:themeShade="BF"/>
      <w:sz w:val="24"/>
      <w:szCs w:val="24"/>
    </w:rPr>
  </w:style>
  <w:style w:type="character" w:styleId="SubtleEmphasis">
    <w:name w:val="Subtle Emphasis"/>
    <w:basedOn w:val="DefaultParagraphFont"/>
    <w:uiPriority w:val="19"/>
    <w:qFormat/>
    <w:rsid w:val="005949A1"/>
    <w:rPr>
      <w:i/>
      <w:iCs/>
      <w:color w:val="595959" w:themeColor="text1" w:themeTint="A6"/>
    </w:rPr>
  </w:style>
  <w:style w:type="character" w:styleId="IntenseEmphasis">
    <w:name w:val="Intense Emphasis"/>
    <w:basedOn w:val="DefaultParagraphFont"/>
    <w:uiPriority w:val="21"/>
    <w:qFormat/>
    <w:rsid w:val="005949A1"/>
    <w:rPr>
      <w:b/>
      <w:bCs/>
      <w:i/>
      <w:iCs/>
      <w:color w:val="auto"/>
    </w:rPr>
  </w:style>
  <w:style w:type="character" w:styleId="IntenseReference">
    <w:name w:val="Intense Reference"/>
    <w:basedOn w:val="DefaultParagraphFont"/>
    <w:uiPriority w:val="32"/>
    <w:qFormat/>
    <w:rsid w:val="005949A1"/>
    <w:rPr>
      <w:b/>
      <w:bCs/>
      <w:caps w:val="0"/>
      <w:smallCaps/>
      <w:color w:val="auto"/>
      <w:spacing w:val="0"/>
      <w:u w:val="single"/>
    </w:rPr>
  </w:style>
  <w:style w:type="paragraph" w:styleId="TOCHeading">
    <w:name w:val="TOC Heading"/>
    <w:basedOn w:val="Heading1"/>
    <w:next w:val="Normal"/>
    <w:uiPriority w:val="39"/>
    <w:unhideWhenUsed/>
    <w:qFormat/>
    <w:rsid w:val="005949A1"/>
    <w:pPr>
      <w:outlineLvl w:val="9"/>
    </w:pPr>
  </w:style>
  <w:style w:type="character" w:customStyle="1" w:styleId="Heading5Char">
    <w:name w:val="Heading 5 Char"/>
    <w:basedOn w:val="DefaultParagraphFont"/>
    <w:link w:val="Heading5"/>
    <w:uiPriority w:val="9"/>
    <w:semiHidden/>
    <w:rsid w:val="005949A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949A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949A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949A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949A1"/>
    <w:rPr>
      <w:b/>
      <w:bCs/>
      <w:i/>
      <w:iCs/>
    </w:rPr>
  </w:style>
  <w:style w:type="paragraph" w:styleId="Subtitle">
    <w:name w:val="Subtitle"/>
    <w:basedOn w:val="Normal"/>
    <w:next w:val="Normal"/>
    <w:link w:val="SubtitleChar"/>
    <w:uiPriority w:val="11"/>
    <w:qFormat/>
    <w:rsid w:val="005949A1"/>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5949A1"/>
    <w:rPr>
      <w:color w:val="44546A" w:themeColor="text2"/>
      <w:sz w:val="28"/>
      <w:szCs w:val="28"/>
    </w:rPr>
  </w:style>
  <w:style w:type="paragraph" w:styleId="IntenseQuote">
    <w:name w:val="Intense Quote"/>
    <w:basedOn w:val="Normal"/>
    <w:next w:val="Normal"/>
    <w:link w:val="IntenseQuoteChar"/>
    <w:uiPriority w:val="30"/>
    <w:qFormat/>
    <w:rsid w:val="005949A1"/>
    <w:pPr>
      <w:spacing w:before="160" w:line="276" w:lineRule="auto"/>
      <w:ind w:left="936" w:right="936"/>
      <w:jc w:val="center"/>
    </w:pPr>
    <w:rPr>
      <w:rFonts w:asciiTheme="majorHAnsi" w:eastAsiaTheme="majorEastAsia" w:hAnsiTheme="majorHAnsi" w:cstheme="majorBidi"/>
      <w:caps/>
      <w:color w:val="001C38" w:themeColor="accent1" w:themeShade="BF"/>
      <w:sz w:val="28"/>
      <w:szCs w:val="28"/>
    </w:rPr>
  </w:style>
  <w:style w:type="character" w:customStyle="1" w:styleId="IntenseQuoteChar">
    <w:name w:val="Intense Quote Char"/>
    <w:basedOn w:val="DefaultParagraphFont"/>
    <w:link w:val="IntenseQuote"/>
    <w:uiPriority w:val="30"/>
    <w:rsid w:val="005949A1"/>
    <w:rPr>
      <w:rFonts w:asciiTheme="majorHAnsi" w:eastAsiaTheme="majorEastAsia" w:hAnsiTheme="majorHAnsi" w:cstheme="majorBidi"/>
      <w:caps/>
      <w:color w:val="001C38" w:themeColor="accent1" w:themeShade="BF"/>
      <w:sz w:val="28"/>
      <w:szCs w:val="28"/>
    </w:rPr>
  </w:style>
  <w:style w:type="character" w:styleId="SubtleReference">
    <w:name w:val="Subtle Reference"/>
    <w:basedOn w:val="DefaultParagraphFont"/>
    <w:uiPriority w:val="31"/>
    <w:qFormat/>
    <w:rsid w:val="005949A1"/>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949A1"/>
    <w:rPr>
      <w:b/>
      <w:bCs/>
      <w:caps w:val="0"/>
      <w:smallCaps/>
      <w:spacing w:val="0"/>
    </w:rPr>
  </w:style>
  <w:style w:type="table" w:styleId="TableGrid">
    <w:name w:val="Table Grid"/>
    <w:basedOn w:val="TableNormal"/>
    <w:uiPriority w:val="39"/>
    <w:rsid w:val="00FA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651D"/>
    <w:pPr>
      <w:tabs>
        <w:tab w:val="center" w:pos="4680"/>
        <w:tab w:val="right" w:pos="9360"/>
      </w:tabs>
      <w:spacing w:after="0"/>
    </w:pPr>
    <w:rPr>
      <w:sz w:val="16"/>
    </w:rPr>
  </w:style>
  <w:style w:type="character" w:customStyle="1" w:styleId="HeaderChar">
    <w:name w:val="Header Char"/>
    <w:basedOn w:val="DefaultParagraphFont"/>
    <w:link w:val="Header"/>
    <w:uiPriority w:val="99"/>
    <w:rsid w:val="00C6651D"/>
    <w:rPr>
      <w:rFonts w:ascii="News Gothic MT" w:hAnsi="News Gothic MT"/>
      <w:sz w:val="16"/>
    </w:rPr>
  </w:style>
  <w:style w:type="paragraph" w:styleId="Footer">
    <w:name w:val="footer"/>
    <w:basedOn w:val="Normal"/>
    <w:link w:val="FooterChar"/>
    <w:uiPriority w:val="99"/>
    <w:unhideWhenUsed/>
    <w:rsid w:val="00DB23F4"/>
    <w:pPr>
      <w:tabs>
        <w:tab w:val="center" w:pos="4680"/>
        <w:tab w:val="right" w:pos="9360"/>
      </w:tabs>
      <w:spacing w:after="0"/>
    </w:pPr>
  </w:style>
  <w:style w:type="character" w:customStyle="1" w:styleId="FooterChar">
    <w:name w:val="Footer Char"/>
    <w:basedOn w:val="DefaultParagraphFont"/>
    <w:link w:val="Footer"/>
    <w:uiPriority w:val="99"/>
    <w:rsid w:val="00DB23F4"/>
  </w:style>
  <w:style w:type="character" w:styleId="PlaceholderText">
    <w:name w:val="Placeholder Text"/>
    <w:basedOn w:val="DefaultParagraphFont"/>
    <w:uiPriority w:val="99"/>
    <w:semiHidden/>
    <w:rsid w:val="00DB23F4"/>
    <w:rPr>
      <w:color w:val="808080"/>
    </w:rPr>
  </w:style>
  <w:style w:type="table" w:styleId="GridTable4-Accent5">
    <w:name w:val="Grid Table 4 Accent 5"/>
    <w:basedOn w:val="TableNormal"/>
    <w:uiPriority w:val="49"/>
    <w:rsid w:val="00795F6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644132"/>
    <w:pPr>
      <w:spacing w:after="0"/>
    </w:pPr>
    <w:rPr>
      <w:sz w:val="20"/>
      <w:szCs w:val="20"/>
    </w:rPr>
  </w:style>
  <w:style w:type="character" w:customStyle="1" w:styleId="FootnoteTextChar">
    <w:name w:val="Footnote Text Char"/>
    <w:basedOn w:val="DefaultParagraphFont"/>
    <w:link w:val="FootnoteText"/>
    <w:uiPriority w:val="99"/>
    <w:semiHidden/>
    <w:rsid w:val="00644132"/>
    <w:rPr>
      <w:sz w:val="20"/>
      <w:szCs w:val="20"/>
    </w:rPr>
  </w:style>
  <w:style w:type="character" w:styleId="FootnoteReference">
    <w:name w:val="footnote reference"/>
    <w:basedOn w:val="DefaultParagraphFont"/>
    <w:uiPriority w:val="99"/>
    <w:semiHidden/>
    <w:unhideWhenUsed/>
    <w:rsid w:val="00644132"/>
    <w:rPr>
      <w:vertAlign w:val="superscript"/>
    </w:rPr>
  </w:style>
  <w:style w:type="paragraph" w:styleId="TOC1">
    <w:name w:val="toc 1"/>
    <w:basedOn w:val="Normal"/>
    <w:next w:val="Normal"/>
    <w:autoRedefine/>
    <w:uiPriority w:val="39"/>
    <w:unhideWhenUsed/>
    <w:rsid w:val="006801A0"/>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rsid w:val="006801A0"/>
    <w:pPr>
      <w:spacing w:before="120" w:after="0"/>
    </w:pPr>
    <w:rPr>
      <w:b/>
      <w:bCs/>
      <w:sz w:val="20"/>
      <w:szCs w:val="20"/>
    </w:rPr>
  </w:style>
  <w:style w:type="character" w:styleId="Hyperlink">
    <w:name w:val="Hyperlink"/>
    <w:basedOn w:val="DefaultParagraphFont"/>
    <w:uiPriority w:val="99"/>
    <w:unhideWhenUsed/>
    <w:rsid w:val="006B165F"/>
    <w:rPr>
      <w:rFonts w:ascii="News Gothic MT" w:hAnsi="News Gothic MT"/>
      <w:color w:val="0563C1" w:themeColor="hyperlink"/>
      <w:u w:val="single"/>
    </w:rPr>
  </w:style>
  <w:style w:type="paragraph" w:styleId="TOC3">
    <w:name w:val="toc 3"/>
    <w:basedOn w:val="Normal"/>
    <w:next w:val="Normal"/>
    <w:autoRedefine/>
    <w:uiPriority w:val="39"/>
    <w:unhideWhenUsed/>
    <w:rsid w:val="00E742C9"/>
    <w:pPr>
      <w:spacing w:after="0"/>
      <w:ind w:left="210"/>
    </w:pPr>
    <w:rPr>
      <w:sz w:val="20"/>
      <w:szCs w:val="20"/>
    </w:rPr>
  </w:style>
  <w:style w:type="paragraph" w:styleId="TOC4">
    <w:name w:val="toc 4"/>
    <w:basedOn w:val="Normal"/>
    <w:next w:val="Normal"/>
    <w:autoRedefine/>
    <w:uiPriority w:val="39"/>
    <w:unhideWhenUsed/>
    <w:rsid w:val="00E742C9"/>
    <w:pPr>
      <w:spacing w:after="0"/>
      <w:ind w:left="420"/>
    </w:pPr>
    <w:rPr>
      <w:sz w:val="20"/>
      <w:szCs w:val="20"/>
    </w:rPr>
  </w:style>
  <w:style w:type="paragraph" w:styleId="TOC5">
    <w:name w:val="toc 5"/>
    <w:basedOn w:val="Normal"/>
    <w:next w:val="Normal"/>
    <w:autoRedefine/>
    <w:uiPriority w:val="39"/>
    <w:unhideWhenUsed/>
    <w:rsid w:val="00E742C9"/>
    <w:pPr>
      <w:spacing w:after="0"/>
      <w:ind w:left="630"/>
    </w:pPr>
    <w:rPr>
      <w:sz w:val="20"/>
      <w:szCs w:val="20"/>
    </w:rPr>
  </w:style>
  <w:style w:type="paragraph" w:styleId="TOC6">
    <w:name w:val="toc 6"/>
    <w:basedOn w:val="Normal"/>
    <w:next w:val="Normal"/>
    <w:autoRedefine/>
    <w:uiPriority w:val="39"/>
    <w:unhideWhenUsed/>
    <w:rsid w:val="00E742C9"/>
    <w:pPr>
      <w:spacing w:after="0"/>
      <w:ind w:left="840"/>
    </w:pPr>
    <w:rPr>
      <w:sz w:val="20"/>
      <w:szCs w:val="20"/>
    </w:rPr>
  </w:style>
  <w:style w:type="paragraph" w:styleId="TOC7">
    <w:name w:val="toc 7"/>
    <w:basedOn w:val="Normal"/>
    <w:next w:val="Normal"/>
    <w:autoRedefine/>
    <w:uiPriority w:val="39"/>
    <w:unhideWhenUsed/>
    <w:rsid w:val="00E742C9"/>
    <w:pPr>
      <w:spacing w:after="0"/>
      <w:ind w:left="1050"/>
    </w:pPr>
    <w:rPr>
      <w:sz w:val="20"/>
      <w:szCs w:val="20"/>
    </w:rPr>
  </w:style>
  <w:style w:type="paragraph" w:styleId="TOC8">
    <w:name w:val="toc 8"/>
    <w:basedOn w:val="Normal"/>
    <w:next w:val="Normal"/>
    <w:autoRedefine/>
    <w:uiPriority w:val="39"/>
    <w:unhideWhenUsed/>
    <w:rsid w:val="00E742C9"/>
    <w:pPr>
      <w:spacing w:after="0"/>
      <w:ind w:left="1260"/>
    </w:pPr>
    <w:rPr>
      <w:sz w:val="20"/>
      <w:szCs w:val="20"/>
    </w:rPr>
  </w:style>
  <w:style w:type="paragraph" w:styleId="TOC9">
    <w:name w:val="toc 9"/>
    <w:basedOn w:val="Normal"/>
    <w:next w:val="Normal"/>
    <w:autoRedefine/>
    <w:uiPriority w:val="39"/>
    <w:unhideWhenUsed/>
    <w:rsid w:val="00E742C9"/>
    <w:pPr>
      <w:spacing w:after="0"/>
      <w:ind w:left="1470"/>
    </w:pPr>
    <w:rPr>
      <w:sz w:val="20"/>
      <w:szCs w:val="20"/>
    </w:rPr>
  </w:style>
  <w:style w:type="character" w:styleId="UnresolvedMention">
    <w:name w:val="Unresolved Mention"/>
    <w:basedOn w:val="DefaultParagraphFont"/>
    <w:uiPriority w:val="99"/>
    <w:semiHidden/>
    <w:unhideWhenUsed/>
    <w:rsid w:val="00415035"/>
    <w:rPr>
      <w:color w:val="605E5C"/>
      <w:shd w:val="clear" w:color="auto" w:fill="E1DFDD"/>
    </w:rPr>
  </w:style>
  <w:style w:type="character" w:styleId="LineNumber">
    <w:name w:val="line number"/>
    <w:basedOn w:val="DefaultParagraphFont"/>
    <w:uiPriority w:val="99"/>
    <w:semiHidden/>
    <w:unhideWhenUsed/>
    <w:rsid w:val="00CD5B21"/>
  </w:style>
  <w:style w:type="paragraph" w:styleId="TableofFigures">
    <w:name w:val="table of figures"/>
    <w:basedOn w:val="Normal"/>
    <w:next w:val="Normal"/>
    <w:uiPriority w:val="99"/>
    <w:unhideWhenUsed/>
    <w:rsid w:val="006D6108"/>
    <w:pPr>
      <w:spacing w:after="0"/>
    </w:pPr>
  </w:style>
  <w:style w:type="table" w:styleId="ListTable3-Accent1">
    <w:name w:val="List Table 3 Accent 1"/>
    <w:basedOn w:val="TableNormal"/>
    <w:uiPriority w:val="48"/>
    <w:rsid w:val="00B74EF4"/>
    <w:pPr>
      <w:spacing w:after="0" w:line="240" w:lineRule="auto"/>
    </w:pPr>
    <w:tblPr>
      <w:tblStyleRowBandSize w:val="1"/>
      <w:tblStyleColBandSize w:val="1"/>
      <w:tblBorders>
        <w:top w:val="single" w:sz="4" w:space="0" w:color="00274C" w:themeColor="accent1"/>
        <w:left w:val="single" w:sz="4" w:space="0" w:color="00274C" w:themeColor="accent1"/>
        <w:bottom w:val="single" w:sz="4" w:space="0" w:color="00274C" w:themeColor="accent1"/>
        <w:right w:val="single" w:sz="4" w:space="0" w:color="00274C" w:themeColor="accent1"/>
      </w:tblBorders>
    </w:tblPr>
    <w:tblStylePr w:type="firstRow">
      <w:rPr>
        <w:b/>
        <w:bCs/>
        <w:color w:val="FFFFFF" w:themeColor="background1"/>
      </w:rPr>
      <w:tblPr/>
      <w:tcPr>
        <w:shd w:val="clear" w:color="auto" w:fill="00274C" w:themeFill="accent1"/>
      </w:tcPr>
    </w:tblStylePr>
    <w:tblStylePr w:type="lastRow">
      <w:rPr>
        <w:b/>
        <w:bCs/>
      </w:rPr>
      <w:tblPr/>
      <w:tcPr>
        <w:tcBorders>
          <w:top w:val="double" w:sz="4" w:space="0" w:color="0027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74C" w:themeColor="accent1"/>
          <w:right w:val="single" w:sz="4" w:space="0" w:color="00274C" w:themeColor="accent1"/>
        </w:tcBorders>
      </w:tcPr>
    </w:tblStylePr>
    <w:tblStylePr w:type="band1Horz">
      <w:tblPr/>
      <w:tcPr>
        <w:tcBorders>
          <w:top w:val="single" w:sz="4" w:space="0" w:color="00274C" w:themeColor="accent1"/>
          <w:bottom w:val="single" w:sz="4" w:space="0" w:color="0027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74C" w:themeColor="accent1"/>
          <w:left w:val="nil"/>
        </w:tcBorders>
      </w:tcPr>
    </w:tblStylePr>
    <w:tblStylePr w:type="swCell">
      <w:tblPr/>
      <w:tcPr>
        <w:tcBorders>
          <w:top w:val="double" w:sz="4" w:space="0" w:color="00274C" w:themeColor="accent1"/>
          <w:right w:val="nil"/>
        </w:tcBorders>
      </w:tcPr>
    </w:tblStylePr>
  </w:style>
  <w:style w:type="table" w:styleId="PlainTable5">
    <w:name w:val="Plain Table 5"/>
    <w:basedOn w:val="TableNormal"/>
    <w:uiPriority w:val="45"/>
    <w:rsid w:val="00F373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373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DE62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7125">
      <w:bodyDiv w:val="1"/>
      <w:marLeft w:val="0"/>
      <w:marRight w:val="0"/>
      <w:marTop w:val="0"/>
      <w:marBottom w:val="0"/>
      <w:divBdr>
        <w:top w:val="none" w:sz="0" w:space="0" w:color="auto"/>
        <w:left w:val="none" w:sz="0" w:space="0" w:color="auto"/>
        <w:bottom w:val="none" w:sz="0" w:space="0" w:color="auto"/>
        <w:right w:val="none" w:sz="0" w:space="0" w:color="auto"/>
      </w:divBdr>
      <w:divsChild>
        <w:div w:id="1988128800">
          <w:marLeft w:val="0"/>
          <w:marRight w:val="0"/>
          <w:marTop w:val="0"/>
          <w:marBottom w:val="0"/>
          <w:divBdr>
            <w:top w:val="none" w:sz="0" w:space="0" w:color="auto"/>
            <w:left w:val="none" w:sz="0" w:space="0" w:color="auto"/>
            <w:bottom w:val="none" w:sz="0" w:space="0" w:color="auto"/>
            <w:right w:val="none" w:sz="0" w:space="0" w:color="auto"/>
          </w:divBdr>
          <w:divsChild>
            <w:div w:id="651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175">
      <w:bodyDiv w:val="1"/>
      <w:marLeft w:val="0"/>
      <w:marRight w:val="0"/>
      <w:marTop w:val="0"/>
      <w:marBottom w:val="0"/>
      <w:divBdr>
        <w:top w:val="none" w:sz="0" w:space="0" w:color="auto"/>
        <w:left w:val="none" w:sz="0" w:space="0" w:color="auto"/>
        <w:bottom w:val="none" w:sz="0" w:space="0" w:color="auto"/>
        <w:right w:val="none" w:sz="0" w:space="0" w:color="auto"/>
      </w:divBdr>
      <w:divsChild>
        <w:div w:id="683674415">
          <w:marLeft w:val="-225"/>
          <w:marRight w:val="-225"/>
          <w:marTop w:val="0"/>
          <w:marBottom w:val="0"/>
          <w:divBdr>
            <w:top w:val="none" w:sz="0" w:space="0" w:color="auto"/>
            <w:left w:val="none" w:sz="0" w:space="0" w:color="auto"/>
            <w:bottom w:val="none" w:sz="0" w:space="0" w:color="auto"/>
            <w:right w:val="none" w:sz="0" w:space="0" w:color="auto"/>
          </w:divBdr>
          <w:divsChild>
            <w:div w:id="481430423">
              <w:marLeft w:val="0"/>
              <w:marRight w:val="0"/>
              <w:marTop w:val="0"/>
              <w:marBottom w:val="0"/>
              <w:divBdr>
                <w:top w:val="none" w:sz="0" w:space="0" w:color="auto"/>
                <w:left w:val="none" w:sz="0" w:space="0" w:color="auto"/>
                <w:bottom w:val="none" w:sz="0" w:space="0" w:color="auto"/>
                <w:right w:val="none" w:sz="0" w:space="0" w:color="auto"/>
              </w:divBdr>
              <w:divsChild>
                <w:div w:id="21018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5202">
          <w:marLeft w:val="-225"/>
          <w:marRight w:val="-225"/>
          <w:marTop w:val="0"/>
          <w:marBottom w:val="0"/>
          <w:divBdr>
            <w:top w:val="none" w:sz="0" w:space="0" w:color="auto"/>
            <w:left w:val="none" w:sz="0" w:space="0" w:color="auto"/>
            <w:bottom w:val="none" w:sz="0" w:space="0" w:color="auto"/>
            <w:right w:val="none" w:sz="0" w:space="0" w:color="auto"/>
          </w:divBdr>
          <w:divsChild>
            <w:div w:id="1035346789">
              <w:marLeft w:val="0"/>
              <w:marRight w:val="0"/>
              <w:marTop w:val="0"/>
              <w:marBottom w:val="0"/>
              <w:divBdr>
                <w:top w:val="none" w:sz="0" w:space="0" w:color="auto"/>
                <w:left w:val="none" w:sz="0" w:space="0" w:color="auto"/>
                <w:bottom w:val="none" w:sz="0" w:space="0" w:color="auto"/>
                <w:right w:val="none" w:sz="0" w:space="0" w:color="auto"/>
              </w:divBdr>
              <w:divsChild>
                <w:div w:id="1970476589">
                  <w:marLeft w:val="0"/>
                  <w:marRight w:val="0"/>
                  <w:marTop w:val="0"/>
                  <w:marBottom w:val="0"/>
                  <w:divBdr>
                    <w:top w:val="none" w:sz="0" w:space="0" w:color="auto"/>
                    <w:left w:val="none" w:sz="0" w:space="0" w:color="auto"/>
                    <w:bottom w:val="none" w:sz="0" w:space="0" w:color="auto"/>
                    <w:right w:val="none" w:sz="0" w:space="0" w:color="auto"/>
                  </w:divBdr>
                  <w:divsChild>
                    <w:div w:id="1354921258">
                      <w:marLeft w:val="0"/>
                      <w:marRight w:val="0"/>
                      <w:marTop w:val="0"/>
                      <w:marBottom w:val="0"/>
                      <w:divBdr>
                        <w:top w:val="none" w:sz="0" w:space="0" w:color="auto"/>
                        <w:left w:val="none" w:sz="0" w:space="0" w:color="auto"/>
                        <w:bottom w:val="none" w:sz="0" w:space="0" w:color="auto"/>
                        <w:right w:val="none" w:sz="0" w:space="0" w:color="auto"/>
                      </w:divBdr>
                      <w:divsChild>
                        <w:div w:id="1490251486">
                          <w:marLeft w:val="0"/>
                          <w:marRight w:val="0"/>
                          <w:marTop w:val="0"/>
                          <w:marBottom w:val="0"/>
                          <w:divBdr>
                            <w:top w:val="none" w:sz="0" w:space="0" w:color="auto"/>
                            <w:left w:val="none" w:sz="0" w:space="0" w:color="auto"/>
                            <w:bottom w:val="none" w:sz="0" w:space="0" w:color="auto"/>
                            <w:right w:val="none" w:sz="0" w:space="0" w:color="auto"/>
                          </w:divBdr>
                          <w:divsChild>
                            <w:div w:id="656420533">
                              <w:marLeft w:val="0"/>
                              <w:marRight w:val="0"/>
                              <w:marTop w:val="0"/>
                              <w:marBottom w:val="0"/>
                              <w:divBdr>
                                <w:top w:val="none" w:sz="0" w:space="0" w:color="auto"/>
                                <w:left w:val="none" w:sz="0" w:space="0" w:color="auto"/>
                                <w:bottom w:val="none" w:sz="0" w:space="0" w:color="auto"/>
                                <w:right w:val="none" w:sz="0" w:space="0" w:color="auto"/>
                              </w:divBdr>
                              <w:divsChild>
                                <w:div w:id="10692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003299">
      <w:bodyDiv w:val="1"/>
      <w:marLeft w:val="0"/>
      <w:marRight w:val="0"/>
      <w:marTop w:val="0"/>
      <w:marBottom w:val="0"/>
      <w:divBdr>
        <w:top w:val="none" w:sz="0" w:space="0" w:color="auto"/>
        <w:left w:val="none" w:sz="0" w:space="0" w:color="auto"/>
        <w:bottom w:val="none" w:sz="0" w:space="0" w:color="auto"/>
        <w:right w:val="none" w:sz="0" w:space="0" w:color="auto"/>
      </w:divBdr>
    </w:div>
    <w:div w:id="1942716294">
      <w:bodyDiv w:val="1"/>
      <w:marLeft w:val="0"/>
      <w:marRight w:val="0"/>
      <w:marTop w:val="0"/>
      <w:marBottom w:val="0"/>
      <w:divBdr>
        <w:top w:val="none" w:sz="0" w:space="0" w:color="auto"/>
        <w:left w:val="none" w:sz="0" w:space="0" w:color="auto"/>
        <w:bottom w:val="none" w:sz="0" w:space="0" w:color="auto"/>
        <w:right w:val="none" w:sz="0" w:space="0" w:color="auto"/>
      </w:divBdr>
      <w:divsChild>
        <w:div w:id="1792163220">
          <w:marLeft w:val="0"/>
          <w:marRight w:val="0"/>
          <w:marTop w:val="0"/>
          <w:marBottom w:val="0"/>
          <w:divBdr>
            <w:top w:val="none" w:sz="0" w:space="0" w:color="auto"/>
            <w:left w:val="none" w:sz="0" w:space="0" w:color="auto"/>
            <w:bottom w:val="none" w:sz="0" w:space="0" w:color="auto"/>
            <w:right w:val="none" w:sz="0" w:space="0" w:color="auto"/>
          </w:divBdr>
          <w:divsChild>
            <w:div w:id="16273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8C11EF4FF64D20BF4A583FBB347240"/>
        <w:category>
          <w:name w:val="General"/>
          <w:gallery w:val="placeholder"/>
        </w:category>
        <w:types>
          <w:type w:val="bbPlcHdr"/>
        </w:types>
        <w:behaviors>
          <w:behavior w:val="content"/>
        </w:behaviors>
        <w:guid w:val="{A551F9C8-FBBE-4048-A73A-22D7C181A5E5}"/>
      </w:docPartPr>
      <w:docPartBody>
        <w:p w:rsidR="004B0375" w:rsidRDefault="007B479C">
          <w:r w:rsidRPr="00AB3952">
            <w:rPr>
              <w:rStyle w:val="PlaceholderText"/>
            </w:rPr>
            <w:t>[Title]</w:t>
          </w:r>
        </w:p>
      </w:docPartBody>
    </w:docPart>
    <w:docPart>
      <w:docPartPr>
        <w:name w:val="2987E3534C794FE1819BADA8A36A9AEE"/>
        <w:category>
          <w:name w:val="General"/>
          <w:gallery w:val="placeholder"/>
        </w:category>
        <w:types>
          <w:type w:val="bbPlcHdr"/>
        </w:types>
        <w:behaviors>
          <w:behavior w:val="content"/>
        </w:behaviors>
        <w:guid w:val="{AD295374-411A-437E-A4D6-6FD0318A382A}"/>
      </w:docPartPr>
      <w:docPartBody>
        <w:p w:rsidR="00B83AB3" w:rsidRDefault="00FB2683">
          <w:r w:rsidRPr="00071D76">
            <w:rPr>
              <w:rStyle w:val="PlaceholderText"/>
            </w:rPr>
            <w:t>[Title]</w:t>
          </w:r>
        </w:p>
      </w:docPartBody>
    </w:docPart>
    <w:docPart>
      <w:docPartPr>
        <w:name w:val="617B481C97754047A78F285E3CD7A6B3"/>
        <w:category>
          <w:name w:val="General"/>
          <w:gallery w:val="placeholder"/>
        </w:category>
        <w:types>
          <w:type w:val="bbPlcHdr"/>
        </w:types>
        <w:behaviors>
          <w:behavior w:val="content"/>
        </w:behaviors>
        <w:guid w:val="{5A6AF3B6-6812-4D1B-B00F-CE07EDF59AB9}"/>
      </w:docPartPr>
      <w:docPartBody>
        <w:p w:rsidR="00E860D2" w:rsidRDefault="00E860D2" w:rsidP="00E860D2">
          <w:pPr>
            <w:pStyle w:val="617B481C97754047A78F285E3CD7A6B3"/>
          </w:pPr>
          <w:r w:rsidRPr="00AB3952">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News Gothic MT">
    <w:altName w:val="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9C"/>
    <w:rsid w:val="00085D36"/>
    <w:rsid w:val="000D4CDE"/>
    <w:rsid w:val="00100315"/>
    <w:rsid w:val="00114A84"/>
    <w:rsid w:val="00116C28"/>
    <w:rsid w:val="00147496"/>
    <w:rsid w:val="00287A3C"/>
    <w:rsid w:val="003D53E7"/>
    <w:rsid w:val="00425C6C"/>
    <w:rsid w:val="004B0375"/>
    <w:rsid w:val="004D3672"/>
    <w:rsid w:val="005337B4"/>
    <w:rsid w:val="005D5877"/>
    <w:rsid w:val="005E70B2"/>
    <w:rsid w:val="007B479C"/>
    <w:rsid w:val="008021D2"/>
    <w:rsid w:val="0085493C"/>
    <w:rsid w:val="008C5AAD"/>
    <w:rsid w:val="009715BC"/>
    <w:rsid w:val="00A425EB"/>
    <w:rsid w:val="00B32D2F"/>
    <w:rsid w:val="00B83AB3"/>
    <w:rsid w:val="00C02A98"/>
    <w:rsid w:val="00D83166"/>
    <w:rsid w:val="00DB2529"/>
    <w:rsid w:val="00DF33F5"/>
    <w:rsid w:val="00E12B4C"/>
    <w:rsid w:val="00E62FBD"/>
    <w:rsid w:val="00E860D2"/>
    <w:rsid w:val="00F65A5E"/>
    <w:rsid w:val="00F760B9"/>
    <w:rsid w:val="00FB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9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60D2"/>
    <w:rPr>
      <w:color w:val="808080"/>
    </w:rPr>
  </w:style>
  <w:style w:type="paragraph" w:customStyle="1" w:styleId="617B481C97754047A78F285E3CD7A6B3">
    <w:name w:val="617B481C97754047A78F285E3CD7A6B3"/>
    <w:rsid w:val="00E860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ividend">
  <a:themeElements>
    <a:clrScheme name="University of Michigan">
      <a:dk1>
        <a:sysClr val="windowText" lastClr="000000"/>
      </a:dk1>
      <a:lt1>
        <a:sysClr val="window" lastClr="FFFFFF"/>
      </a:lt1>
      <a:dk2>
        <a:srgbClr val="44546A"/>
      </a:dk2>
      <a:lt2>
        <a:srgbClr val="E7E6E6"/>
      </a:lt2>
      <a:accent1>
        <a:srgbClr val="00274C"/>
      </a:accent1>
      <a:accent2>
        <a:srgbClr val="ED7D31"/>
      </a:accent2>
      <a:accent3>
        <a:srgbClr val="A5A5A5"/>
      </a:accent3>
      <a:accent4>
        <a:srgbClr val="FFCB05"/>
      </a:accent4>
      <a:accent5>
        <a:srgbClr val="5B9BD5"/>
      </a:accent5>
      <a:accent6>
        <a:srgbClr val="70AD47"/>
      </a:accent6>
      <a:hlink>
        <a:srgbClr val="0563C1"/>
      </a:hlink>
      <a:folHlink>
        <a:srgbClr val="954F72"/>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B0AF9-F9AE-4C45-A821-B31C6AE0A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3720</TotalTime>
  <Pages>7</Pages>
  <Words>2384</Words>
  <Characters>13593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The Best Time of Day to Trade – An Analysis of Intraday Spread</vt:lpstr>
    </vt:vector>
  </TitlesOfParts>
  <Company/>
  <LinksUpToDate>false</LinksUpToDate>
  <CharactersWithSpaces>15946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Best Time of Day to Trade – An Analysis of Intraday Spread</dc:title>
  <dc:subject/>
  <dc:creator>Jason Hall</dc:creator>
  <cp:keywords/>
  <dc:description/>
  <cp:lastModifiedBy>Li, Jikun</cp:lastModifiedBy>
  <cp:revision>35</cp:revision>
  <cp:lastPrinted>2022-12-07T05:08:00Z</cp:lastPrinted>
  <dcterms:created xsi:type="dcterms:W3CDTF">2022-11-30T03:53:00Z</dcterms:created>
  <dcterms:modified xsi:type="dcterms:W3CDTF">2022-12-08T19:14:00Z</dcterms:modified>
</cp:coreProperties>
</file>