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FF" w:rsidRDefault="00FD7BD5" w:rsidP="003423FF">
      <w:pPr>
        <w:rPr>
          <w:rFonts w:ascii="Arial" w:hAnsi="Arial" w:cs="Arial"/>
          <w:b/>
        </w:rPr>
      </w:pPr>
      <w:r w:rsidRPr="00FD7BD5">
        <w:rPr>
          <w:rFonts w:ascii="Arial" w:hAnsi="Arial" w:cs="Arial"/>
          <w:b/>
        </w:rPr>
        <w:t>DeepCyTOF</w:t>
      </w:r>
      <w:r w:rsidR="003423FF" w:rsidRPr="00FD7BD5">
        <w:rPr>
          <w:rFonts w:ascii="Arial" w:hAnsi="Arial" w:cs="Arial"/>
          <w:b/>
        </w:rPr>
        <w:t xml:space="preserve"> </w:t>
      </w:r>
    </w:p>
    <w:p w:rsidR="00D24407" w:rsidRPr="00D24407" w:rsidRDefault="00D24407" w:rsidP="003423FF">
      <w:pPr>
        <w:rPr>
          <w:rFonts w:ascii="Arial" w:hAnsi="Arial" w:cs="Arial"/>
        </w:rPr>
      </w:pPr>
      <w:hyperlink r:id="rId5" w:history="1">
        <w:r w:rsidRPr="00D24407">
          <w:rPr>
            <w:rStyle w:val="Hyperlink"/>
            <w:rFonts w:ascii="Arial" w:hAnsi="Arial" w:cs="Arial"/>
          </w:rPr>
          <w:t>https://www.ncbi.nlm.nih.gov/pubmed/29036374</w:t>
        </w:r>
      </w:hyperlink>
    </w:p>
    <w:p w:rsidR="00D24407" w:rsidRDefault="00D24407" w:rsidP="003423FF">
      <w:pPr>
        <w:rPr>
          <w:rFonts w:ascii="Arial" w:hAnsi="Arial" w:cs="Arial"/>
          <w:b/>
        </w:rPr>
      </w:pPr>
      <w:hyperlink r:id="rId6" w:history="1">
        <w:r>
          <w:rPr>
            <w:rStyle w:val="Hyperlink"/>
          </w:rPr>
          <w:t>https://github.com/hzc363/DeepLearningCyTOF</w:t>
        </w:r>
      </w:hyperlink>
    </w:p>
    <w:p w:rsidR="008B3A10" w:rsidRDefault="008B3A10" w:rsidP="003423FF">
      <w:pPr>
        <w:rPr>
          <w:rFonts w:ascii="Arial" w:hAnsi="Arial" w:cs="Arial"/>
        </w:rPr>
      </w:pPr>
      <w:r w:rsidRPr="00FD7BD5">
        <w:rPr>
          <w:rFonts w:ascii="Arial" w:hAnsi="Arial" w:cs="Arial"/>
          <w:b/>
        </w:rPr>
        <w:t>DeepCyTOF</w:t>
      </w:r>
      <w:r w:rsidRPr="008B3A10">
        <w:rPr>
          <w:rFonts w:ascii="Arial" w:hAnsi="Arial" w:cs="Arial"/>
        </w:rPr>
        <w:t xml:space="preserve"> is to assign individual cells to known cell types. To accomplish this, DeepCyTOF methods first group </w:t>
      </w:r>
      <w:r>
        <w:rPr>
          <w:rFonts w:ascii="Arial" w:hAnsi="Arial" w:cs="Arial"/>
        </w:rPr>
        <w:t xml:space="preserve">and calibrate </w:t>
      </w:r>
      <w:r w:rsidRPr="008B3A10">
        <w:rPr>
          <w:rFonts w:ascii="Arial" w:hAnsi="Arial" w:cs="Arial"/>
        </w:rPr>
        <w:t xml:space="preserve">the cells into different clusters </w:t>
      </w:r>
      <w:r>
        <w:rPr>
          <w:rFonts w:ascii="Arial" w:hAnsi="Arial" w:cs="Arial"/>
        </w:rPr>
        <w:t xml:space="preserve">to both </w:t>
      </w:r>
      <w:r w:rsidRPr="0064392A">
        <w:rPr>
          <w:rFonts w:ascii="Arial" w:hAnsi="Arial" w:cs="Arial"/>
        </w:rPr>
        <w:t>reference source sample</w:t>
      </w:r>
      <w:r>
        <w:rPr>
          <w:rFonts w:ascii="Arial" w:hAnsi="Arial" w:cs="Arial"/>
        </w:rPr>
        <w:t>s and target samples</w:t>
      </w:r>
      <w:r w:rsidRPr="008B3A10">
        <w:rPr>
          <w:rFonts w:ascii="Arial" w:hAnsi="Arial" w:cs="Arial"/>
        </w:rPr>
        <w:t xml:space="preserve">, then find marker genes, and finally use these to manually assign </w:t>
      </w:r>
      <w:r>
        <w:rPr>
          <w:rFonts w:ascii="Arial" w:hAnsi="Arial" w:cs="Arial"/>
        </w:rPr>
        <w:t xml:space="preserve">target </w:t>
      </w:r>
      <w:r w:rsidRPr="008B3A10">
        <w:rPr>
          <w:rFonts w:ascii="Arial" w:hAnsi="Arial" w:cs="Arial"/>
        </w:rPr>
        <w:t>cell types for each cluster</w:t>
      </w:r>
      <w:r>
        <w:rPr>
          <w:rFonts w:ascii="Arial" w:hAnsi="Arial" w:cs="Arial"/>
        </w:rPr>
        <w:t xml:space="preserve"> and identify its cell types</w:t>
      </w:r>
      <w:r w:rsidRPr="008B3A10">
        <w:rPr>
          <w:rFonts w:ascii="Arial" w:hAnsi="Arial" w:cs="Arial"/>
        </w:rPr>
        <w:t>.</w:t>
      </w:r>
      <w:r w:rsidR="008235A2" w:rsidRPr="008235A2">
        <w:rPr>
          <w:rFonts w:ascii="Arial" w:hAnsi="Arial" w:cs="Arial"/>
          <w:b/>
        </w:rPr>
        <w:t xml:space="preserve"> </w:t>
      </w:r>
      <w:r w:rsidR="008235A2" w:rsidRPr="00FD7BD5">
        <w:rPr>
          <w:rFonts w:ascii="Arial" w:hAnsi="Arial" w:cs="Arial"/>
          <w:b/>
        </w:rPr>
        <w:t>DeepCyTOF</w:t>
      </w:r>
      <w:r w:rsidR="008235A2" w:rsidRPr="00FD7BD5">
        <w:rPr>
          <w:rFonts w:ascii="Arial" w:hAnsi="Arial" w:cs="Arial"/>
        </w:rPr>
        <w:t xml:space="preserve"> achieved the classification</w:t>
      </w:r>
      <w:r w:rsidR="008235A2">
        <w:rPr>
          <w:rFonts w:ascii="Arial" w:hAnsi="Arial" w:cs="Arial"/>
        </w:rPr>
        <w:t xml:space="preserve"> of</w:t>
      </w:r>
      <w:r w:rsidR="008235A2" w:rsidRPr="00FD7BD5">
        <w:rPr>
          <w:rFonts w:ascii="Arial" w:hAnsi="Arial" w:cs="Arial"/>
        </w:rPr>
        <w:t xml:space="preserve"> </w:t>
      </w:r>
      <w:r w:rsidR="008235A2" w:rsidRPr="0064392A">
        <w:rPr>
          <w:rFonts w:ascii="Arial" w:hAnsi="Arial" w:cs="Arial"/>
        </w:rPr>
        <w:t>cell types trained on a reference source sample</w:t>
      </w:r>
      <w:r w:rsidR="008235A2" w:rsidRPr="00FD7BD5">
        <w:rPr>
          <w:rFonts w:ascii="Arial" w:hAnsi="Arial" w:cs="Arial"/>
        </w:rPr>
        <w:t xml:space="preserve"> </w:t>
      </w:r>
      <w:r w:rsidR="008235A2">
        <w:rPr>
          <w:rFonts w:ascii="Arial" w:hAnsi="Arial" w:cs="Arial"/>
        </w:rPr>
        <w:t xml:space="preserve">automatically. However, it cannot detect new cells. At the same time, there is no comparison for </w:t>
      </w:r>
      <w:r w:rsidR="008235A2" w:rsidRPr="000D0750">
        <w:rPr>
          <w:rFonts w:ascii="Arial" w:hAnsi="Arial" w:cs="Arial"/>
        </w:rPr>
        <w:t>embedding</w:t>
      </w:r>
      <w:r w:rsidR="008235A2">
        <w:rPr>
          <w:rFonts w:ascii="Arial" w:hAnsi="Arial" w:cs="Arial"/>
        </w:rPr>
        <w:t xml:space="preserve"> measurement from high-dimension to low-dimension.</w:t>
      </w:r>
    </w:p>
    <w:p w:rsidR="008B3A10" w:rsidRDefault="008B3A10" w:rsidP="003423FF">
      <w:pPr>
        <w:rPr>
          <w:rFonts w:ascii="Arial" w:hAnsi="Arial" w:cs="Arial"/>
        </w:rPr>
      </w:pPr>
    </w:p>
    <w:p w:rsidR="003423FF" w:rsidRDefault="003423FF" w:rsidP="003423FF">
      <w:pPr>
        <w:rPr>
          <w:rFonts w:ascii="Arial" w:hAnsi="Arial" w:cs="Arial"/>
        </w:rPr>
      </w:pPr>
      <w:r w:rsidRPr="00FD7BD5">
        <w:rPr>
          <w:rFonts w:ascii="Arial" w:hAnsi="Arial" w:cs="Arial"/>
        </w:rPr>
        <w:t xml:space="preserve">(1) We use a </w:t>
      </w:r>
      <w:proofErr w:type="spellStart"/>
      <w:r w:rsidRPr="00FD7BD5">
        <w:rPr>
          <w:rFonts w:ascii="Arial" w:hAnsi="Arial" w:cs="Arial"/>
        </w:rPr>
        <w:t>denoising</w:t>
      </w:r>
      <w:proofErr w:type="spellEnd"/>
      <w:r w:rsidRPr="00FD7BD5">
        <w:rPr>
          <w:rFonts w:ascii="Arial" w:hAnsi="Arial" w:cs="Arial"/>
        </w:rPr>
        <w:t xml:space="preserve"> </w:t>
      </w:r>
      <w:proofErr w:type="spellStart"/>
      <w:r w:rsidRPr="00FD7BD5">
        <w:rPr>
          <w:rFonts w:ascii="Arial" w:hAnsi="Arial" w:cs="Arial"/>
        </w:rPr>
        <w:t>autoencoder</w:t>
      </w:r>
      <w:proofErr w:type="spellEnd"/>
      <w:r w:rsidRPr="00FD7BD5">
        <w:rPr>
          <w:rFonts w:ascii="Arial" w:hAnsi="Arial" w:cs="Arial"/>
        </w:rPr>
        <w:t xml:space="preserve"> (DAE) to handle missing data.</w:t>
      </w:r>
    </w:p>
    <w:p w:rsidR="00860CC1" w:rsidRPr="00FD7BD5" w:rsidRDefault="00860CC1" w:rsidP="00860CC1">
      <w:pPr>
        <w:jc w:val="both"/>
        <w:rPr>
          <w:rFonts w:ascii="Arial" w:hAnsi="Arial" w:cs="Arial"/>
        </w:rPr>
      </w:pPr>
      <w:r w:rsidRPr="00860CC1">
        <w:rPr>
          <w:rFonts w:ascii="Arial" w:hAnsi="Arial" w:cs="Arial"/>
        </w:rPr>
        <w:t xml:space="preserve">A DAE is a neural net that </w:t>
      </w:r>
      <w:proofErr w:type="gramStart"/>
      <w:r w:rsidRPr="00860CC1">
        <w:rPr>
          <w:rFonts w:ascii="Arial" w:hAnsi="Arial" w:cs="Arial"/>
        </w:rPr>
        <w:t>is trained</w:t>
      </w:r>
      <w:proofErr w:type="gramEnd"/>
      <w:r w:rsidRPr="00860CC1">
        <w:rPr>
          <w:rFonts w:ascii="Arial" w:hAnsi="Arial" w:cs="Arial"/>
        </w:rPr>
        <w:t xml:space="preserve"> to reconstruct a clean input from its corrupted version. Unlike (Vincent et al., 2010), who use Gaussian noise to corrupt the inputs, we use dropout noise, i.e., we randomly zero out subset of th</w:t>
      </w:r>
      <w:r>
        <w:rPr>
          <w:rFonts w:ascii="Arial" w:hAnsi="Arial" w:cs="Arial"/>
        </w:rPr>
        <w:t>e entries of each cell, to simu</w:t>
      </w:r>
      <w:r w:rsidRPr="00860CC1">
        <w:rPr>
          <w:rFonts w:ascii="Arial" w:hAnsi="Arial" w:cs="Arial"/>
        </w:rPr>
        <w:t xml:space="preserve">late the machine instabilities. </w:t>
      </w:r>
      <w:r w:rsidRPr="00A47228">
        <w:rPr>
          <w:rFonts w:ascii="Arial" w:hAnsi="Arial" w:cs="Arial"/>
        </w:rPr>
        <w:t xml:space="preserve">We train a DAE for each batch, by combining all samples from that batch, selecting the cells with no zeros and using them as training set. For each DAE, we set the </w:t>
      </w:r>
      <w:proofErr w:type="gramStart"/>
      <w:r w:rsidRPr="00A47228">
        <w:rPr>
          <w:rFonts w:ascii="Arial" w:hAnsi="Arial" w:cs="Arial"/>
        </w:rPr>
        <w:t>drop-out</w:t>
      </w:r>
      <w:proofErr w:type="gramEnd"/>
      <w:r w:rsidRPr="00A47228">
        <w:rPr>
          <w:rFonts w:ascii="Arial" w:hAnsi="Arial" w:cs="Arial"/>
        </w:rPr>
        <w:t xml:space="preserve"> probability to be the proportion of zeros in the measurement of the corresponding batch. </w:t>
      </w:r>
      <w:r w:rsidRPr="00860CC1">
        <w:rPr>
          <w:rFonts w:ascii="Arial" w:hAnsi="Arial" w:cs="Arial"/>
        </w:rPr>
        <w:t xml:space="preserve">Once a DAE </w:t>
      </w:r>
      <w:proofErr w:type="gramStart"/>
      <w:r w:rsidRPr="00860CC1">
        <w:rPr>
          <w:rFonts w:ascii="Arial" w:hAnsi="Arial" w:cs="Arial"/>
        </w:rPr>
        <w:t>is trained</w:t>
      </w:r>
      <w:proofErr w:type="gramEnd"/>
      <w:r w:rsidRPr="00860CC1">
        <w:rPr>
          <w:rFonts w:ascii="Arial" w:hAnsi="Arial" w:cs="Arial"/>
        </w:rPr>
        <w:t xml:space="preserve">, we pass all samples from its batch through it to </w:t>
      </w:r>
      <w:proofErr w:type="spellStart"/>
      <w:r w:rsidRPr="00860CC1">
        <w:rPr>
          <w:rFonts w:ascii="Arial" w:hAnsi="Arial" w:cs="Arial"/>
        </w:rPr>
        <w:t>denoise</w:t>
      </w:r>
      <w:proofErr w:type="spellEnd"/>
      <w:r w:rsidRPr="00860CC1">
        <w:rPr>
          <w:rFonts w:ascii="Arial" w:hAnsi="Arial" w:cs="Arial"/>
        </w:rPr>
        <w:t xml:space="preserve"> the data.</w:t>
      </w:r>
    </w:p>
    <w:p w:rsidR="003423FF" w:rsidRPr="00FD7BD5" w:rsidRDefault="003423FF" w:rsidP="003423FF">
      <w:pPr>
        <w:rPr>
          <w:rFonts w:ascii="Arial" w:hAnsi="Arial" w:cs="Arial"/>
        </w:rPr>
      </w:pPr>
      <w:r w:rsidRPr="00FD7BD5">
        <w:rPr>
          <w:rFonts w:ascii="Arial" w:hAnsi="Arial" w:cs="Arial"/>
        </w:rPr>
        <w:t>(2) DeepCyTOF used multiple distribution-matching residual networks (MMD-</w:t>
      </w:r>
      <w:proofErr w:type="spellStart"/>
      <w:r w:rsidRPr="00FD7BD5">
        <w:rPr>
          <w:rFonts w:ascii="Arial" w:hAnsi="Arial" w:cs="Arial"/>
        </w:rPr>
        <w:t>ResNets</w:t>
      </w:r>
      <w:proofErr w:type="spellEnd"/>
      <w:proofErr w:type="gramStart"/>
      <w:r w:rsidRPr="00FD7BD5">
        <w:rPr>
          <w:rFonts w:ascii="Arial" w:hAnsi="Arial" w:cs="Arial"/>
        </w:rPr>
        <w:t>)(</w:t>
      </w:r>
      <w:proofErr w:type="spellStart"/>
      <w:proofErr w:type="gramEnd"/>
      <w:r w:rsidRPr="00FD7BD5">
        <w:rPr>
          <w:rFonts w:ascii="Arial" w:hAnsi="Arial" w:cs="Arial"/>
        </w:rPr>
        <w:t>Shaham</w:t>
      </w:r>
      <w:proofErr w:type="spellEnd"/>
      <w:r w:rsidRPr="00FD7BD5">
        <w:rPr>
          <w:rFonts w:ascii="Arial" w:hAnsi="Arial" w:cs="Arial"/>
        </w:rPr>
        <w:t xml:space="preserve"> et al., 2016) to calibrate an arbitrary number of source. It calibrate each batch to a reference using the MMD-</w:t>
      </w:r>
      <w:proofErr w:type="spellStart"/>
      <w:r w:rsidRPr="00FD7BD5">
        <w:rPr>
          <w:rFonts w:ascii="Arial" w:hAnsi="Arial" w:cs="Arial"/>
        </w:rPr>
        <w:t>ResNet</w:t>
      </w:r>
      <w:proofErr w:type="spellEnd"/>
      <w:r w:rsidRPr="00FD7BD5">
        <w:rPr>
          <w:rFonts w:ascii="Arial" w:hAnsi="Arial" w:cs="Arial"/>
        </w:rPr>
        <w:t xml:space="preserve"> approach. </w:t>
      </w:r>
    </w:p>
    <w:p w:rsidR="0052768A" w:rsidRDefault="003423FF" w:rsidP="003423FF">
      <w:pPr>
        <w:rPr>
          <w:rFonts w:ascii="Arial" w:hAnsi="Arial" w:cs="Arial"/>
        </w:rPr>
      </w:pPr>
      <w:r w:rsidRPr="00FD7BD5">
        <w:rPr>
          <w:rFonts w:ascii="Arial" w:hAnsi="Arial" w:cs="Arial"/>
        </w:rPr>
        <w:t xml:space="preserve">Instrument calibration causes variation across </w:t>
      </w:r>
      <w:proofErr w:type="gramStart"/>
      <w:r w:rsidRPr="00FD7BD5">
        <w:rPr>
          <w:rFonts w:ascii="Arial" w:hAnsi="Arial" w:cs="Arial"/>
        </w:rPr>
        <w:t>samples,</w:t>
      </w:r>
      <w:proofErr w:type="gramEnd"/>
      <w:r w:rsidRPr="00FD7BD5">
        <w:rPr>
          <w:rFonts w:ascii="Arial" w:hAnsi="Arial" w:cs="Arial"/>
        </w:rPr>
        <w:t xml:space="preserve"> such a situation is often referred to ‘batch effect’. In order to avoid gating each dataset separately (which therefore requires labeled </w:t>
      </w:r>
      <w:proofErr w:type="spellStart"/>
      <w:r w:rsidRPr="00FD7BD5">
        <w:rPr>
          <w:rFonts w:ascii="Arial" w:hAnsi="Arial" w:cs="Arial"/>
        </w:rPr>
        <w:t>sam-ples</w:t>
      </w:r>
      <w:proofErr w:type="spellEnd"/>
      <w:r w:rsidRPr="00FD7BD5">
        <w:rPr>
          <w:rFonts w:ascii="Arial" w:hAnsi="Arial" w:cs="Arial"/>
        </w:rPr>
        <w:t xml:space="preserve"> from each dataset), a domain adaptation procedure is used. Domain Adaptation is a set of techniques that allow the use of a learning scheme (or model) trained on data from a source domain with a given distribution, which </w:t>
      </w:r>
      <w:proofErr w:type="gramStart"/>
      <w:r w:rsidRPr="00FD7BD5">
        <w:rPr>
          <w:rFonts w:ascii="Arial" w:hAnsi="Arial" w:cs="Arial"/>
        </w:rPr>
        <w:t>can then be applied</w:t>
      </w:r>
      <w:proofErr w:type="gramEnd"/>
      <w:r w:rsidRPr="00FD7BD5">
        <w:rPr>
          <w:rFonts w:ascii="Arial" w:hAnsi="Arial" w:cs="Arial"/>
        </w:rPr>
        <w:t xml:space="preserve"> to a target do-main with a related but not equivalent distribution. The objective of domain adaptation is to minimize</w:t>
      </w:r>
      <w:r w:rsidR="00A47228">
        <w:rPr>
          <w:rFonts w:ascii="Arial" w:hAnsi="Arial" w:cs="Arial"/>
        </w:rPr>
        <w:t xml:space="preserve"> the generalization error of in</w:t>
      </w:r>
      <w:r w:rsidRPr="00FD7BD5">
        <w:rPr>
          <w:rFonts w:ascii="Arial" w:hAnsi="Arial" w:cs="Arial"/>
        </w:rPr>
        <w:t>stances from the target domain (</w:t>
      </w:r>
      <w:proofErr w:type="spellStart"/>
      <w:r w:rsidRPr="00FD7BD5">
        <w:rPr>
          <w:rFonts w:ascii="Arial" w:hAnsi="Arial" w:cs="Arial"/>
          <w:highlight w:val="yellow"/>
        </w:rPr>
        <w:t>Daume</w:t>
      </w:r>
      <w:proofErr w:type="spellEnd"/>
      <w:r w:rsidRPr="00FD7BD5">
        <w:rPr>
          <w:rFonts w:ascii="Arial" w:hAnsi="Arial" w:cs="Arial"/>
          <w:highlight w:val="yellow"/>
        </w:rPr>
        <w:t xml:space="preserve">´, 2009; </w:t>
      </w:r>
      <w:proofErr w:type="spellStart"/>
      <w:r w:rsidRPr="00FD7BD5">
        <w:rPr>
          <w:rFonts w:ascii="Arial" w:hAnsi="Arial" w:cs="Arial"/>
          <w:highlight w:val="yellow"/>
        </w:rPr>
        <w:t>Daume</w:t>
      </w:r>
      <w:proofErr w:type="spellEnd"/>
      <w:r w:rsidRPr="00FD7BD5">
        <w:rPr>
          <w:rFonts w:ascii="Arial" w:hAnsi="Arial" w:cs="Arial"/>
          <w:highlight w:val="yellow"/>
        </w:rPr>
        <w:t xml:space="preserve"> and </w:t>
      </w:r>
      <w:proofErr w:type="spellStart"/>
      <w:r w:rsidRPr="00FD7BD5">
        <w:rPr>
          <w:rFonts w:ascii="Arial" w:hAnsi="Arial" w:cs="Arial"/>
          <w:highlight w:val="yellow"/>
        </w:rPr>
        <w:t>Marcu</w:t>
      </w:r>
      <w:proofErr w:type="spellEnd"/>
      <w:r w:rsidRPr="00FD7BD5">
        <w:rPr>
          <w:rFonts w:ascii="Arial" w:hAnsi="Arial" w:cs="Arial"/>
          <w:highlight w:val="yellow"/>
        </w:rPr>
        <w:t>, 2006</w:t>
      </w:r>
      <w:r w:rsidRPr="00FD7BD5">
        <w:rPr>
          <w:rFonts w:ascii="Arial" w:hAnsi="Arial" w:cs="Arial"/>
        </w:rPr>
        <w:t>).</w:t>
      </w:r>
    </w:p>
    <w:p w:rsidR="00A47228" w:rsidRDefault="00A47228" w:rsidP="003423FF">
      <w:pPr>
        <w:rPr>
          <w:rFonts w:ascii="Arial" w:hAnsi="Arial" w:cs="Arial"/>
        </w:rPr>
      </w:pPr>
      <w:r w:rsidRPr="00A47228">
        <w:rPr>
          <w:rFonts w:ascii="Arial" w:hAnsi="Arial" w:cs="Arial"/>
        </w:rPr>
        <w:t xml:space="preserve">MMD is a measure for a distance between distributions, which </w:t>
      </w:r>
      <w:proofErr w:type="gramStart"/>
      <w:r w:rsidRPr="00A47228">
        <w:rPr>
          <w:rFonts w:ascii="Arial" w:hAnsi="Arial" w:cs="Arial"/>
        </w:rPr>
        <w:t>had been shown</w:t>
      </w:r>
      <w:proofErr w:type="gramEnd"/>
      <w:r w:rsidRPr="00A47228">
        <w:rPr>
          <w:rFonts w:ascii="Arial" w:hAnsi="Arial" w:cs="Arial"/>
        </w:rPr>
        <w:t xml:space="preserve"> to be suitable for training of neural nets-based</w:t>
      </w:r>
      <w:r>
        <w:rPr>
          <w:rFonts w:ascii="Arial" w:hAnsi="Arial" w:cs="Arial"/>
        </w:rPr>
        <w:t xml:space="preserve"> </w:t>
      </w:r>
      <w:r w:rsidRPr="00A47228">
        <w:rPr>
          <w:rFonts w:ascii="Arial" w:hAnsi="Arial" w:cs="Arial"/>
        </w:rPr>
        <w:t>generative models (</w:t>
      </w:r>
      <w:proofErr w:type="spellStart"/>
      <w:r w:rsidRPr="00A47228">
        <w:rPr>
          <w:rFonts w:ascii="Arial" w:hAnsi="Arial" w:cs="Arial"/>
        </w:rPr>
        <w:t>Dziugaite</w:t>
      </w:r>
      <w:proofErr w:type="spellEnd"/>
      <w:r w:rsidRPr="00A47228">
        <w:rPr>
          <w:rFonts w:ascii="Arial" w:hAnsi="Arial" w:cs="Arial"/>
        </w:rPr>
        <w:t xml:space="preserve"> et al., 2015; Li et al., 2015). If</w:t>
      </w:r>
      <w:r>
        <w:rPr>
          <w:rFonts w:ascii="Arial" w:hAnsi="Arial" w:cs="Arial"/>
        </w:rPr>
        <w:t xml:space="preserve"> </w:t>
      </w:r>
      <m:oMath>
        <m:r>
          <w:rPr>
            <w:rFonts w:ascii="Cambria Math" w:hAnsi="Cambria Math" w:cs="Arial"/>
          </w:rPr>
          <m:t>F</m:t>
        </m:r>
      </m:oMath>
      <w:r w:rsidRPr="00A47228">
        <w:rPr>
          <w:rFonts w:ascii="Arial" w:hAnsi="Arial" w:cs="Arial"/>
        </w:rPr>
        <w:t xml:space="preserve"> is a reproducing kernel Hilbert space with a (universal) kernel </w:t>
      </w:r>
      <w:proofErr w:type="gramStart"/>
      <w:r w:rsidRPr="00A47228">
        <w:rPr>
          <w:rFonts w:ascii="Arial" w:hAnsi="Arial" w:cs="Arial"/>
        </w:rPr>
        <w:t xml:space="preserve">function </w:t>
      </w:r>
      <w:proofErr w:type="gramEnd"/>
      <m:oMath>
        <m:r>
          <w:rPr>
            <w:rFonts w:ascii="Cambria Math" w:hAnsi="Cambria Math" w:cs="Arial"/>
          </w:rPr>
          <m:t>K(∙,∙)</m:t>
        </m:r>
      </m:oMath>
      <w:r w:rsidRPr="00A47228">
        <w:rPr>
          <w:rFonts w:ascii="Arial" w:hAnsi="Arial" w:cs="Arial"/>
        </w:rPr>
        <w:t xml:space="preserve">, the (squared) MMD between distributions </w:t>
      </w:r>
      <m:oMath>
        <m:r>
          <w:rPr>
            <w:rFonts w:ascii="Cambria Math" w:hAnsi="Cambria Math" w:cs="Arial"/>
          </w:rPr>
          <m:t>p,q</m:t>
        </m:r>
      </m:oMath>
      <w:r>
        <w:rPr>
          <w:rFonts w:ascii="Arial" w:eastAsiaTheme="minorEastAsia" w:hAnsi="Arial" w:cs="Arial"/>
        </w:rPr>
        <w:t xml:space="preserve"> </w:t>
      </w:r>
      <w:r w:rsidRPr="00A47228">
        <w:rPr>
          <w:rFonts w:ascii="Arial" w:hAnsi="Arial" w:cs="Arial"/>
        </w:rPr>
        <w:t xml:space="preserve">over a space </w:t>
      </w:r>
      <m:oMath>
        <m:r>
          <w:rPr>
            <w:rFonts w:ascii="Cambria Math" w:hAnsi="Cambria Math" w:cs="Arial"/>
          </w:rPr>
          <m:t>χ</m:t>
        </m:r>
      </m:oMath>
      <w:r w:rsidRPr="00A47228">
        <w:rPr>
          <w:rFonts w:ascii="Arial" w:hAnsi="Arial" w:cs="Arial"/>
        </w:rPr>
        <w:t xml:space="preserve"> is defined as</w:t>
      </w:r>
    </w:p>
    <w:p w:rsidR="00A47228" w:rsidRPr="00490E09" w:rsidRDefault="00C13FE6" w:rsidP="003423FF">
      <w:pP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MMD</m:t>
              </m:r>
            </m:e>
            <m:sup>
              <m:r>
                <w:rPr>
                  <w:rFonts w:ascii="Cambria Math" w:hAnsi="Cambria Math" w:cs="Arial"/>
                </w:rPr>
                <m:t>2</m:t>
              </m:r>
            </m:sup>
          </m:sSup>
          <m:r>
            <w:rPr>
              <w:rFonts w:ascii="Cambria Math" w:hAnsi="Cambria Math" w:cs="Arial"/>
            </w:rPr>
            <m:t>(F,p,q)=</m:t>
          </m:r>
          <m:sSub>
            <m:sSubPr>
              <m:ctrlPr>
                <w:rPr>
                  <w:rFonts w:ascii="Cambria Math" w:hAnsi="Cambria Math" w:cs="Arial"/>
                  <w:i/>
                </w:rPr>
              </m:ctrlPr>
            </m:sSubPr>
            <m:e>
              <m:r>
                <w:rPr>
                  <w:rFonts w:ascii="Cambria Math" w:hAnsi="Cambria Math" w:cs="Arial"/>
                </w:rPr>
                <m:t>E</m:t>
              </m:r>
            </m:e>
            <m:sub>
              <m:r>
                <w:rPr>
                  <w:rFonts w:ascii="Cambria Math" w:hAnsi="Cambria Math" w:cs="Arial"/>
                </w:rPr>
                <m:t>x,x'~p</m:t>
              </m:r>
            </m:sub>
          </m:sSub>
          <m:r>
            <w:rPr>
              <w:rFonts w:ascii="Cambria Math" w:hAnsi="Cambria Math" w:cs="Arial"/>
            </w:rPr>
            <m:t>k(x,x')-2</m:t>
          </m:r>
          <m:sSub>
            <m:sSubPr>
              <m:ctrlPr>
                <w:rPr>
                  <w:rFonts w:ascii="Cambria Math" w:hAnsi="Cambria Math" w:cs="Arial"/>
                  <w:i/>
                </w:rPr>
              </m:ctrlPr>
            </m:sSubPr>
            <m:e>
              <m:r>
                <w:rPr>
                  <w:rFonts w:ascii="Cambria Math" w:hAnsi="Cambria Math" w:cs="Arial"/>
                </w:rPr>
                <m:t>E</m:t>
              </m:r>
            </m:e>
            <m:sub>
              <m:r>
                <w:rPr>
                  <w:rFonts w:ascii="Cambria Math" w:hAnsi="Cambria Math" w:cs="Arial"/>
                </w:rPr>
                <m:t>x~p,y~q</m:t>
              </m:r>
            </m:sub>
          </m:sSub>
          <m:r>
            <w:rPr>
              <w:rFonts w:ascii="Cambria Math" w:hAnsi="Cambria Math" w:cs="Arial"/>
            </w:rPr>
            <m:t>k(x,y)+</m:t>
          </m:r>
          <m:sSub>
            <m:sSubPr>
              <m:ctrlPr>
                <w:rPr>
                  <w:rFonts w:ascii="Cambria Math" w:hAnsi="Cambria Math" w:cs="Arial"/>
                  <w:i/>
                </w:rPr>
              </m:ctrlPr>
            </m:sSubPr>
            <m:e>
              <m:r>
                <w:rPr>
                  <w:rFonts w:ascii="Cambria Math" w:hAnsi="Cambria Math" w:cs="Arial"/>
                </w:rPr>
                <m:t>E</m:t>
              </m:r>
            </m:e>
            <m:sub>
              <m:r>
                <w:rPr>
                  <w:rFonts w:ascii="Cambria Math" w:hAnsi="Cambria Math" w:cs="Arial"/>
                </w:rPr>
                <m:t>y,y'~q</m:t>
              </m:r>
            </m:sub>
          </m:sSub>
          <m:r>
            <w:rPr>
              <w:rFonts w:ascii="Cambria Math" w:hAnsi="Cambria Math" w:cs="Arial"/>
            </w:rPr>
            <m:t>k(y,y')</m:t>
          </m:r>
        </m:oMath>
      </m:oMathPara>
    </w:p>
    <w:p w:rsidR="00490E09" w:rsidRPr="00490E09" w:rsidRDefault="00490E09" w:rsidP="003423FF">
      <w:pPr>
        <w:rPr>
          <w:rFonts w:ascii="Arial" w:hAnsi="Arial" w:cs="Arial"/>
          <w:i/>
        </w:rPr>
      </w:pPr>
      <w:proofErr w:type="gramStart"/>
      <w:r w:rsidRPr="00490E09">
        <w:rPr>
          <w:rFonts w:ascii="Arial" w:eastAsiaTheme="minorEastAsia" w:hAnsi="Arial" w:cs="Arial"/>
          <w:i/>
        </w:rPr>
        <w:t>where</w:t>
      </w:r>
      <w:proofErr w:type="gramEnd"/>
      <w:r>
        <w:rPr>
          <w:rFonts w:ascii="Arial" w:eastAsiaTheme="minorEastAsia" w:hAnsi="Arial" w:cs="Arial"/>
          <w:i/>
        </w:rPr>
        <w:t xml:space="preserve"> </w:t>
      </w:r>
      <m:oMath>
        <m:r>
          <w:rPr>
            <w:rFonts w:ascii="Cambria Math" w:hAnsi="Cambria Math" w:cs="Arial"/>
          </w:rPr>
          <m:t>x</m:t>
        </m:r>
      </m:oMath>
      <w:r>
        <w:rPr>
          <w:rFonts w:ascii="Arial" w:eastAsiaTheme="minorEastAsia" w:hAnsi="Arial" w:cs="Arial"/>
          <w:i/>
        </w:rPr>
        <w:t xml:space="preserve"> </w:t>
      </w:r>
      <w:r w:rsidRPr="00490E09">
        <w:rPr>
          <w:rFonts w:ascii="Arial" w:eastAsiaTheme="minorEastAsia" w:hAnsi="Arial" w:cs="Arial"/>
        </w:rPr>
        <w:t xml:space="preserve">and </w:t>
      </w:r>
      <m:oMath>
        <m:r>
          <w:rPr>
            <w:rFonts w:ascii="Cambria Math" w:hAnsi="Cambria Math" w:cs="Arial"/>
          </w:rPr>
          <m:t>x'</m:t>
        </m:r>
      </m:oMath>
      <w:r>
        <w:rPr>
          <w:rFonts w:ascii="Arial" w:eastAsiaTheme="minorEastAsia" w:hAnsi="Arial" w:cs="Arial"/>
          <w:i/>
        </w:rPr>
        <w:t xml:space="preserve"> </w:t>
      </w:r>
      <w:r w:rsidRPr="00490E09">
        <w:rPr>
          <w:rFonts w:ascii="Arial" w:eastAsiaTheme="minorEastAsia" w:hAnsi="Arial" w:cs="Arial"/>
        </w:rPr>
        <w:t>are independent, and so are</w:t>
      </w:r>
      <w:r>
        <w:rPr>
          <w:rFonts w:ascii="Arial" w:eastAsiaTheme="minorEastAsia" w:hAnsi="Arial" w:cs="Arial"/>
          <w:i/>
        </w:rPr>
        <w:t xml:space="preserve"> </w:t>
      </w:r>
      <m:oMath>
        <m:r>
          <w:rPr>
            <w:rFonts w:ascii="Cambria Math" w:hAnsi="Cambria Math" w:cs="Arial"/>
          </w:rPr>
          <m:t>y</m:t>
        </m:r>
      </m:oMath>
      <w:r w:rsidR="000852E2">
        <w:rPr>
          <w:rFonts w:ascii="Arial" w:eastAsiaTheme="minorEastAsia" w:hAnsi="Arial" w:cs="Arial"/>
          <w:i/>
        </w:rPr>
        <w:t xml:space="preserve"> </w:t>
      </w:r>
      <w:r w:rsidR="000852E2" w:rsidRPr="00490E09">
        <w:rPr>
          <w:rFonts w:ascii="Arial" w:eastAsiaTheme="minorEastAsia" w:hAnsi="Arial" w:cs="Arial"/>
        </w:rPr>
        <w:t xml:space="preserve">and </w:t>
      </w:r>
      <m:oMath>
        <m:r>
          <w:rPr>
            <w:rFonts w:ascii="Cambria Math" w:hAnsi="Cambria Math" w:cs="Arial"/>
          </w:rPr>
          <m:t>y'</m:t>
        </m:r>
      </m:oMath>
    </w:p>
    <w:p w:rsidR="00A47228" w:rsidRDefault="000852E2" w:rsidP="003423FF">
      <w:pPr>
        <w:rPr>
          <w:rFonts w:ascii="Arial" w:hAnsi="Arial" w:cs="Arial"/>
        </w:rPr>
      </w:pPr>
      <w:r w:rsidRPr="000852E2">
        <w:rPr>
          <w:rFonts w:ascii="Arial" w:hAnsi="Arial" w:cs="Arial"/>
        </w:rPr>
        <w:t>For calibration purposes, we want to find a map that brings the distribution of the source sample close to that of the target sample; we further assume that this map should be close to the identity.</w:t>
      </w:r>
    </w:p>
    <w:p w:rsidR="000852E2" w:rsidRDefault="000852E2" w:rsidP="003423FF">
      <w:pPr>
        <w:rPr>
          <w:rFonts w:ascii="Arial" w:hAnsi="Arial" w:cs="Arial"/>
        </w:rPr>
      </w:pPr>
    </w:p>
    <w:p w:rsidR="000852E2" w:rsidRDefault="000852E2" w:rsidP="003423FF">
      <w:pPr>
        <w:rPr>
          <w:rFonts w:ascii="Arial" w:hAnsi="Arial" w:cs="Arial"/>
        </w:rPr>
      </w:pPr>
      <w:r>
        <w:rPr>
          <w:rFonts w:ascii="Arial" w:hAnsi="Arial" w:cs="Arial"/>
        </w:rPr>
        <w:t xml:space="preserve">Using </w:t>
      </w:r>
      <w:proofErr w:type="spellStart"/>
      <w:r w:rsidRPr="000852E2">
        <w:rPr>
          <w:rFonts w:ascii="Arial" w:hAnsi="Arial" w:cs="Arial"/>
          <w:i/>
        </w:rPr>
        <w:t>ResNets</w:t>
      </w:r>
      <w:proofErr w:type="spellEnd"/>
      <w:r>
        <w:rPr>
          <w:rFonts w:ascii="Arial" w:hAnsi="Arial" w:cs="Arial"/>
        </w:rPr>
        <w:t xml:space="preserve"> consisting of three blocks, which are trained to minimizing the loss</w:t>
      </w:r>
    </w:p>
    <w:p w:rsidR="000852E2" w:rsidRPr="00834E79" w:rsidRDefault="000852E2" w:rsidP="003423FF">
      <w:pPr>
        <w:rPr>
          <w:rFonts w:ascii="Arial" w:eastAsiaTheme="minorEastAsia" w:hAnsi="Arial" w:cs="Arial"/>
        </w:rPr>
      </w:pPr>
      <m:oMathPara>
        <m:oMath>
          <m:r>
            <w:rPr>
              <w:rFonts w:ascii="Cambria Math" w:hAnsi="Cambria Math" w:cs="Arial"/>
            </w:rPr>
            <m:t>L(w)=</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MMD</m:t>
                  </m:r>
                </m:e>
                <m:sup>
                  <m:r>
                    <w:rPr>
                      <w:rFonts w:ascii="Cambria Math" w:hAnsi="Cambria Math" w:cs="Arial"/>
                    </w:rPr>
                    <m:t>2</m:t>
                  </m:r>
                </m:sup>
              </m:sSup>
              <m:r>
                <w:rPr>
                  <w:rFonts w:ascii="Cambria Math" w:hAnsi="Cambria Math" w:cs="Arial"/>
                </w:rPr>
                <m:t>(</m:t>
              </m:r>
              <m:acc>
                <m:accPr>
                  <m:chr m:val="̃"/>
                  <m:ctrlPr>
                    <w:rPr>
                      <w:rFonts w:ascii="Cambria Math" w:hAnsi="Cambria Math" w:cs="Arial"/>
                      <w:i/>
                    </w:rPr>
                  </m:ctrlPr>
                </m:accPr>
                <m:e>
                  <m:r>
                    <w:rPr>
                      <w:rFonts w:ascii="Cambria Math" w:hAnsi="Cambria Math" w:cs="Arial"/>
                    </w:rPr>
                    <m:t>f</m:t>
                  </m:r>
                </m:e>
              </m:acc>
              <m:r>
                <w:rPr>
                  <w:rFonts w:ascii="Cambria Math" w:hAnsi="Cambria Math" w:cs="Arial"/>
                </w:rPr>
                <m:t>(X),Y)</m:t>
              </m:r>
            </m:e>
          </m:rad>
        </m:oMath>
      </m:oMathPara>
    </w:p>
    <w:p w:rsidR="00834E79" w:rsidRPr="005F4A1C" w:rsidRDefault="00834E79" w:rsidP="003423FF">
      <w:pPr>
        <w:rPr>
          <w:rFonts w:ascii="Arial" w:eastAsiaTheme="minorEastAsia" w:hAnsi="Arial" w:cs="Arial"/>
          <w:i/>
        </w:rPr>
      </w:pPr>
      <w:proofErr w:type="gramStart"/>
      <w:r w:rsidRPr="005F4A1C">
        <w:rPr>
          <w:rFonts w:ascii="Arial" w:eastAsiaTheme="minorEastAsia" w:hAnsi="Arial" w:cs="Arial"/>
          <w:i/>
        </w:rPr>
        <w:t>such</w:t>
      </w:r>
      <w:proofErr w:type="gramEnd"/>
      <w:r w:rsidRPr="005F4A1C">
        <w:rPr>
          <w:rFonts w:ascii="Arial" w:eastAsiaTheme="minorEastAsia" w:hAnsi="Arial" w:cs="Arial"/>
          <w:i/>
        </w:rPr>
        <w:t xml:space="preserve"> that</w:t>
      </w:r>
    </w:p>
    <w:p w:rsidR="00834E79" w:rsidRPr="005F4A1C" w:rsidRDefault="00C13FE6" w:rsidP="003423FF">
      <w:pP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MMD</m:t>
              </m:r>
            </m:e>
            <m:sup>
              <m:r>
                <w:rPr>
                  <w:rFonts w:ascii="Cambria Math" w:hAnsi="Cambria Math" w:cs="Arial"/>
                </w:rPr>
                <m:t>2</m:t>
              </m:r>
            </m:sup>
          </m:sSup>
          <m:r>
            <w:rPr>
              <w:rFonts w:ascii="Cambria Math" w:hAnsi="Cambria Math" w:cs="Arial"/>
            </w:rPr>
            <m:t>(</m:t>
          </m:r>
          <m:acc>
            <m:accPr>
              <m:chr m:val="̃"/>
              <m:ctrlPr>
                <w:rPr>
                  <w:rFonts w:ascii="Cambria Math" w:hAnsi="Cambria Math" w:cs="Arial"/>
                  <w:i/>
                </w:rPr>
              </m:ctrlPr>
            </m:accPr>
            <m:e>
              <m:r>
                <w:rPr>
                  <w:rFonts w:ascii="Cambria Math" w:hAnsi="Cambria Math" w:cs="Arial"/>
                </w:rPr>
                <m:t>f</m:t>
              </m:r>
            </m:e>
          </m:acc>
          <m:r>
            <w:rPr>
              <w:rFonts w:ascii="Cambria Math" w:hAnsi="Cambria Math" w:cs="Arial"/>
            </w:rPr>
            <m:t>(X),Y)=</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den>
          </m:f>
          <m:nary>
            <m:naryPr>
              <m:chr m:val="∑"/>
              <m:limLoc m:val="undOvr"/>
              <m:supHide m:val="1"/>
              <m:ctrlPr>
                <w:rPr>
                  <w:rFonts w:ascii="Cambria Math" w:hAnsi="Cambria Math" w:cs="Arial"/>
                  <w:i/>
                </w:rPr>
              </m:ctrlPr>
            </m:naryPr>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∈X</m:t>
              </m:r>
            </m:sub>
            <m:sup/>
            <m:e>
              <m:r>
                <w:rPr>
                  <w:rFonts w:ascii="Cambria Math" w:hAnsi="Cambria Math" w:cs="Arial"/>
                </w:rPr>
                <m:t>k(</m:t>
              </m:r>
              <m:acc>
                <m:accPr>
                  <m:chr m:val="̃"/>
                  <m:ctrlPr>
                    <w:rPr>
                      <w:rFonts w:ascii="Cambria Math" w:hAnsi="Cambria Math" w:cs="Arial"/>
                      <w:i/>
                    </w:rPr>
                  </m:ctrlPr>
                </m:accPr>
                <m:e>
                  <m:r>
                    <w:rPr>
                      <w:rFonts w:ascii="Cambria Math" w:hAnsi="Cambria Math" w:cs="Arial"/>
                    </w:rPr>
                    <m:t>f</m:t>
                  </m:r>
                </m:e>
              </m:acc>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f</m:t>
                  </m:r>
                </m:e>
              </m:acc>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m:t>
              </m:r>
            </m:e>
          </m:nary>
          <m:f>
            <m:fPr>
              <m:ctrlPr>
                <w:rPr>
                  <w:rFonts w:ascii="Cambria Math" w:hAnsi="Cambria Math" w:cs="Arial"/>
                  <w:i/>
                </w:rPr>
              </m:ctrlPr>
            </m:fPr>
            <m:num>
              <m:r>
                <w:rPr>
                  <w:rFonts w:ascii="Cambria Math" w:hAnsi="Cambria Math" w:cs="Arial"/>
                </w:rPr>
                <m:t>1</m:t>
              </m:r>
            </m:num>
            <m:den>
              <m:r>
                <w:rPr>
                  <w:rFonts w:ascii="Cambria Math" w:hAnsi="Cambria Math" w:cs="Arial"/>
                </w:rPr>
                <m:t>mn</m:t>
              </m:r>
            </m:den>
          </m:f>
          <m:nary>
            <m:naryPr>
              <m:chr m:val="∑"/>
              <m:limLoc m:val="undOvr"/>
              <m:supHide m:val="1"/>
              <m:ctrlPr>
                <w:rPr>
                  <w:rFonts w:ascii="Cambria Math" w:hAnsi="Cambria Math" w:cs="Arial"/>
                  <w:i/>
                </w:rPr>
              </m:ctrlPr>
            </m:naryPr>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∈Y</m:t>
              </m:r>
            </m:sub>
            <m:sup/>
            <m:e>
              <m:r>
                <w:rPr>
                  <w:rFonts w:ascii="Cambria Math" w:hAnsi="Cambria Math" w:cs="Arial"/>
                </w:rPr>
                <m:t>k(</m:t>
              </m:r>
              <m:acc>
                <m:accPr>
                  <m:chr m:val="̃"/>
                  <m:ctrlPr>
                    <w:rPr>
                      <w:rFonts w:ascii="Cambria Math" w:hAnsi="Cambria Math" w:cs="Arial"/>
                      <w:i/>
                    </w:rPr>
                  </m:ctrlPr>
                </m:accPr>
                <m:e>
                  <m:r>
                    <w:rPr>
                      <w:rFonts w:ascii="Cambria Math" w:hAnsi="Cambria Math" w:cs="Arial"/>
                    </w:rPr>
                    <m:t>f</m:t>
                  </m:r>
                </m:e>
              </m:acc>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f</m:t>
                  </m:r>
                </m:e>
              </m:acc>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m:t>
              </m:r>
            </m:e>
          </m:nary>
        </m:oMath>
      </m:oMathPara>
    </w:p>
    <w:p w:rsidR="005F4A1C" w:rsidRPr="005F4A1C" w:rsidRDefault="005F4A1C" w:rsidP="003423FF">
      <w:pPr>
        <w:rPr>
          <w:rFonts w:ascii="Arial" w:eastAsiaTheme="minorEastAsia" w:hAnsi="Arial" w:cs="Arial"/>
        </w:rPr>
      </w:pPr>
      <m:oMathPara>
        <m:oMath>
          <m:r>
            <w:rPr>
              <w:rFonts w:ascii="Cambria Math" w:hAnsi="Cambria Math" w:cs="Arial"/>
            </w:rPr>
            <m:t>+</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nary>
            <m:naryPr>
              <m:chr m:val="∑"/>
              <m:limLoc m:val="undOvr"/>
              <m:supHide m:val="1"/>
              <m:ctrlPr>
                <w:rPr>
                  <w:rFonts w:ascii="Cambria Math" w:hAnsi="Cambria Math" w:cs="Arial"/>
                  <w:i/>
                </w:rPr>
              </m:ctrlPr>
            </m:naryPr>
            <m: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∈Y</m:t>
              </m:r>
            </m:sub>
            <m:sup/>
            <m:e>
              <m:r>
                <w:rPr>
                  <w:rFonts w:ascii="Cambria Math" w:hAnsi="Cambria Math" w:cs="Arial"/>
                </w:rPr>
                <m:t>k(</m:t>
              </m:r>
              <m:acc>
                <m:accPr>
                  <m:chr m:val="̃"/>
                  <m:ctrlPr>
                    <w:rPr>
                      <w:rFonts w:ascii="Cambria Math" w:hAnsi="Cambria Math" w:cs="Arial"/>
                      <w:i/>
                    </w:rPr>
                  </m:ctrlPr>
                </m:accPr>
                <m:e>
                  <m:r>
                    <w:rPr>
                      <w:rFonts w:ascii="Cambria Math" w:hAnsi="Cambria Math" w:cs="Arial"/>
                    </w:rPr>
                    <m:t>f</m:t>
                  </m:r>
                </m:e>
              </m:acc>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f</m:t>
                  </m:r>
                </m:e>
              </m:acc>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m:t>
              </m:r>
            </m:e>
          </m:nary>
        </m:oMath>
      </m:oMathPara>
    </w:p>
    <w:p w:rsidR="00834E79" w:rsidRPr="00FD7BD5" w:rsidRDefault="00834E79" w:rsidP="003423FF">
      <w:pPr>
        <w:rPr>
          <w:rFonts w:ascii="Arial" w:hAnsi="Arial" w:cs="Arial"/>
        </w:rPr>
      </w:pPr>
    </w:p>
    <w:p w:rsidR="00FA2B28" w:rsidRDefault="00FA2B28" w:rsidP="003423FF">
      <w:pPr>
        <w:rPr>
          <w:rFonts w:ascii="Arial" w:hAnsi="Arial" w:cs="Arial"/>
        </w:rPr>
      </w:pPr>
      <w:r w:rsidRPr="00FD7BD5">
        <w:rPr>
          <w:rFonts w:ascii="Arial" w:hAnsi="Arial" w:cs="Arial"/>
        </w:rPr>
        <w:t xml:space="preserve">(3) We performed a domain adaptation procedure for automatic </w:t>
      </w:r>
      <w:r w:rsidR="005F4A1C">
        <w:rPr>
          <w:rFonts w:ascii="Arial" w:hAnsi="Arial" w:cs="Arial"/>
        </w:rPr>
        <w:t>classification</w:t>
      </w:r>
      <w:r w:rsidRPr="00FD7BD5">
        <w:rPr>
          <w:rFonts w:ascii="Arial" w:hAnsi="Arial" w:cs="Arial"/>
        </w:rPr>
        <w:t>.</w:t>
      </w:r>
    </w:p>
    <w:p w:rsidR="000D0750" w:rsidRDefault="000D0750" w:rsidP="003423FF">
      <w:pPr>
        <w:rPr>
          <w:rFonts w:ascii="Arial" w:hAnsi="Arial" w:cs="Arial"/>
          <w:b/>
          <w:sz w:val="24"/>
          <w:szCs w:val="24"/>
        </w:rPr>
      </w:pPr>
    </w:p>
    <w:p w:rsidR="00335AD2" w:rsidRPr="00FD7BD5" w:rsidRDefault="00335AD2" w:rsidP="003423FF">
      <w:pPr>
        <w:rPr>
          <w:rFonts w:ascii="Arial" w:hAnsi="Arial" w:cs="Arial"/>
          <w:sz w:val="24"/>
          <w:szCs w:val="24"/>
        </w:rPr>
      </w:pPr>
      <w:r w:rsidRPr="00FD7BD5">
        <w:rPr>
          <w:rFonts w:ascii="Arial" w:hAnsi="Arial" w:cs="Arial"/>
          <w:b/>
          <w:sz w:val="24"/>
          <w:szCs w:val="24"/>
        </w:rPr>
        <w:t>Datasets</w:t>
      </w:r>
      <w:r w:rsidRPr="00FD7BD5">
        <w:rPr>
          <w:rFonts w:ascii="Arial" w:hAnsi="Arial" w:cs="Arial"/>
          <w:sz w:val="24"/>
          <w:szCs w:val="24"/>
        </w:rPr>
        <w:t>:</w:t>
      </w:r>
    </w:p>
    <w:p w:rsidR="00335AD2" w:rsidRPr="00FD7BD5" w:rsidRDefault="00335AD2" w:rsidP="003423FF">
      <w:pPr>
        <w:rPr>
          <w:rFonts w:ascii="Arial" w:hAnsi="Arial" w:cs="Arial"/>
        </w:rPr>
      </w:pPr>
      <w:r w:rsidRPr="00FD7BD5">
        <w:rPr>
          <w:rFonts w:ascii="Arial" w:hAnsi="Arial" w:cs="Arial"/>
        </w:rPr>
        <w:t xml:space="preserve">We demonstrate the efficacy of DeepCyTOF in supplanting manual gating by first applying it to three CyTOF datasets consisting of 56, 136 and 16 PBMC samples respectively, and then comparing the concordance of the resultant cell classifications with those obtained by manual gating. Additionally, we benchmark </w:t>
      </w:r>
      <w:proofErr w:type="spellStart"/>
      <w:r w:rsidRPr="00FD7BD5">
        <w:rPr>
          <w:rFonts w:ascii="Arial" w:hAnsi="Arial" w:cs="Arial"/>
        </w:rPr>
        <w:t>DeepCyTOF’s</w:t>
      </w:r>
      <w:proofErr w:type="spellEnd"/>
      <w:r w:rsidRPr="00FD7BD5">
        <w:rPr>
          <w:rFonts w:ascii="Arial" w:hAnsi="Arial" w:cs="Arial"/>
        </w:rPr>
        <w:t xml:space="preserve"> pre-processing options for batch calibration using a collection of 16 </w:t>
      </w:r>
      <w:proofErr w:type="gramStart"/>
      <w:r w:rsidRPr="00FD7BD5">
        <w:rPr>
          <w:rFonts w:ascii="Arial" w:hAnsi="Arial" w:cs="Arial"/>
        </w:rPr>
        <w:t>bio-logical</w:t>
      </w:r>
      <w:proofErr w:type="gramEnd"/>
      <w:r w:rsidRPr="00FD7BD5">
        <w:rPr>
          <w:rFonts w:ascii="Arial" w:hAnsi="Arial" w:cs="Arial"/>
        </w:rPr>
        <w:t xml:space="preserve"> replicates measured in duplicates on eight CyTOF instruments. Finally, we compare DeepCyTOF to the other </w:t>
      </w:r>
      <w:proofErr w:type="spellStart"/>
      <w:r w:rsidRPr="00FD7BD5">
        <w:rPr>
          <w:rFonts w:ascii="Arial" w:hAnsi="Arial" w:cs="Arial"/>
        </w:rPr>
        <w:t>compet-ing</w:t>
      </w:r>
      <w:proofErr w:type="spellEnd"/>
      <w:r w:rsidRPr="00FD7BD5">
        <w:rPr>
          <w:rFonts w:ascii="Arial" w:hAnsi="Arial" w:cs="Arial"/>
        </w:rPr>
        <w:t xml:space="preserve"> supervised approaches benchmarked on each dataset of the forth challenge of the </w:t>
      </w:r>
      <w:proofErr w:type="spellStart"/>
      <w:r w:rsidRPr="00FD7BD5">
        <w:rPr>
          <w:rFonts w:ascii="Arial" w:hAnsi="Arial" w:cs="Arial"/>
        </w:rPr>
        <w:t>FlowCAP</w:t>
      </w:r>
      <w:proofErr w:type="spellEnd"/>
      <w:r w:rsidRPr="00FD7BD5">
        <w:rPr>
          <w:rFonts w:ascii="Arial" w:hAnsi="Arial" w:cs="Arial"/>
        </w:rPr>
        <w:t>-I competition (</w:t>
      </w:r>
      <w:proofErr w:type="spellStart"/>
      <w:r w:rsidRPr="00FD7BD5">
        <w:rPr>
          <w:rFonts w:ascii="Arial" w:hAnsi="Arial" w:cs="Arial"/>
        </w:rPr>
        <w:t>Aghaeepour</w:t>
      </w:r>
      <w:proofErr w:type="spellEnd"/>
      <w:r w:rsidRPr="00FD7BD5">
        <w:rPr>
          <w:rFonts w:ascii="Arial" w:hAnsi="Arial" w:cs="Arial"/>
        </w:rPr>
        <w:t xml:space="preserve"> et al., 2013).</w:t>
      </w:r>
    </w:p>
    <w:p w:rsidR="00E35885" w:rsidRDefault="00E35885" w:rsidP="003423FF">
      <w:pPr>
        <w:rPr>
          <w:rFonts w:ascii="Arial" w:hAnsi="Arial" w:cs="Arial"/>
          <w:b/>
        </w:rPr>
      </w:pPr>
    </w:p>
    <w:p w:rsidR="000D0750" w:rsidRPr="000D0750" w:rsidRDefault="000D0750" w:rsidP="003423FF">
      <w:pPr>
        <w:rPr>
          <w:rFonts w:ascii="Arial" w:hAnsi="Arial" w:cs="Arial"/>
          <w:b/>
        </w:rPr>
      </w:pPr>
      <w:r w:rsidRPr="000D0750">
        <w:rPr>
          <w:rFonts w:ascii="Arial" w:hAnsi="Arial" w:cs="Arial"/>
          <w:b/>
        </w:rPr>
        <w:t>Measurement:</w:t>
      </w:r>
    </w:p>
    <w:p w:rsidR="000D0750" w:rsidRDefault="000D0750" w:rsidP="003423FF">
      <w:pPr>
        <w:rPr>
          <w:rFonts w:ascii="Arial" w:hAnsi="Arial" w:cs="Arial"/>
        </w:rPr>
      </w:pPr>
      <w:r>
        <w:rPr>
          <w:rFonts w:ascii="Arial" w:hAnsi="Arial" w:cs="Arial"/>
          <w:noProof/>
        </w:rPr>
        <w:lastRenderedPageBreak/>
        <w:drawing>
          <wp:inline distT="0" distB="0" distL="0" distR="0">
            <wp:extent cx="4386805" cy="3669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5842"/>
                    <a:stretch/>
                  </pic:blipFill>
                  <pic:spPr bwMode="auto">
                    <a:xfrm>
                      <a:off x="0" y="0"/>
                      <a:ext cx="4386805" cy="3669030"/>
                    </a:xfrm>
                    <a:prstGeom prst="rect">
                      <a:avLst/>
                    </a:prstGeom>
                    <a:noFill/>
                    <a:ln>
                      <a:noFill/>
                    </a:ln>
                    <a:extLst>
                      <a:ext uri="{53640926-AAD7-44D8-BBD7-CCE9431645EC}">
                        <a14:shadowObscured xmlns:a14="http://schemas.microsoft.com/office/drawing/2010/main"/>
                      </a:ext>
                    </a:extLst>
                  </pic:spPr>
                </pic:pic>
              </a:graphicData>
            </a:graphic>
          </wp:inline>
        </w:drawing>
      </w:r>
    </w:p>
    <w:p w:rsidR="00E35885" w:rsidRDefault="00E35885" w:rsidP="003423FF">
      <w:pPr>
        <w:rPr>
          <w:rFonts w:ascii="Arial" w:hAnsi="Arial" w:cs="Arial"/>
        </w:rPr>
      </w:pPr>
    </w:p>
    <w:p w:rsidR="000655F4" w:rsidRDefault="00D24407" w:rsidP="003423FF">
      <w:pPr>
        <w:rPr>
          <w:rFonts w:ascii="Arial" w:hAnsi="Arial" w:cs="Arial"/>
          <w:b/>
        </w:rPr>
      </w:pPr>
      <w:r>
        <w:rPr>
          <w:rFonts w:ascii="Arial" w:hAnsi="Arial" w:cs="Arial"/>
          <w:b/>
        </w:rPr>
        <w:t xml:space="preserve">[2] </w:t>
      </w:r>
      <w:r w:rsidR="000655F4" w:rsidRPr="000655F4">
        <w:rPr>
          <w:rFonts w:ascii="Arial" w:hAnsi="Arial" w:cs="Arial"/>
          <w:b/>
        </w:rPr>
        <w:t>Automated identification of Cell</w:t>
      </w:r>
      <w:r w:rsidR="000655F4">
        <w:rPr>
          <w:rFonts w:ascii="Arial" w:hAnsi="Arial" w:cs="Arial"/>
          <w:b/>
        </w:rPr>
        <w:t xml:space="preserve"> </w:t>
      </w:r>
      <w:r w:rsidR="000655F4" w:rsidRPr="000655F4">
        <w:rPr>
          <w:rFonts w:ascii="Arial" w:hAnsi="Arial" w:cs="Arial"/>
          <w:b/>
        </w:rPr>
        <w:t>Types in Single Cell RNA Sequencing</w:t>
      </w:r>
    </w:p>
    <w:p w:rsidR="000655F4" w:rsidRPr="000655F4" w:rsidRDefault="00C13FE6" w:rsidP="000655F4">
      <w:pPr>
        <w:rPr>
          <w:rFonts w:ascii="Arial" w:hAnsi="Arial" w:cs="Arial"/>
        </w:rPr>
      </w:pPr>
      <w:hyperlink r:id="rId8" w:history="1">
        <w:r w:rsidR="000655F4" w:rsidRPr="000655F4">
          <w:rPr>
            <w:rFonts w:ascii="Arial" w:hAnsi="Arial" w:cs="Arial"/>
          </w:rPr>
          <w:t>Ma F</w:t>
        </w:r>
      </w:hyperlink>
      <w:r w:rsidR="000655F4">
        <w:rPr>
          <w:rFonts w:ascii="Arial" w:hAnsi="Arial" w:cs="Arial"/>
        </w:rPr>
        <w:t xml:space="preserve">, </w:t>
      </w:r>
      <w:hyperlink r:id="rId9" w:history="1">
        <w:r w:rsidR="000655F4" w:rsidRPr="000655F4">
          <w:rPr>
            <w:rFonts w:ascii="Arial" w:hAnsi="Arial" w:cs="Arial"/>
          </w:rPr>
          <w:t>Pellegrini M</w:t>
        </w:r>
      </w:hyperlink>
      <w:r w:rsidR="000655F4">
        <w:rPr>
          <w:rFonts w:ascii="Arial" w:hAnsi="Arial" w:cs="Arial"/>
        </w:rPr>
        <w:t xml:space="preserve">. </w:t>
      </w:r>
      <w:r w:rsidR="000655F4" w:rsidRPr="000655F4">
        <w:rPr>
          <w:rFonts w:ascii="Arial" w:hAnsi="Arial" w:cs="Arial"/>
        </w:rPr>
        <w:t xml:space="preserve">ACTINN: automated identification of cell types in single cell RNA sequencing. </w:t>
      </w:r>
      <w:hyperlink r:id="rId10" w:tooltip="Bioinformatics (Oxford, England)." w:history="1">
        <w:r w:rsidR="000655F4" w:rsidRPr="000655F4">
          <w:rPr>
            <w:rFonts w:ascii="Arial" w:hAnsi="Arial" w:cs="Arial"/>
            <w:i/>
          </w:rPr>
          <w:t>Bioinformatics</w:t>
        </w:r>
        <w:r w:rsidR="000655F4" w:rsidRPr="000655F4">
          <w:rPr>
            <w:rFonts w:ascii="Arial" w:hAnsi="Arial" w:cs="Arial"/>
          </w:rPr>
          <w:t>.</w:t>
        </w:r>
      </w:hyperlink>
      <w:r w:rsidR="000655F4" w:rsidRPr="000655F4">
        <w:rPr>
          <w:rFonts w:ascii="Arial" w:hAnsi="Arial" w:cs="Arial"/>
        </w:rPr>
        <w:t> 2020 Jan 15</w:t>
      </w:r>
      <w:proofErr w:type="gramStart"/>
      <w:r w:rsidR="000655F4" w:rsidRPr="000655F4">
        <w:rPr>
          <w:rFonts w:ascii="Arial" w:hAnsi="Arial" w:cs="Arial"/>
        </w:rPr>
        <w:t>;36</w:t>
      </w:r>
      <w:proofErr w:type="gramEnd"/>
      <w:r w:rsidR="000655F4" w:rsidRPr="000655F4">
        <w:rPr>
          <w:rFonts w:ascii="Arial" w:hAnsi="Arial" w:cs="Arial"/>
        </w:rPr>
        <w:t xml:space="preserve">(2):533-538. </w:t>
      </w:r>
      <w:proofErr w:type="spellStart"/>
      <w:proofErr w:type="gramStart"/>
      <w:r w:rsidR="000655F4" w:rsidRPr="000655F4">
        <w:rPr>
          <w:rFonts w:ascii="Arial" w:hAnsi="Arial" w:cs="Arial"/>
        </w:rPr>
        <w:t>doi</w:t>
      </w:r>
      <w:proofErr w:type="spellEnd"/>
      <w:proofErr w:type="gramEnd"/>
      <w:r w:rsidR="000655F4" w:rsidRPr="000655F4">
        <w:rPr>
          <w:rFonts w:ascii="Arial" w:hAnsi="Arial" w:cs="Arial"/>
        </w:rPr>
        <w:t>: 10.1093/bioinformatics/btz592.</w:t>
      </w:r>
    </w:p>
    <w:p w:rsidR="0098723E" w:rsidRDefault="004A5C8C" w:rsidP="003423FF">
      <w:pPr>
        <w:rPr>
          <w:rFonts w:ascii="Arial" w:hAnsi="Arial" w:cs="Arial"/>
        </w:rPr>
      </w:pPr>
      <w:r w:rsidRPr="004A5C8C">
        <w:rPr>
          <w:rFonts w:ascii="Arial" w:hAnsi="Arial" w:cs="Arial"/>
          <w:b/>
        </w:rPr>
        <w:t xml:space="preserve">ACTINN </w:t>
      </w:r>
      <w:r w:rsidRPr="004A5C8C">
        <w:rPr>
          <w:rFonts w:ascii="Arial" w:hAnsi="Arial" w:cs="Arial"/>
        </w:rPr>
        <w:t>(Automated Cell Type Identification using Neural Networks) automatically learns the features for each predefined cell type and uses these features to predict cell types for individual cells. ACTINN allows users to rapidly identify cell types in their datasets, thus rendering the analysis of their Single cell RNA sequencing (scRNA-seq) datasets more efficient.</w:t>
      </w:r>
      <w:r w:rsidR="0098723E">
        <w:rPr>
          <w:rFonts w:ascii="Arial" w:hAnsi="Arial" w:cs="Arial"/>
        </w:rPr>
        <w:t xml:space="preserve"> </w:t>
      </w:r>
      <w:r w:rsidR="0098723E" w:rsidRPr="004A5C8C">
        <w:rPr>
          <w:rFonts w:ascii="Arial" w:hAnsi="Arial" w:cs="Arial"/>
        </w:rPr>
        <w:t xml:space="preserve">This approach is computationally efficient and requires no domain expertise of the tissues </w:t>
      </w:r>
      <w:proofErr w:type="gramStart"/>
      <w:r w:rsidR="0098723E" w:rsidRPr="004A5C8C">
        <w:rPr>
          <w:rFonts w:ascii="Arial" w:hAnsi="Arial" w:cs="Arial"/>
        </w:rPr>
        <w:t>being studied</w:t>
      </w:r>
      <w:proofErr w:type="gramEnd"/>
      <w:r w:rsidR="0098723E" w:rsidRPr="004A5C8C">
        <w:rPr>
          <w:rFonts w:ascii="Arial" w:hAnsi="Arial" w:cs="Arial"/>
        </w:rPr>
        <w:t xml:space="preserve">. </w:t>
      </w:r>
    </w:p>
    <w:p w:rsidR="00B9424B" w:rsidRPr="00B9424B" w:rsidRDefault="00B9424B" w:rsidP="003423FF">
      <w:pPr>
        <w:rPr>
          <w:rFonts w:ascii="Arial" w:hAnsi="Arial" w:cs="Arial"/>
          <w:b/>
        </w:rPr>
      </w:pPr>
      <w:r w:rsidRPr="00B9424B">
        <w:rPr>
          <w:rFonts w:ascii="Arial" w:hAnsi="Arial" w:cs="Arial"/>
          <w:b/>
        </w:rPr>
        <w:t>Motivation:</w:t>
      </w:r>
    </w:p>
    <w:p w:rsidR="000655F4" w:rsidRDefault="000655F4" w:rsidP="00B9424B">
      <w:pPr>
        <w:jc w:val="both"/>
        <w:rPr>
          <w:rFonts w:ascii="Arial" w:hAnsi="Arial" w:cs="Arial"/>
        </w:rPr>
      </w:pPr>
      <w:r w:rsidRPr="000655F4">
        <w:rPr>
          <w:rFonts w:ascii="Arial" w:hAnsi="Arial" w:cs="Arial"/>
        </w:rPr>
        <w:t xml:space="preserve">One common goal of scRNA-seq analyses is to identify the cell type of each individual cell that </w:t>
      </w:r>
      <w:proofErr w:type="gramStart"/>
      <w:r w:rsidRPr="000655F4">
        <w:rPr>
          <w:rFonts w:ascii="Arial" w:hAnsi="Arial" w:cs="Arial"/>
        </w:rPr>
        <w:t>has been profiled</w:t>
      </w:r>
      <w:proofErr w:type="gramEnd"/>
      <w:r w:rsidRPr="000655F4">
        <w:rPr>
          <w:rFonts w:ascii="Arial" w:hAnsi="Arial" w:cs="Arial"/>
        </w:rPr>
        <w:t xml:space="preserve">. To accomplish this, typically cells </w:t>
      </w:r>
      <w:proofErr w:type="gramStart"/>
      <w:r w:rsidRPr="000655F4">
        <w:rPr>
          <w:rFonts w:ascii="Arial" w:hAnsi="Arial" w:cs="Arial"/>
        </w:rPr>
        <w:t>are first grouped</w:t>
      </w:r>
      <w:proofErr w:type="gramEnd"/>
      <w:r w:rsidRPr="000655F4">
        <w:rPr>
          <w:rFonts w:ascii="Arial" w:hAnsi="Arial" w:cs="Arial"/>
        </w:rPr>
        <w:t xml:space="preserve"> into different clusters in an unsupervised way, and the number of clusters allows us to approximately determine how many distinct cell types are present in the sample. Each cluster should contain cells with similar expression profiles, and so the aggregated profile of a cluster increases the signal to noise of the expression estimates. To attempt to interpret the identity of each cluster, marker genes </w:t>
      </w:r>
      <w:proofErr w:type="gramStart"/>
      <w:r w:rsidRPr="000655F4">
        <w:rPr>
          <w:rFonts w:ascii="Arial" w:hAnsi="Arial" w:cs="Arial"/>
        </w:rPr>
        <w:t>are found</w:t>
      </w:r>
      <w:proofErr w:type="gramEnd"/>
      <w:r w:rsidRPr="000655F4">
        <w:rPr>
          <w:rFonts w:ascii="Arial" w:hAnsi="Arial" w:cs="Arial"/>
        </w:rPr>
        <w:t xml:space="preserve"> as those that are uniquely highly expressed in a cluster, compared to all the other clusters. These canonical markers are then used to assign the cell types for the clusters, by </w:t>
      </w:r>
      <w:proofErr w:type="gramStart"/>
      <w:r w:rsidRPr="000655F4">
        <w:rPr>
          <w:rFonts w:ascii="Arial" w:hAnsi="Arial" w:cs="Arial"/>
        </w:rPr>
        <w:t>cross referencing</w:t>
      </w:r>
      <w:proofErr w:type="gramEnd"/>
      <w:r w:rsidRPr="000655F4">
        <w:rPr>
          <w:rFonts w:ascii="Arial" w:hAnsi="Arial" w:cs="Arial"/>
        </w:rPr>
        <w:t xml:space="preserve"> the</w:t>
      </w:r>
      <w:r w:rsidR="00B9424B">
        <w:rPr>
          <w:rFonts w:ascii="Arial" w:hAnsi="Arial" w:cs="Arial"/>
        </w:rPr>
        <w:t xml:space="preserve"> </w:t>
      </w:r>
      <w:r w:rsidR="00B9424B" w:rsidRPr="00B9424B">
        <w:rPr>
          <w:rFonts w:ascii="Arial" w:hAnsi="Arial" w:cs="Arial"/>
        </w:rPr>
        <w:t xml:space="preserve">markers with lists of previously characterized cell type specific markers. While this process is able to identify cell types, there are some limitations: 1. </w:t>
      </w:r>
      <w:proofErr w:type="gramStart"/>
      <w:r w:rsidR="00B9424B" w:rsidRPr="00B9424B">
        <w:rPr>
          <w:rFonts w:ascii="Arial" w:hAnsi="Arial" w:cs="Arial"/>
        </w:rPr>
        <w:t>Since</w:t>
      </w:r>
      <w:proofErr w:type="gramEnd"/>
      <w:r w:rsidR="00B9424B" w:rsidRPr="00B9424B">
        <w:rPr>
          <w:rFonts w:ascii="Arial" w:hAnsi="Arial" w:cs="Arial"/>
        </w:rPr>
        <w:t xml:space="preserve"> the clustering method is unsupervised, all sources of variation influence the formation clusters, including effects that are not directly </w:t>
      </w:r>
      <w:r w:rsidR="00B9424B" w:rsidRPr="00B9424B">
        <w:rPr>
          <w:rFonts w:ascii="Arial" w:hAnsi="Arial" w:cs="Arial"/>
        </w:rPr>
        <w:lastRenderedPageBreak/>
        <w:t xml:space="preserve">related to cell types such as differential expression induced by cell cycles. 2. </w:t>
      </w:r>
      <w:r w:rsidR="00B9424B" w:rsidRPr="0098723E">
        <w:rPr>
          <w:rFonts w:ascii="Arial" w:hAnsi="Arial" w:cs="Arial"/>
          <w:highlight w:val="yellow"/>
        </w:rPr>
        <w:t>It is often difficult to find an optimal match between the marker genes associated with each cluster and the canonical markers for specific cell types. Moreover, depending on t</w:t>
      </w:r>
      <w:r w:rsidR="0098723E" w:rsidRPr="0098723E">
        <w:rPr>
          <w:rFonts w:ascii="Arial" w:hAnsi="Arial" w:cs="Arial"/>
          <w:highlight w:val="yellow"/>
        </w:rPr>
        <w:t xml:space="preserve">he clustering parameters used, </w:t>
      </w:r>
      <w:r w:rsidR="00B9424B" w:rsidRPr="0098723E">
        <w:rPr>
          <w:rFonts w:ascii="Arial" w:hAnsi="Arial" w:cs="Arial"/>
          <w:highlight w:val="yellow"/>
        </w:rPr>
        <w:t xml:space="preserve">one cluster might contain multiple cell types, or one cell type </w:t>
      </w:r>
      <w:proofErr w:type="gramStart"/>
      <w:r w:rsidR="00B9424B" w:rsidRPr="0098723E">
        <w:rPr>
          <w:rFonts w:ascii="Arial" w:hAnsi="Arial" w:cs="Arial"/>
          <w:highlight w:val="yellow"/>
        </w:rPr>
        <w:t>could be split</w:t>
      </w:r>
      <w:proofErr w:type="gramEnd"/>
      <w:r w:rsidR="00B9424B" w:rsidRPr="0098723E">
        <w:rPr>
          <w:rFonts w:ascii="Arial" w:hAnsi="Arial" w:cs="Arial"/>
          <w:highlight w:val="yellow"/>
        </w:rPr>
        <w:t xml:space="preserve"> into multiple clusters</w:t>
      </w:r>
      <w:r w:rsidR="00B9424B" w:rsidRPr="00B9424B">
        <w:rPr>
          <w:rFonts w:ascii="Arial" w:hAnsi="Arial" w:cs="Arial"/>
        </w:rPr>
        <w:t xml:space="preserve">. 3. </w:t>
      </w:r>
      <w:r w:rsidR="00B9424B" w:rsidRPr="0098723E">
        <w:rPr>
          <w:rFonts w:ascii="Arial" w:hAnsi="Arial" w:cs="Arial"/>
          <w:color w:val="FF0000"/>
        </w:rPr>
        <w:t xml:space="preserve">Using canonical markers to assign cell types requires background knowledge of cell type specific markers, and sometimes these are not well characterized or difficult to find in the literature. Moreover, some canonical markers </w:t>
      </w:r>
      <w:proofErr w:type="gramStart"/>
      <w:r w:rsidR="00B9424B" w:rsidRPr="0098723E">
        <w:rPr>
          <w:rFonts w:ascii="Arial" w:hAnsi="Arial" w:cs="Arial"/>
          <w:color w:val="FF0000"/>
        </w:rPr>
        <w:t>may be expressed</w:t>
      </w:r>
      <w:proofErr w:type="gramEnd"/>
      <w:r w:rsidR="00B9424B" w:rsidRPr="0098723E">
        <w:rPr>
          <w:rFonts w:ascii="Arial" w:hAnsi="Arial" w:cs="Arial"/>
          <w:color w:val="FF0000"/>
        </w:rPr>
        <w:t xml:space="preserve"> by more than one cell type, and some cell types may have no known markers</w:t>
      </w:r>
      <w:r w:rsidR="00B9424B" w:rsidRPr="00B9424B">
        <w:rPr>
          <w:rFonts w:ascii="Arial" w:hAnsi="Arial" w:cs="Arial"/>
        </w:rPr>
        <w:t xml:space="preserve">. 4. The same types of cells processed by two distinct scRNA-seq techniques tend to cluster separately due to </w:t>
      </w:r>
      <w:r w:rsidR="00B9424B" w:rsidRPr="0098723E">
        <w:rPr>
          <w:rFonts w:ascii="Arial" w:hAnsi="Arial" w:cs="Arial"/>
          <w:color w:val="FF0000"/>
        </w:rPr>
        <w:t>technical batch effects</w:t>
      </w:r>
      <w:r w:rsidR="00B9424B" w:rsidRPr="00B9424B">
        <w:rPr>
          <w:rFonts w:ascii="Arial" w:hAnsi="Arial" w:cs="Arial"/>
        </w:rPr>
        <w:t xml:space="preserve">, which complicates cell type identification in composite datasets. 5. </w:t>
      </w:r>
      <w:r w:rsidR="00B9424B" w:rsidRPr="0098723E">
        <w:rPr>
          <w:rFonts w:ascii="Arial" w:hAnsi="Arial" w:cs="Arial"/>
          <w:b/>
          <w:color w:val="000000" w:themeColor="text1"/>
        </w:rPr>
        <w:t>Cell subtypes are often very similar to each other</w:t>
      </w:r>
      <w:r w:rsidR="00B9424B" w:rsidRPr="00B9424B">
        <w:rPr>
          <w:rFonts w:ascii="Arial" w:hAnsi="Arial" w:cs="Arial"/>
        </w:rPr>
        <w:t>, which limits efforts to separate them accurately into different clusters. To overcome many of the limitations of existing approaches, new methods need to be developed.</w:t>
      </w:r>
    </w:p>
    <w:p w:rsidR="0098723E" w:rsidRPr="00D65D93" w:rsidRDefault="0098723E" w:rsidP="00B9424B">
      <w:pPr>
        <w:jc w:val="both"/>
        <w:rPr>
          <w:rFonts w:ascii="Arial" w:hAnsi="Arial" w:cs="Arial"/>
          <w:b/>
        </w:rPr>
      </w:pPr>
      <w:r w:rsidRPr="00D65D93">
        <w:rPr>
          <w:rFonts w:ascii="Arial" w:hAnsi="Arial" w:cs="Arial"/>
          <w:b/>
        </w:rPr>
        <w:t xml:space="preserve">Neural networks provide a popular framework for machine learning </w:t>
      </w:r>
      <w:proofErr w:type="gramStart"/>
      <w:r w:rsidRPr="00D65D93">
        <w:rPr>
          <w:rFonts w:ascii="Arial" w:hAnsi="Arial" w:cs="Arial"/>
          <w:b/>
        </w:rPr>
        <w:t>algorithms which</w:t>
      </w:r>
      <w:proofErr w:type="gramEnd"/>
      <w:r w:rsidRPr="00D65D93">
        <w:rPr>
          <w:rFonts w:ascii="Arial" w:hAnsi="Arial" w:cs="Arial"/>
          <w:b/>
        </w:rPr>
        <w:t xml:space="preserve"> can be used to interpret complex datasets.  As a result, neural networks have been widely used in many fields, including for the analysis of scRNA-seq data [</w:t>
      </w:r>
      <w:r w:rsidRPr="00D65D93">
        <w:rPr>
          <w:rFonts w:ascii="Arial" w:hAnsi="Arial" w:cs="Arial"/>
          <w:b/>
          <w:highlight w:val="yellow"/>
        </w:rPr>
        <w:t>2-5</w:t>
      </w:r>
      <w:r w:rsidRPr="00D65D93">
        <w:rPr>
          <w:rFonts w:ascii="Arial" w:hAnsi="Arial" w:cs="Arial"/>
          <w:b/>
        </w:rPr>
        <w:t xml:space="preserve">]. Since the output data from scRNA-seq is feature-enriched and </w:t>
      </w:r>
      <w:proofErr w:type="gramStart"/>
      <w:r w:rsidRPr="00D65D93">
        <w:rPr>
          <w:rFonts w:ascii="Arial" w:hAnsi="Arial" w:cs="Arial"/>
          <w:b/>
        </w:rPr>
        <w:t>well-structured</w:t>
      </w:r>
      <w:proofErr w:type="gramEnd"/>
      <w:r w:rsidRPr="00D65D93">
        <w:rPr>
          <w:rFonts w:ascii="Arial" w:hAnsi="Arial" w:cs="Arial"/>
          <w:b/>
        </w:rPr>
        <w:t xml:space="preserve">, it is well suited as an input for neural networks. Here, we </w:t>
      </w:r>
      <w:proofErr w:type="gramStart"/>
      <w:r w:rsidRPr="00D65D93">
        <w:rPr>
          <w:rFonts w:ascii="Arial" w:hAnsi="Arial" w:cs="Arial"/>
          <w:b/>
        </w:rPr>
        <w:t>present  ACTINN</w:t>
      </w:r>
      <w:proofErr w:type="gramEnd"/>
      <w:r w:rsidRPr="00D65D93">
        <w:rPr>
          <w:rFonts w:ascii="Arial" w:hAnsi="Arial" w:cs="Arial"/>
          <w:b/>
        </w:rPr>
        <w:t xml:space="preserve"> (Automated Cell Type Identification using Neural Networks) for scRNA-seq cell type identification. To overcome may of the limitations of traditional cell type identification</w:t>
      </w:r>
    </w:p>
    <w:p w:rsidR="0098723E" w:rsidRDefault="00C94DCD" w:rsidP="00C94DCD">
      <w:pPr>
        <w:jc w:val="both"/>
        <w:rPr>
          <w:rFonts w:ascii="Arial" w:hAnsi="Arial" w:cs="Arial"/>
        </w:rPr>
      </w:pPr>
      <w:r>
        <w:rPr>
          <w:rFonts w:ascii="Arial" w:hAnsi="Arial" w:cs="Arial"/>
        </w:rPr>
        <w:t>[</w:t>
      </w:r>
      <w:r w:rsidRPr="00C94DCD">
        <w:rPr>
          <w:rFonts w:ascii="Arial" w:hAnsi="Arial" w:cs="Arial"/>
          <w:highlight w:val="yellow"/>
        </w:rPr>
        <w:t>2</w:t>
      </w:r>
      <w:r>
        <w:rPr>
          <w:rFonts w:ascii="Arial" w:hAnsi="Arial" w:cs="Arial"/>
        </w:rPr>
        <w:t xml:space="preserve">] </w:t>
      </w:r>
      <w:r w:rsidRPr="00C94DCD">
        <w:rPr>
          <w:rFonts w:ascii="Arial" w:hAnsi="Arial" w:cs="Arial"/>
        </w:rPr>
        <w:t>Lin C, Jain S, Kim H, Bar-Joseph Z. Using neural networks for reducing the dimensions</w:t>
      </w:r>
      <w:r>
        <w:rPr>
          <w:rFonts w:ascii="Arial" w:hAnsi="Arial" w:cs="Arial"/>
        </w:rPr>
        <w:t xml:space="preserve"> </w:t>
      </w:r>
      <w:r w:rsidRPr="00C94DCD">
        <w:rPr>
          <w:rFonts w:ascii="Arial" w:hAnsi="Arial" w:cs="Arial"/>
        </w:rPr>
        <w:t>of single-cell RNA-</w:t>
      </w:r>
      <w:proofErr w:type="spellStart"/>
      <w:r w:rsidRPr="00C94DCD">
        <w:rPr>
          <w:rFonts w:ascii="Arial" w:hAnsi="Arial" w:cs="Arial"/>
        </w:rPr>
        <w:t>Seq</w:t>
      </w:r>
      <w:proofErr w:type="spellEnd"/>
      <w:r w:rsidRPr="00C94DCD">
        <w:rPr>
          <w:rFonts w:ascii="Arial" w:hAnsi="Arial" w:cs="Arial"/>
        </w:rPr>
        <w:t xml:space="preserve"> data. Nucleic Acids Res. 2017</w:t>
      </w:r>
      <w:proofErr w:type="gramStart"/>
      <w:r w:rsidRPr="00C94DCD">
        <w:rPr>
          <w:rFonts w:ascii="Arial" w:hAnsi="Arial" w:cs="Arial"/>
        </w:rPr>
        <w:t>;45</w:t>
      </w:r>
      <w:proofErr w:type="gramEnd"/>
      <w:r w:rsidRPr="00C94DCD">
        <w:rPr>
          <w:rFonts w:ascii="Arial" w:hAnsi="Arial" w:cs="Arial"/>
        </w:rPr>
        <w:t>(17):e156.</w:t>
      </w:r>
    </w:p>
    <w:p w:rsidR="00C94DCD" w:rsidRDefault="00C94DCD" w:rsidP="00C94DCD">
      <w:pPr>
        <w:jc w:val="both"/>
        <w:rPr>
          <w:rFonts w:ascii="Arial" w:hAnsi="Arial" w:cs="Arial"/>
        </w:rPr>
      </w:pPr>
      <w:r>
        <w:rPr>
          <w:rFonts w:ascii="Arial" w:hAnsi="Arial" w:cs="Arial"/>
        </w:rPr>
        <w:t>[</w:t>
      </w:r>
      <w:r w:rsidRPr="00C94DCD">
        <w:rPr>
          <w:rFonts w:ascii="Arial" w:hAnsi="Arial" w:cs="Arial"/>
          <w:highlight w:val="yellow"/>
        </w:rPr>
        <w:t>3</w:t>
      </w:r>
      <w:r>
        <w:rPr>
          <w:rFonts w:ascii="Arial" w:hAnsi="Arial" w:cs="Arial"/>
        </w:rPr>
        <w:t xml:space="preserve">] </w:t>
      </w:r>
      <w:proofErr w:type="spellStart"/>
      <w:r w:rsidRPr="00C94DCD">
        <w:rPr>
          <w:rFonts w:ascii="Arial" w:hAnsi="Arial" w:cs="Arial"/>
        </w:rPr>
        <w:t>Shaham</w:t>
      </w:r>
      <w:proofErr w:type="spellEnd"/>
      <w:r w:rsidRPr="00C94DCD">
        <w:rPr>
          <w:rFonts w:ascii="Arial" w:hAnsi="Arial" w:cs="Arial"/>
        </w:rPr>
        <w:t xml:space="preserve"> U, Stanton KP, Zhao J, et al. Removal of batch effects using distribution-matching residual networks. Bioinformatics. 2017</w:t>
      </w:r>
      <w:proofErr w:type="gramStart"/>
      <w:r w:rsidRPr="00C94DCD">
        <w:rPr>
          <w:rFonts w:ascii="Arial" w:hAnsi="Arial" w:cs="Arial"/>
        </w:rPr>
        <w:t>;33</w:t>
      </w:r>
      <w:proofErr w:type="gramEnd"/>
      <w:r w:rsidRPr="00C94DCD">
        <w:rPr>
          <w:rFonts w:ascii="Arial" w:hAnsi="Arial" w:cs="Arial"/>
        </w:rPr>
        <w:t>(16):2539-2546.</w:t>
      </w:r>
    </w:p>
    <w:p w:rsidR="00C94DCD" w:rsidRDefault="00C94DCD" w:rsidP="00C94DCD">
      <w:pPr>
        <w:jc w:val="both"/>
        <w:rPr>
          <w:rFonts w:ascii="Arial" w:hAnsi="Arial" w:cs="Arial"/>
        </w:rPr>
      </w:pPr>
      <w:r>
        <w:rPr>
          <w:rFonts w:ascii="Arial" w:hAnsi="Arial" w:cs="Arial"/>
        </w:rPr>
        <w:t>[</w:t>
      </w:r>
      <w:r w:rsidRPr="00C94DCD">
        <w:rPr>
          <w:rFonts w:ascii="Arial" w:hAnsi="Arial" w:cs="Arial"/>
          <w:highlight w:val="yellow"/>
        </w:rPr>
        <w:t>4</w:t>
      </w:r>
      <w:r>
        <w:rPr>
          <w:rFonts w:ascii="Arial" w:hAnsi="Arial" w:cs="Arial"/>
        </w:rPr>
        <w:t xml:space="preserve">] </w:t>
      </w:r>
      <w:r w:rsidRPr="00C94DCD">
        <w:rPr>
          <w:rFonts w:ascii="Arial" w:hAnsi="Arial" w:cs="Arial"/>
        </w:rPr>
        <w:t xml:space="preserve">Lopez, R., et al., Deep generative modeling for single-cell </w:t>
      </w:r>
      <w:proofErr w:type="spellStart"/>
      <w:r w:rsidRPr="00C94DCD">
        <w:rPr>
          <w:rFonts w:ascii="Arial" w:hAnsi="Arial" w:cs="Arial"/>
        </w:rPr>
        <w:t>transcriptomic</w:t>
      </w:r>
      <w:r>
        <w:rPr>
          <w:rFonts w:ascii="Arial" w:hAnsi="Arial" w:cs="Arial"/>
        </w:rPr>
        <w:t>s</w:t>
      </w:r>
      <w:proofErr w:type="spellEnd"/>
      <w:r w:rsidRPr="00C94DCD">
        <w:rPr>
          <w:rFonts w:ascii="Arial" w:hAnsi="Arial" w:cs="Arial"/>
        </w:rPr>
        <w:t>. Nature</w:t>
      </w:r>
      <w:r>
        <w:rPr>
          <w:rFonts w:ascii="Arial" w:hAnsi="Arial" w:cs="Arial"/>
        </w:rPr>
        <w:t xml:space="preserve"> </w:t>
      </w:r>
      <w:r w:rsidRPr="00C94DCD">
        <w:rPr>
          <w:rFonts w:ascii="Arial" w:hAnsi="Arial" w:cs="Arial"/>
        </w:rPr>
        <w:t xml:space="preserve">Methods, 2018. </w:t>
      </w:r>
      <w:proofErr w:type="gramStart"/>
      <w:r w:rsidRPr="00C94DCD">
        <w:rPr>
          <w:rFonts w:ascii="Arial" w:hAnsi="Arial" w:cs="Arial"/>
        </w:rPr>
        <w:t>15</w:t>
      </w:r>
      <w:proofErr w:type="gramEnd"/>
      <w:r w:rsidRPr="00C94DCD">
        <w:rPr>
          <w:rFonts w:ascii="Arial" w:hAnsi="Arial" w:cs="Arial"/>
        </w:rPr>
        <w:t>(12): p. 1053-1058.</w:t>
      </w:r>
    </w:p>
    <w:p w:rsidR="00C94DCD" w:rsidRDefault="00C94DCD" w:rsidP="00C94DCD">
      <w:pPr>
        <w:jc w:val="both"/>
        <w:rPr>
          <w:rFonts w:ascii="Arial" w:hAnsi="Arial" w:cs="Arial"/>
        </w:rPr>
      </w:pPr>
      <w:r>
        <w:rPr>
          <w:rFonts w:ascii="Arial" w:hAnsi="Arial" w:cs="Arial"/>
        </w:rPr>
        <w:t>[</w:t>
      </w:r>
      <w:r w:rsidRPr="00C94DCD">
        <w:rPr>
          <w:rFonts w:ascii="Arial" w:hAnsi="Arial" w:cs="Arial"/>
          <w:highlight w:val="yellow"/>
        </w:rPr>
        <w:t>5</w:t>
      </w:r>
      <w:r>
        <w:rPr>
          <w:rFonts w:ascii="Arial" w:hAnsi="Arial" w:cs="Arial"/>
        </w:rPr>
        <w:t xml:space="preserve">] </w:t>
      </w:r>
      <w:r w:rsidRPr="00C94DCD">
        <w:rPr>
          <w:rFonts w:ascii="Arial" w:hAnsi="Arial" w:cs="Arial"/>
        </w:rPr>
        <w:t>Cho, H., Berger, B. &amp; Peng, J. Generalizable and Scalable Visualization of Single</w:t>
      </w:r>
      <w:r>
        <w:rPr>
          <w:rFonts w:ascii="Arial" w:hAnsi="Arial" w:cs="Arial"/>
        </w:rPr>
        <w:t xml:space="preserve"> </w:t>
      </w:r>
      <w:r w:rsidRPr="00C94DCD">
        <w:rPr>
          <w:rFonts w:ascii="Arial" w:hAnsi="Arial" w:cs="Arial"/>
        </w:rPr>
        <w:t>Cell</w:t>
      </w:r>
      <w:r>
        <w:rPr>
          <w:rFonts w:ascii="Arial" w:hAnsi="Arial" w:cs="Arial"/>
        </w:rPr>
        <w:t xml:space="preserve"> </w:t>
      </w:r>
      <w:r w:rsidRPr="00C94DCD">
        <w:rPr>
          <w:rFonts w:ascii="Arial" w:hAnsi="Arial" w:cs="Arial"/>
        </w:rPr>
        <w:t xml:space="preserve">Data Using Neural Networks. Cell </w:t>
      </w:r>
      <w:proofErr w:type="spellStart"/>
      <w:r w:rsidRPr="00C94DCD">
        <w:rPr>
          <w:rFonts w:ascii="Arial" w:hAnsi="Arial" w:cs="Arial"/>
        </w:rPr>
        <w:t>Syst</w:t>
      </w:r>
      <w:proofErr w:type="spellEnd"/>
      <w:r w:rsidRPr="00C94DCD">
        <w:rPr>
          <w:rFonts w:ascii="Arial" w:hAnsi="Arial" w:cs="Arial"/>
        </w:rPr>
        <w:t xml:space="preserve"> 7, 185-191 e184, doi:10.1016/j.cels.2018.05.017 (2018).</w:t>
      </w:r>
    </w:p>
    <w:p w:rsidR="00224411" w:rsidRDefault="00224411" w:rsidP="00C94DCD">
      <w:pPr>
        <w:jc w:val="both"/>
        <w:rPr>
          <w:rFonts w:ascii="Arial" w:hAnsi="Arial" w:cs="Arial"/>
        </w:rPr>
      </w:pPr>
    </w:p>
    <w:p w:rsidR="00224411" w:rsidRDefault="00224411" w:rsidP="00C94DCD">
      <w:pPr>
        <w:jc w:val="both"/>
        <w:rPr>
          <w:rFonts w:ascii="Arial" w:hAnsi="Arial" w:cs="Arial"/>
        </w:rPr>
      </w:pPr>
      <w:proofErr w:type="spellStart"/>
      <w:r w:rsidRPr="00224411">
        <w:rPr>
          <w:rFonts w:ascii="Arial" w:hAnsi="Arial" w:cs="Arial"/>
        </w:rPr>
        <w:t>Tamim</w:t>
      </w:r>
      <w:proofErr w:type="spellEnd"/>
      <w:r w:rsidRPr="00224411">
        <w:rPr>
          <w:rFonts w:ascii="Arial" w:hAnsi="Arial" w:cs="Arial"/>
        </w:rPr>
        <w:t xml:space="preserve"> </w:t>
      </w:r>
      <w:proofErr w:type="spellStart"/>
      <w:r w:rsidRPr="00224411">
        <w:rPr>
          <w:rFonts w:ascii="Arial" w:hAnsi="Arial" w:cs="Arial"/>
        </w:rPr>
        <w:t>Abdelaal</w:t>
      </w:r>
      <w:proofErr w:type="spellEnd"/>
      <w:r w:rsidRPr="00224411">
        <w:rPr>
          <w:rFonts w:ascii="Arial" w:hAnsi="Arial" w:cs="Arial"/>
        </w:rPr>
        <w:t xml:space="preserve">, Vincent van </w:t>
      </w:r>
      <w:proofErr w:type="spellStart"/>
      <w:r w:rsidRPr="00224411">
        <w:rPr>
          <w:rFonts w:ascii="Arial" w:hAnsi="Arial" w:cs="Arial"/>
        </w:rPr>
        <w:t>Unen</w:t>
      </w:r>
      <w:proofErr w:type="spellEnd"/>
      <w:r w:rsidRPr="00224411">
        <w:rPr>
          <w:rFonts w:ascii="Arial" w:hAnsi="Arial" w:cs="Arial"/>
        </w:rPr>
        <w:t xml:space="preserve">, Thomas </w:t>
      </w:r>
      <w:proofErr w:type="spellStart"/>
      <w:r w:rsidRPr="00224411">
        <w:rPr>
          <w:rFonts w:ascii="Arial" w:hAnsi="Arial" w:cs="Arial"/>
        </w:rPr>
        <w:t>Höllt</w:t>
      </w:r>
      <w:proofErr w:type="spellEnd"/>
      <w:r w:rsidRPr="00224411">
        <w:rPr>
          <w:rFonts w:ascii="Arial" w:hAnsi="Arial" w:cs="Arial"/>
        </w:rPr>
        <w:t xml:space="preserve">, Frits </w:t>
      </w:r>
      <w:proofErr w:type="spellStart"/>
      <w:r w:rsidRPr="00224411">
        <w:rPr>
          <w:rFonts w:ascii="Arial" w:hAnsi="Arial" w:cs="Arial"/>
        </w:rPr>
        <w:t>Koning</w:t>
      </w:r>
      <w:proofErr w:type="spellEnd"/>
      <w:r w:rsidRPr="00224411">
        <w:rPr>
          <w:rFonts w:ascii="Arial" w:hAnsi="Arial" w:cs="Arial"/>
        </w:rPr>
        <w:t xml:space="preserve">, Marcel J.T. </w:t>
      </w:r>
      <w:proofErr w:type="spellStart"/>
      <w:r w:rsidRPr="00224411">
        <w:rPr>
          <w:rFonts w:ascii="Arial" w:hAnsi="Arial" w:cs="Arial"/>
        </w:rPr>
        <w:t>Reinders</w:t>
      </w:r>
      <w:proofErr w:type="spellEnd"/>
      <w:r w:rsidRPr="00224411">
        <w:rPr>
          <w:rFonts w:ascii="Arial" w:hAnsi="Arial" w:cs="Arial"/>
        </w:rPr>
        <w:t>, Ahmed Mahfouz. Predicting Cell Populations in Single Cell Mass Cytometry Data. Cytometry Part A, 95A: 769–781, 2019.</w:t>
      </w:r>
    </w:p>
    <w:p w:rsidR="00D24407" w:rsidRDefault="00D24407" w:rsidP="00C94DCD">
      <w:pPr>
        <w:jc w:val="both"/>
        <w:rPr>
          <w:rFonts w:ascii="Arial" w:hAnsi="Arial" w:cs="Arial"/>
        </w:rPr>
      </w:pPr>
    </w:p>
    <w:p w:rsidR="00D24407" w:rsidRDefault="00D24407" w:rsidP="00D24407">
      <w:pPr>
        <w:pStyle w:val="Heading2"/>
        <w:shd w:val="clear" w:color="auto" w:fill="BED4EB"/>
        <w:rPr>
          <w:rFonts w:ascii="Segoe UI" w:hAnsi="Segoe UI" w:cs="Segoe UI"/>
          <w:color w:val="212529"/>
        </w:rPr>
      </w:pPr>
      <w:r>
        <w:rPr>
          <w:rFonts w:ascii="Segoe UI" w:hAnsi="Segoe UI" w:cs="Segoe UI"/>
          <w:b/>
          <w:bCs/>
          <w:color w:val="212529"/>
        </w:rPr>
        <w:t>DBSCAN</w:t>
      </w:r>
    </w:p>
    <w:p w:rsidR="00D24407" w:rsidRDefault="00D24407" w:rsidP="00C94DCD">
      <w:pPr>
        <w:jc w:val="both"/>
        <w:rPr>
          <w:rFonts w:ascii="Arial" w:hAnsi="Arial" w:cs="Arial"/>
        </w:rPr>
      </w:pPr>
    </w:p>
    <w:p w:rsidR="00D24407" w:rsidRDefault="00D24407" w:rsidP="00C94DCD">
      <w:pPr>
        <w:jc w:val="both"/>
        <w:rPr>
          <w:rFonts w:ascii="Arial" w:hAnsi="Arial" w:cs="Arial"/>
        </w:rPr>
      </w:pPr>
      <w:r w:rsidRPr="00D24407">
        <w:rPr>
          <w:rFonts w:ascii="Arial" w:hAnsi="Arial" w:cs="Arial"/>
        </w:rPr>
        <w:t>More formally, we define a core sample as being a sample in the dataset such that there exist </w:t>
      </w:r>
      <w:proofErr w:type="spellStart"/>
      <w:r w:rsidRPr="00D24407">
        <w:rPr>
          <w:rFonts w:ascii="Arial" w:hAnsi="Arial" w:cs="Arial"/>
        </w:rPr>
        <w:t>min_samples</w:t>
      </w:r>
      <w:proofErr w:type="spellEnd"/>
      <w:r w:rsidRPr="00D24407">
        <w:rPr>
          <w:rFonts w:ascii="Arial" w:hAnsi="Arial" w:cs="Arial"/>
        </w:rPr>
        <w:t> other samples within a distance of </w:t>
      </w:r>
      <w:r w:rsidRPr="00D24407">
        <w:rPr>
          <w:rFonts w:ascii="Arial" w:hAnsi="Arial" w:cs="Arial"/>
        </w:rPr>
        <w:t>eps</w:t>
      </w:r>
      <w:r w:rsidRPr="00D24407">
        <w:rPr>
          <w:rFonts w:ascii="Arial" w:hAnsi="Arial" w:cs="Arial"/>
        </w:rPr>
        <w:t xml:space="preserve">, which </w:t>
      </w:r>
      <w:proofErr w:type="gramStart"/>
      <w:r w:rsidRPr="00D24407">
        <w:rPr>
          <w:rFonts w:ascii="Arial" w:hAnsi="Arial" w:cs="Arial"/>
        </w:rPr>
        <w:t>are defined</w:t>
      </w:r>
      <w:proofErr w:type="gramEnd"/>
      <w:r w:rsidRPr="00D24407">
        <w:rPr>
          <w:rFonts w:ascii="Arial" w:hAnsi="Arial" w:cs="Arial"/>
        </w:rPr>
        <w:t xml:space="preserve"> as </w:t>
      </w:r>
      <w:r w:rsidRPr="00D24407">
        <w:rPr>
          <w:rFonts w:ascii="Arial" w:hAnsi="Arial" w:cs="Arial"/>
          <w:i/>
          <w:iCs/>
        </w:rPr>
        <w:t>neighbors</w:t>
      </w:r>
      <w:r w:rsidRPr="00D24407">
        <w:rPr>
          <w:rFonts w:ascii="Arial" w:hAnsi="Arial" w:cs="Arial"/>
        </w:rPr>
        <w:t xml:space="preserve"> of the core sample. This tells us that the core sample is in a dense area of the vector space. A cluster is a set of core samples that </w:t>
      </w:r>
      <w:proofErr w:type="gramStart"/>
      <w:r w:rsidRPr="00D24407">
        <w:rPr>
          <w:rFonts w:ascii="Arial" w:hAnsi="Arial" w:cs="Arial"/>
        </w:rPr>
        <w:t>can be built</w:t>
      </w:r>
      <w:proofErr w:type="gramEnd"/>
      <w:r w:rsidRPr="00D24407">
        <w:rPr>
          <w:rFonts w:ascii="Arial" w:hAnsi="Arial" w:cs="Arial"/>
        </w:rPr>
        <w:t xml:space="preserve"> by recursively taking a core sample, finding all of its neighbors that are core samples, finding all of </w:t>
      </w:r>
      <w:r w:rsidRPr="00D24407">
        <w:rPr>
          <w:rFonts w:ascii="Arial" w:hAnsi="Arial" w:cs="Arial"/>
          <w:i/>
          <w:iCs/>
        </w:rPr>
        <w:t>their</w:t>
      </w:r>
      <w:r w:rsidRPr="00D24407">
        <w:rPr>
          <w:rFonts w:ascii="Arial" w:hAnsi="Arial" w:cs="Arial"/>
        </w:rPr>
        <w:t xml:space="preserve"> neighbors that are core samples, and so on. A cluster also has a set of non-core samples, which are samples that are neighbors of a core </w:t>
      </w:r>
      <w:r w:rsidRPr="00D24407">
        <w:rPr>
          <w:rFonts w:ascii="Arial" w:hAnsi="Arial" w:cs="Arial"/>
        </w:rPr>
        <w:lastRenderedPageBreak/>
        <w:t>sample in the cluster but are not themselves core samples. Intuitively, these samples are on the fringes of a cluster.</w:t>
      </w:r>
    </w:p>
    <w:p w:rsidR="00C13FE6" w:rsidRDefault="00C13FE6" w:rsidP="00C94DCD">
      <w:pPr>
        <w:jc w:val="both"/>
        <w:rPr>
          <w:rFonts w:ascii="Arial" w:hAnsi="Arial" w:cs="Arial"/>
        </w:rPr>
      </w:pPr>
    </w:p>
    <w:p w:rsidR="00C13FE6" w:rsidRPr="00C13FE6" w:rsidRDefault="00C13FE6" w:rsidP="00C13FE6">
      <w:pPr>
        <w:jc w:val="both"/>
        <w:rPr>
          <w:rFonts w:ascii="Arial" w:hAnsi="Arial" w:cs="Arial"/>
          <w:b/>
        </w:rPr>
      </w:pPr>
      <w:r w:rsidRPr="00C13FE6">
        <w:rPr>
          <w:rFonts w:ascii="Arial" w:hAnsi="Arial" w:cs="Arial"/>
          <w:b/>
        </w:rPr>
        <w:t>Build the minimum spanning tree</w:t>
      </w:r>
    </w:p>
    <w:bookmarkStart w:id="0" w:name="_GoBack"/>
    <w:bookmarkEnd w:id="0"/>
    <w:p w:rsidR="00C13FE6" w:rsidRPr="00C13FE6" w:rsidRDefault="00C13FE6" w:rsidP="00C13FE6">
      <w:pPr>
        <w:jc w:val="both"/>
        <w:rPr>
          <w:rFonts w:ascii="Arial" w:hAnsi="Arial" w:cs="Arial"/>
          <w:color w:val="FF0000"/>
        </w:rPr>
      </w:pPr>
      <w:r w:rsidRPr="00C13FE6">
        <w:rPr>
          <w:rFonts w:ascii="Arial" w:hAnsi="Arial" w:cs="Arial"/>
          <w:color w:val="FF0000"/>
        </w:rPr>
        <w:fldChar w:fldCharType="begin"/>
      </w:r>
      <w:r w:rsidRPr="00C13FE6">
        <w:rPr>
          <w:rFonts w:ascii="Arial" w:hAnsi="Arial" w:cs="Arial"/>
          <w:color w:val="FF0000"/>
        </w:rPr>
        <w:instrText xml:space="preserve"> HYPERLINK "https://hdbscan.readthedocs.io/en/latest/how_hdbscan_works.html" </w:instrText>
      </w:r>
      <w:r w:rsidRPr="00C13FE6">
        <w:rPr>
          <w:rFonts w:ascii="Arial" w:hAnsi="Arial" w:cs="Arial"/>
          <w:color w:val="FF0000"/>
        </w:rPr>
        <w:fldChar w:fldCharType="separate"/>
      </w:r>
      <w:r w:rsidRPr="00C13FE6">
        <w:rPr>
          <w:rFonts w:ascii="Arial" w:hAnsi="Arial" w:cs="Arial"/>
          <w:color w:val="FF0000"/>
        </w:rPr>
        <w:t>https://hdbscan.readthedocs.io/en/latest/how_hdbscan_works.html</w:t>
      </w:r>
      <w:r w:rsidRPr="00C13FE6">
        <w:rPr>
          <w:rFonts w:ascii="Arial" w:hAnsi="Arial" w:cs="Arial"/>
          <w:color w:val="FF0000"/>
        </w:rPr>
        <w:fldChar w:fldCharType="end"/>
      </w:r>
    </w:p>
    <w:p w:rsidR="00D24407" w:rsidRDefault="00C13FE6" w:rsidP="00C13FE6">
      <w:pPr>
        <w:jc w:val="both"/>
        <w:rPr>
          <w:rFonts w:ascii="Arial" w:hAnsi="Arial" w:cs="Arial"/>
        </w:rPr>
      </w:pPr>
      <w:r w:rsidRPr="00C13FE6">
        <w:rPr>
          <w:rFonts w:ascii="Arial" w:hAnsi="Arial" w:cs="Arial"/>
        </w:rPr>
        <w:t>HDBSCAN is a clustering algorithm developed by </w:t>
      </w:r>
      <w:proofErr w:type="spellStart"/>
      <w:r w:rsidRPr="00C13FE6">
        <w:rPr>
          <w:rFonts w:ascii="Arial" w:hAnsi="Arial" w:cs="Arial"/>
        </w:rPr>
        <w:fldChar w:fldCharType="begin"/>
      </w:r>
      <w:r w:rsidRPr="00C13FE6">
        <w:rPr>
          <w:rFonts w:ascii="Arial" w:hAnsi="Arial" w:cs="Arial"/>
        </w:rPr>
        <w:instrText xml:space="preserve"> HYPERLINK "http://link.springer.com/chapter/10.1007%2F978-3-642-37456-2_14" </w:instrText>
      </w:r>
      <w:r w:rsidRPr="00C13FE6">
        <w:rPr>
          <w:rFonts w:ascii="Arial" w:hAnsi="Arial" w:cs="Arial"/>
        </w:rPr>
        <w:fldChar w:fldCharType="separate"/>
      </w:r>
      <w:r w:rsidRPr="00C13FE6">
        <w:rPr>
          <w:rFonts w:ascii="Arial" w:hAnsi="Arial" w:cs="Arial"/>
        </w:rPr>
        <w:t>Campello</w:t>
      </w:r>
      <w:proofErr w:type="spellEnd"/>
      <w:r w:rsidRPr="00C13FE6">
        <w:rPr>
          <w:rFonts w:ascii="Arial" w:hAnsi="Arial" w:cs="Arial"/>
        </w:rPr>
        <w:t xml:space="preserve">, </w:t>
      </w:r>
      <w:proofErr w:type="spellStart"/>
      <w:r w:rsidRPr="00C13FE6">
        <w:rPr>
          <w:rFonts w:ascii="Arial" w:hAnsi="Arial" w:cs="Arial"/>
        </w:rPr>
        <w:t>Moulavi</w:t>
      </w:r>
      <w:proofErr w:type="spellEnd"/>
      <w:r w:rsidRPr="00C13FE6">
        <w:rPr>
          <w:rFonts w:ascii="Arial" w:hAnsi="Arial" w:cs="Arial"/>
        </w:rPr>
        <w:t>, and Sander</w:t>
      </w:r>
      <w:r w:rsidRPr="00C13FE6">
        <w:rPr>
          <w:rFonts w:ascii="Arial" w:hAnsi="Arial" w:cs="Arial"/>
        </w:rPr>
        <w:fldChar w:fldCharType="end"/>
      </w:r>
      <w:r w:rsidRPr="00C13FE6">
        <w:rPr>
          <w:rFonts w:ascii="Arial" w:hAnsi="Arial" w:cs="Arial"/>
        </w:rPr>
        <w:t>. It extends DBSCAN by converting it into a hierarchical clustering algorithm, and then using a technique to extract a flat clustering base</w:t>
      </w:r>
      <w:r>
        <w:rPr>
          <w:rFonts w:ascii="Arial" w:hAnsi="Arial" w:cs="Arial"/>
        </w:rPr>
        <w:t>d in the stability of clusters.</w:t>
      </w:r>
    </w:p>
    <w:p w:rsidR="00C13FE6" w:rsidRDefault="00C13FE6" w:rsidP="00C13FE6">
      <w:pPr>
        <w:jc w:val="both"/>
        <w:rPr>
          <w:rFonts w:ascii="Arial" w:hAnsi="Arial" w:cs="Arial"/>
        </w:rPr>
      </w:pPr>
    </w:p>
    <w:p w:rsidR="00C13FE6" w:rsidRPr="00C13FE6" w:rsidRDefault="00C13FE6">
      <w:pPr>
        <w:jc w:val="both"/>
        <w:rPr>
          <w:rFonts w:ascii="Arial" w:hAnsi="Arial" w:cs="Arial"/>
          <w:color w:val="FF0000"/>
        </w:rPr>
      </w:pPr>
    </w:p>
    <w:sectPr w:rsidR="00C13FE6" w:rsidRPr="00C1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16DDC"/>
    <w:multiLevelType w:val="hybridMultilevel"/>
    <w:tmpl w:val="4D5AC4A0"/>
    <w:lvl w:ilvl="0" w:tplc="0D3AD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FF"/>
    <w:rsid w:val="000655F4"/>
    <w:rsid w:val="00065BB2"/>
    <w:rsid w:val="000852E2"/>
    <w:rsid w:val="000D0750"/>
    <w:rsid w:val="00224411"/>
    <w:rsid w:val="002E6E0F"/>
    <w:rsid w:val="00302F76"/>
    <w:rsid w:val="00335AD2"/>
    <w:rsid w:val="003423FF"/>
    <w:rsid w:val="00490E09"/>
    <w:rsid w:val="004A5C8C"/>
    <w:rsid w:val="0052768A"/>
    <w:rsid w:val="005F4A1C"/>
    <w:rsid w:val="0064392A"/>
    <w:rsid w:val="008235A2"/>
    <w:rsid w:val="00834E79"/>
    <w:rsid w:val="00860CC1"/>
    <w:rsid w:val="008B3A10"/>
    <w:rsid w:val="0098723E"/>
    <w:rsid w:val="00A47228"/>
    <w:rsid w:val="00B9424B"/>
    <w:rsid w:val="00BE6462"/>
    <w:rsid w:val="00C13FE6"/>
    <w:rsid w:val="00C909CC"/>
    <w:rsid w:val="00C94DCD"/>
    <w:rsid w:val="00D24407"/>
    <w:rsid w:val="00D65D93"/>
    <w:rsid w:val="00D7296B"/>
    <w:rsid w:val="00E35885"/>
    <w:rsid w:val="00E52001"/>
    <w:rsid w:val="00FA2B28"/>
    <w:rsid w:val="00FD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4EA8"/>
  <w15:chartTrackingRefBased/>
  <w15:docId w15:val="{198FF6EB-F4C6-44BF-B276-20C07846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5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44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FF"/>
    <w:pPr>
      <w:ind w:left="720"/>
      <w:contextualSpacing/>
    </w:pPr>
  </w:style>
  <w:style w:type="character" w:styleId="PlaceholderText">
    <w:name w:val="Placeholder Text"/>
    <w:basedOn w:val="DefaultParagraphFont"/>
    <w:uiPriority w:val="99"/>
    <w:semiHidden/>
    <w:rsid w:val="00A47228"/>
    <w:rPr>
      <w:color w:val="808080"/>
    </w:rPr>
  </w:style>
  <w:style w:type="character" w:styleId="Emphasis">
    <w:name w:val="Emphasis"/>
    <w:basedOn w:val="DefaultParagraphFont"/>
    <w:uiPriority w:val="20"/>
    <w:qFormat/>
    <w:rsid w:val="000D0750"/>
    <w:rPr>
      <w:i/>
      <w:iCs/>
    </w:rPr>
  </w:style>
  <w:style w:type="character" w:customStyle="1" w:styleId="Heading1Char">
    <w:name w:val="Heading 1 Char"/>
    <w:basedOn w:val="DefaultParagraphFont"/>
    <w:link w:val="Heading1"/>
    <w:uiPriority w:val="9"/>
    <w:rsid w:val="000655F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55F4"/>
    <w:rPr>
      <w:color w:val="0000FF"/>
      <w:u w:val="single"/>
    </w:rPr>
  </w:style>
  <w:style w:type="character" w:customStyle="1" w:styleId="pre">
    <w:name w:val="pre"/>
    <w:basedOn w:val="DefaultParagraphFont"/>
    <w:rsid w:val="00D24407"/>
  </w:style>
  <w:style w:type="character" w:customStyle="1" w:styleId="Heading2Char">
    <w:name w:val="Heading 2 Char"/>
    <w:basedOn w:val="DefaultParagraphFont"/>
    <w:link w:val="Heading2"/>
    <w:uiPriority w:val="9"/>
    <w:semiHidden/>
    <w:rsid w:val="00D244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443786">
      <w:bodyDiv w:val="1"/>
      <w:marLeft w:val="0"/>
      <w:marRight w:val="0"/>
      <w:marTop w:val="0"/>
      <w:marBottom w:val="0"/>
      <w:divBdr>
        <w:top w:val="none" w:sz="0" w:space="0" w:color="auto"/>
        <w:left w:val="none" w:sz="0" w:space="0" w:color="auto"/>
        <w:bottom w:val="none" w:sz="0" w:space="0" w:color="auto"/>
        <w:right w:val="none" w:sz="0" w:space="0" w:color="auto"/>
      </w:divBdr>
    </w:div>
    <w:div w:id="1022048430">
      <w:bodyDiv w:val="1"/>
      <w:marLeft w:val="0"/>
      <w:marRight w:val="0"/>
      <w:marTop w:val="0"/>
      <w:marBottom w:val="0"/>
      <w:divBdr>
        <w:top w:val="none" w:sz="0" w:space="0" w:color="auto"/>
        <w:left w:val="none" w:sz="0" w:space="0" w:color="auto"/>
        <w:bottom w:val="none" w:sz="0" w:space="0" w:color="auto"/>
        <w:right w:val="none" w:sz="0" w:space="0" w:color="auto"/>
      </w:divBdr>
    </w:div>
    <w:div w:id="138709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Ma%20F%5BAuthor%5D&amp;cauthor=true&amp;cauthor_uid=3135902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zc363/DeepLearningCyTOF" TargetMode="External"/><Relationship Id="rId11" Type="http://schemas.openxmlformats.org/officeDocument/2006/relationships/fontTable" Target="fontTable.xml"/><Relationship Id="rId5" Type="http://schemas.openxmlformats.org/officeDocument/2006/relationships/hyperlink" Target="https://www.ncbi.nlm.nih.gov/pubmed/29036374" TargetMode="External"/><Relationship Id="rId10" Type="http://schemas.openxmlformats.org/officeDocument/2006/relationships/hyperlink" Target="https://www.ncbi.nlm.nih.gov/pubmed/31359028" TargetMode="External"/><Relationship Id="rId4" Type="http://schemas.openxmlformats.org/officeDocument/2006/relationships/webSettings" Target="webSettings.xml"/><Relationship Id="rId9" Type="http://schemas.openxmlformats.org/officeDocument/2006/relationships/hyperlink" Target="https://www.ncbi.nlm.nih.gov/pubmed/?term=Pellegrini%20M%5BAuthor%5D&amp;cauthor=true&amp;cauthor_uid=31359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5</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OSU Wexner Medical Center IT</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Lijun</dc:creator>
  <cp:keywords/>
  <dc:description/>
  <cp:lastModifiedBy>Cheng, Lijun</cp:lastModifiedBy>
  <cp:revision>17</cp:revision>
  <dcterms:created xsi:type="dcterms:W3CDTF">2020-03-11T23:30:00Z</dcterms:created>
  <dcterms:modified xsi:type="dcterms:W3CDTF">2020-03-16T22:12:00Z</dcterms:modified>
</cp:coreProperties>
</file>