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  <w:r>
        <w:rPr>
          <w:rFonts w:ascii="Times New Roman" w:hAnsi="Times New Roman" w:eastAsia="宋体"/>
          <w:b/>
          <w:sz w:val="30"/>
          <w:szCs w:val="30"/>
          <w:lang w:val="en-US"/>
        </w:rPr>
        <w:t xml:space="preserve">  </w:t>
      </w: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  <w:lang w:val="en-US"/>
        </w:rPr>
      </w:pPr>
    </w:p>
    <w:p>
      <w:pPr>
        <w:spacing w:line="360" w:lineRule="auto"/>
        <w:jc w:val="center"/>
        <w:outlineLvl w:val="0"/>
        <w:rPr>
          <w:rFonts w:ascii="Times New Roman" w:hAnsi="Times New Roman" w:eastAsia="宋体"/>
          <w:b/>
          <w:sz w:val="48"/>
          <w:szCs w:val="48"/>
          <w:lang w:val="en-US"/>
        </w:rPr>
      </w:pPr>
      <w:r>
        <w:rPr>
          <w:rFonts w:ascii="Times New Roman" w:hAnsi="Times New Roman" w:eastAsia="宋体"/>
          <w:b/>
          <w:sz w:val="48"/>
          <w:szCs w:val="48"/>
          <w:lang w:val="en-US"/>
        </w:rPr>
        <w:t>数据标注质量评估方法</w:t>
      </w: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 w:eastAsia="宋体"/>
          <w:b/>
          <w:sz w:val="30"/>
          <w:szCs w:val="30"/>
        </w:rPr>
      </w:pP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 w:eastAsia="宋体"/>
          <w:b/>
          <w:sz w:val="30"/>
          <w:szCs w:val="30"/>
        </w:rPr>
      </w:pP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 w:eastAsia="宋体"/>
          <w:b/>
          <w:sz w:val="30"/>
          <w:szCs w:val="30"/>
        </w:rPr>
      </w:pPr>
    </w:p>
    <w:p>
      <w:pPr>
        <w:spacing w:line="360" w:lineRule="auto"/>
        <w:jc w:val="both"/>
        <w:outlineLvl w:val="0"/>
        <w:rPr>
          <w:rFonts w:ascii="Times New Roman" w:hAnsi="Times New Roman" w:eastAsia="宋体"/>
          <w:b/>
          <w:sz w:val="30"/>
          <w:szCs w:val="30"/>
        </w:rPr>
      </w:pP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 w:eastAsia="宋体"/>
          <w:b/>
          <w:sz w:val="30"/>
          <w:szCs w:val="30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2552"/>
        <w:gridCol w:w="1701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/>
              </w:rPr>
              <w:t>编制</w:t>
            </w:r>
            <w:r>
              <w:rPr>
                <w:rFonts w:ascii="Times New Roman" w:hAnsi="Times New Roman" w:eastAsia="宋体"/>
                <w:sz w:val="21"/>
                <w:szCs w:val="21"/>
                <w:lang w:val="en-US"/>
              </w:rPr>
              <w:t>部门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数据部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A0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日    期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日    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日    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  <w:szCs w:val="21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color w:val="FF0000"/>
                <w:sz w:val="21"/>
                <w:szCs w:val="21"/>
                <w:lang w:val="en-US"/>
              </w:rPr>
            </w:pPr>
          </w:p>
        </w:tc>
      </w:tr>
    </w:tbl>
    <w:p>
      <w:pPr>
        <w:snapToGrid w:val="0"/>
        <w:spacing w:line="360" w:lineRule="auto"/>
        <w:rPr>
          <w:rFonts w:ascii="Times New Roman" w:hAnsi="Times New Roman" w:eastAsia="宋体"/>
          <w:sz w:val="24"/>
          <w:szCs w:val="24"/>
        </w:rPr>
      </w:pPr>
    </w:p>
    <w:p>
      <w:pPr>
        <w:snapToGrid w:val="0"/>
        <w:rPr>
          <w:rFonts w:ascii="Times New Roman" w:hAnsi="Times New Roman" w:eastAsia="宋体"/>
          <w:sz w:val="24"/>
          <w:szCs w:val="24"/>
        </w:rPr>
        <w:sectPr>
          <w:headerReference r:id="rId3" w:type="default"/>
          <w:pgSz w:w="11906" w:h="16838"/>
          <w:pgMar w:top="1440" w:right="1803" w:bottom="1440" w:left="1803" w:header="1134" w:footer="1134" w:gutter="0"/>
          <w:cols w:space="720" w:num="1"/>
          <w:docGrid w:type="lines" w:linePitch="312" w:charSpace="0"/>
        </w:sectPr>
      </w:pPr>
    </w:p>
    <w:p>
      <w:pPr>
        <w:snapToGrid w:val="0"/>
        <w:rPr>
          <w:rFonts w:ascii="Times New Roman" w:hAnsi="Times New Roman" w:eastAsia="宋体"/>
          <w:sz w:val="24"/>
          <w:szCs w:val="24"/>
        </w:rPr>
      </w:pPr>
    </w:p>
    <w:p>
      <w:pPr>
        <w:snapToGrid w:val="0"/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bCs/>
          <w:sz w:val="32"/>
          <w:szCs w:val="32"/>
        </w:rPr>
        <w:t>文件修订记录</w:t>
      </w:r>
    </w:p>
    <w:p>
      <w:pPr>
        <w:snapToGrid w:val="0"/>
        <w:jc w:val="center"/>
        <w:rPr>
          <w:rFonts w:ascii="Times New Roman" w:hAnsi="Times New Roman" w:eastAsia="宋体"/>
          <w:sz w:val="24"/>
          <w:szCs w:val="24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61"/>
        <w:gridCol w:w="3402"/>
        <w:gridCol w:w="1276"/>
        <w:gridCol w:w="1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</w:tbl>
    <w:p>
      <w:pPr>
        <w:pStyle w:val="2"/>
        <w:spacing w:line="360" w:lineRule="auto"/>
        <w:rPr>
          <w:rFonts w:ascii="Times New Roman" w:hAnsi="Times New Roman" w:eastAsia="宋体"/>
          <w:sz w:val="32"/>
          <w:szCs w:val="32"/>
        </w:rPr>
      </w:pPr>
    </w:p>
    <w:p>
      <w:pPr>
        <w:pStyle w:val="2"/>
        <w:spacing w:line="360" w:lineRule="auto"/>
        <w:rPr>
          <w:rFonts w:ascii="Times New Roman" w:hAnsi="Times New Roman" w:eastAsia="宋体"/>
          <w:sz w:val="32"/>
          <w:szCs w:val="32"/>
        </w:rPr>
        <w:sectPr>
          <w:footerReference r:id="rId4" w:type="default"/>
          <w:pgSz w:w="11906" w:h="16838"/>
          <w:pgMar w:top="1440" w:right="1803" w:bottom="1440" w:left="1803" w:header="1134" w:footer="1134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spacing w:line="360" w:lineRule="auto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1. 评估依据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color w:val="FF0000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肺栓塞分割和肺叶分割</w:t>
      </w:r>
      <w:r>
        <w:rPr>
          <w:rFonts w:ascii="Times New Roman" w:hAnsi="Times New Roman" w:eastAsia="宋体"/>
          <w:sz w:val="21"/>
          <w:szCs w:val="21"/>
        </w:rPr>
        <w:t>的标注质量，根据</w:t>
      </w:r>
      <w:r>
        <w:rPr>
          <w:rFonts w:ascii="Times New Roman" w:hAnsi="Times New Roman" w:eastAsia="宋体"/>
          <w:color w:val="000000"/>
          <w:sz w:val="21"/>
          <w:szCs w:val="21"/>
        </w:rPr>
        <w:t>《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肺栓塞</w:t>
      </w:r>
      <w:r>
        <w:rPr>
          <w:rFonts w:hint="eastAsia" w:ascii="Times New Roman" w:hAnsi="Times New Roman" w:eastAsia="宋体"/>
          <w:sz w:val="21"/>
          <w:szCs w:val="21"/>
        </w:rPr>
        <w:t>分割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数据标注</w:t>
      </w:r>
      <w:r>
        <w:rPr>
          <w:rFonts w:ascii="Times New Roman" w:hAnsi="Times New Roman" w:eastAsia="宋体"/>
          <w:color w:val="000000"/>
          <w:sz w:val="21"/>
          <w:szCs w:val="21"/>
        </w:rPr>
        <w:t>规则》《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肺叶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分割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数据标注</w:t>
      </w:r>
      <w:r>
        <w:rPr>
          <w:rFonts w:ascii="Times New Roman" w:hAnsi="Times New Roman" w:eastAsia="宋体"/>
          <w:color w:val="000000"/>
          <w:sz w:val="21"/>
          <w:szCs w:val="21"/>
        </w:rPr>
        <w:t>规则》</w:t>
      </w:r>
      <w:r>
        <w:rPr>
          <w:rFonts w:ascii="Times New Roman" w:hAnsi="Times New Roman" w:eastAsia="宋体"/>
          <w:sz w:val="21"/>
          <w:szCs w:val="21"/>
        </w:rPr>
        <w:t>中的要求进行评估。</w:t>
      </w:r>
    </w:p>
    <w:p>
      <w:pPr>
        <w:pStyle w:val="2"/>
        <w:spacing w:line="360" w:lineRule="auto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2. 评估流程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2.1 </w:t>
      </w:r>
      <w:r>
        <w:rPr>
          <w:rFonts w:hint="eastAsia" w:ascii="Times New Roman" w:hAnsi="Times New Roman" w:eastAsia="宋体"/>
          <w:sz w:val="21"/>
          <w:szCs w:val="21"/>
        </w:rPr>
        <w:t>数据库管理员</w:t>
      </w:r>
      <w:r>
        <w:rPr>
          <w:rFonts w:ascii="Times New Roman" w:hAnsi="Times New Roman" w:eastAsia="宋体"/>
          <w:sz w:val="21"/>
          <w:szCs w:val="21"/>
        </w:rPr>
        <w:t>把需要</w:t>
      </w:r>
      <w:r>
        <w:rPr>
          <w:rFonts w:hint="eastAsia" w:ascii="Times New Roman" w:hAnsi="Times New Roman" w:eastAsia="宋体"/>
          <w:sz w:val="21"/>
          <w:szCs w:val="21"/>
        </w:rPr>
        <w:t>审核</w:t>
      </w:r>
      <w:r>
        <w:rPr>
          <w:rFonts w:ascii="Times New Roman" w:hAnsi="Times New Roman" w:eastAsia="宋体"/>
          <w:sz w:val="21"/>
          <w:szCs w:val="21"/>
        </w:rPr>
        <w:t>的数据发送至审核人员终端。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2.2 审核人员根据数据</w:t>
      </w:r>
      <w:r>
        <w:rPr>
          <w:rFonts w:ascii="Times New Roman" w:hAnsi="Times New Roman" w:eastAsia="宋体"/>
          <w:color w:val="000000"/>
          <w:sz w:val="21"/>
          <w:szCs w:val="21"/>
        </w:rPr>
        <w:t>标记</w:t>
      </w:r>
      <w:r>
        <w:rPr>
          <w:rFonts w:ascii="Times New Roman" w:hAnsi="Times New Roman" w:eastAsia="宋体"/>
          <w:sz w:val="21"/>
          <w:szCs w:val="21"/>
        </w:rPr>
        <w:t>规则文档，对每例数据进行审核和质量评估，对不合格的数据进行修改，</w:t>
      </w:r>
      <w:bookmarkStart w:id="0" w:name="_Hlk37166992"/>
      <w:r>
        <w:rPr>
          <w:rFonts w:ascii="Times New Roman" w:hAnsi="Times New Roman" w:eastAsia="宋体"/>
          <w:sz w:val="21"/>
          <w:szCs w:val="21"/>
        </w:rPr>
        <w:t>如评估后有20%以上的数据不合格，则该标注人员的结果不通过</w:t>
      </w:r>
      <w:bookmarkEnd w:id="0"/>
      <w:r>
        <w:rPr>
          <w:rFonts w:ascii="Times New Roman" w:hAnsi="Times New Roman" w:eastAsia="宋体"/>
          <w:sz w:val="21"/>
          <w:szCs w:val="21"/>
        </w:rPr>
        <w:t>，需要返工重新标注。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2.3 评估过程中，如有疑问数据，可由仲裁人员进行仲裁。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2.4 对于质量评估结果，应及时反馈给标注人员，必要时对标注人员进行再培训。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2.5 根据项目实际场景，可分抽查式评估、考核评估等。对于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肺栓塞分割/肺叶</w:t>
      </w:r>
      <w:r>
        <w:rPr>
          <w:rFonts w:ascii="Times New Roman" w:hAnsi="Times New Roman" w:eastAsia="宋体"/>
          <w:sz w:val="21"/>
          <w:szCs w:val="21"/>
        </w:rPr>
        <w:t>功能</w:t>
      </w:r>
      <w:r>
        <w:rPr>
          <w:rFonts w:hint="eastAsia" w:ascii="Times New Roman" w:hAnsi="Times New Roman" w:eastAsia="宋体"/>
          <w:sz w:val="21"/>
          <w:szCs w:val="21"/>
        </w:rPr>
        <w:t>的标注</w:t>
      </w:r>
      <w:r>
        <w:rPr>
          <w:rFonts w:ascii="Times New Roman" w:hAnsi="Times New Roman" w:eastAsia="宋体"/>
          <w:sz w:val="21"/>
          <w:szCs w:val="21"/>
        </w:rPr>
        <w:t>，使用每日标注评估和考核评估的方式。每日标注评估的结果记录在《数据标注记录》中，考核评估的结果记录在《人员考核评价记录》中。</w:t>
      </w:r>
    </w:p>
    <w:p>
      <w:pPr>
        <w:pStyle w:val="2"/>
        <w:spacing w:line="360" w:lineRule="auto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3. 评估规则</w:t>
      </w:r>
    </w:p>
    <w:p>
      <w:pPr>
        <w:pStyle w:val="3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肺栓塞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分割评估规则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轮廓范围不得过大或过小；分割结果不能存在</w:t>
      </w:r>
      <w:r>
        <w:rPr>
          <w:rFonts w:hint="eastAsia" w:ascii="Times New Roman" w:hAnsi="Times New Roman" w:eastAsia="宋体"/>
          <w:sz w:val="21"/>
          <w:szCs w:val="21"/>
          <w:lang w:eastAsia="zh-CN"/>
        </w:rPr>
        <w:t>动脉</w:t>
      </w:r>
      <w:r>
        <w:rPr>
          <w:rFonts w:hint="eastAsia" w:ascii="Times New Roman" w:hAnsi="Times New Roman" w:eastAsia="宋体"/>
          <w:sz w:val="21"/>
          <w:szCs w:val="21"/>
        </w:rPr>
        <w:t>以外的其他假阳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不能漏标栓子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>
      <w:pPr>
        <w:numPr>
          <w:numId w:val="0"/>
        </w:numPr>
        <w:spacing w:line="360" w:lineRule="auto"/>
        <w:ind w:leftChars="0"/>
        <w:rPr>
          <w:rFonts w:ascii="Times New Roman" w:hAnsi="Times New Roman" w:eastAsia="宋体"/>
          <w:sz w:val="21"/>
          <w:szCs w:val="21"/>
        </w:rPr>
      </w:pPr>
      <w:bookmarkStart w:id="1" w:name="_GoBack"/>
      <w:bookmarkEnd w:id="1"/>
      <w:r>
        <w:rPr>
          <w:rFonts w:hint="eastAsia" w:ascii="Times New Roman" w:hAnsi="Times New Roman" w:eastAsia="宋体"/>
          <w:sz w:val="21"/>
          <w:szCs w:val="21"/>
        </w:rPr>
        <w:t>符合以上要求，视为标注合格。</w:t>
      </w:r>
    </w:p>
    <w:p>
      <w:pPr>
        <w:pStyle w:val="3"/>
        <w:numPr>
          <w:ilvl w:val="1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肺叶分割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评估规则</w:t>
      </w:r>
    </w:p>
    <w:p>
      <w:pPr>
        <w:pStyle w:val="27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5个肺叶分割完全</w:t>
      </w:r>
    </w:p>
    <w:p>
      <w:pPr>
        <w:pStyle w:val="27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范围不能偏差过大</w:t>
      </w:r>
    </w:p>
    <w:p>
      <w:pPr>
        <w:spacing w:line="360" w:lineRule="auto"/>
        <w:ind w:firstLine="420" w:firstLineChars="200"/>
        <w:rPr>
          <w:rFonts w:ascii="Times New Roman" w:hAnsi="Times New Roman" w:eastAsia="宋体"/>
          <w:sz w:val="21"/>
          <w:lang w:val="en-US"/>
        </w:rPr>
      </w:pPr>
      <w:r>
        <w:rPr>
          <w:rFonts w:hint="eastAsia" w:ascii="Times New Roman" w:hAnsi="Times New Roman" w:eastAsia="宋体"/>
          <w:sz w:val="21"/>
        </w:rPr>
        <w:t>符合以上要求，即为标注合格。</w:t>
      </w:r>
    </w:p>
    <w:p>
      <w:pPr>
        <w:pStyle w:val="3"/>
        <w:numPr>
          <w:ilvl w:val="1"/>
          <w:numId w:val="3"/>
        </w:numPr>
      </w:pPr>
      <w:r>
        <w:rPr>
          <w:rFonts w:hint="eastAsia"/>
        </w:rPr>
        <w:t xml:space="preserve"> 其他规则</w:t>
      </w:r>
    </w:p>
    <w:p>
      <w:pPr>
        <w:pStyle w:val="27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color w:val="000000"/>
          <w:szCs w:val="21"/>
        </w:rPr>
        <w:t>疑问数据或无法标注的数据，</w:t>
      </w:r>
      <w:r>
        <w:rPr>
          <w:rFonts w:hint="eastAsia" w:ascii="Times New Roman" w:hAnsi="Times New Roman" w:eastAsia="宋体"/>
          <w:color w:val="000000"/>
          <w:szCs w:val="21"/>
        </w:rPr>
        <w:t>包括术后</w:t>
      </w:r>
      <w:r>
        <w:rPr>
          <w:rFonts w:ascii="Times New Roman" w:hAnsi="Times New Roman" w:eastAsia="宋体"/>
          <w:color w:val="000000"/>
          <w:szCs w:val="21"/>
        </w:rPr>
        <w:t>、</w:t>
      </w:r>
      <w:r>
        <w:rPr>
          <w:rFonts w:hint="eastAsia" w:ascii="Times New Roman" w:hAnsi="Times New Roman" w:eastAsia="宋体"/>
          <w:color w:val="000000"/>
          <w:szCs w:val="21"/>
        </w:rPr>
        <w:t>图像质量差、</w:t>
      </w:r>
      <w:r>
        <w:rPr>
          <w:rFonts w:ascii="Times New Roman" w:hAnsi="Times New Roman" w:eastAsia="宋体"/>
          <w:color w:val="000000"/>
          <w:szCs w:val="21"/>
        </w:rPr>
        <w:t>其他异常</w:t>
      </w:r>
      <w:r>
        <w:rPr>
          <w:rFonts w:hint="eastAsia" w:ascii="Times New Roman" w:hAnsi="Times New Roman" w:eastAsia="宋体"/>
          <w:color w:val="000000"/>
          <w:szCs w:val="21"/>
        </w:rPr>
        <w:t>的数据等，</w:t>
      </w:r>
      <w:r>
        <w:rPr>
          <w:rFonts w:ascii="Times New Roman" w:hAnsi="Times New Roman" w:eastAsia="宋体"/>
          <w:color w:val="000000"/>
          <w:szCs w:val="21"/>
        </w:rPr>
        <w:t>需要</w:t>
      </w:r>
      <w:r>
        <w:rPr>
          <w:rFonts w:ascii="Times New Roman" w:hAnsi="Times New Roman" w:eastAsia="宋体"/>
          <w:szCs w:val="21"/>
        </w:rPr>
        <w:t>及时反馈或讨论。</w:t>
      </w:r>
    </w:p>
    <w:p>
      <w:pPr>
        <w:pStyle w:val="27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标注完成后，审核人员对于上述不合格的数据应及时改正，并把问题反馈至标注人员。</w:t>
      </w:r>
    </w:p>
    <w:p>
      <w:pPr>
        <w:spacing w:line="360" w:lineRule="auto"/>
        <w:rPr>
          <w:rFonts w:ascii="Times New Roman" w:hAnsi="Times New Roman" w:eastAsia="宋体"/>
          <w:sz w:val="21"/>
          <w:lang w:val="en-US"/>
        </w:rPr>
      </w:pPr>
    </w:p>
    <w:sectPr>
      <w:footerReference r:id="rId5" w:type="default"/>
      <w:pgSz w:w="11906" w:h="16838"/>
      <w:pgMar w:top="1440" w:right="1803" w:bottom="1440" w:left="1803" w:header="1134" w:footer="1134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65217263"/>
    </w:sdtPr>
    <w:sdtContent>
      <w:sdt>
        <w:sdtPr>
          <w:id w:val="-1705238520"/>
        </w:sdtPr>
        <w:sdtContent>
          <w:p>
            <w:pPr>
              <w:pStyle w:val="6"/>
              <w:jc w:val="center"/>
            </w:pPr>
            <w:r>
              <w:rPr>
                <w:sz w:val="18"/>
                <w:szCs w:val="18"/>
                <w:lang w:val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  <w:rPr>
        <w:rFonts w:ascii="Times New Roman" w:hAnsi="Times New Roman"/>
        <w:bCs/>
        <w:sz w:val="21"/>
        <w:szCs w:val="21"/>
        <w:lang w:val="en-US"/>
      </w:rPr>
    </w:pPr>
    <w:r>
      <w:rPr>
        <w:rFonts w:hint="eastAsia"/>
        <w:lang w:val="en-US"/>
      </w:rPr>
      <w:t xml:space="preserve">       </w:t>
    </w:r>
    <w:r>
      <w:rPr>
        <w:rFonts w:hint="eastAsia" w:ascii="Times New Roman" w:hAnsi="Times New Roman"/>
        <w:bCs/>
        <w:sz w:val="21"/>
        <w:szCs w:val="21"/>
        <w:lang w:val="en-US"/>
      </w:rPr>
      <w:t>TX-TF-</w:t>
    </w:r>
    <w:r>
      <w:rPr>
        <w:rFonts w:hint="eastAsia" w:ascii="Times New Roman" w:hAnsi="Times New Roman"/>
        <w:bCs/>
        <w:sz w:val="21"/>
        <w:szCs w:val="21"/>
        <w:lang w:val="en-US" w:eastAsia="zh-CN"/>
      </w:rPr>
      <w:t>PE</w:t>
    </w:r>
    <w:r>
      <w:rPr>
        <w:rFonts w:hint="eastAsia" w:ascii="Times New Roman" w:hAnsi="Times New Roman"/>
        <w:bCs/>
        <w:sz w:val="21"/>
        <w:szCs w:val="21"/>
        <w:lang w:val="en-US"/>
      </w:rPr>
      <w:t>CN3-DD-006-A0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9119D"/>
    <w:multiLevelType w:val="singleLevel"/>
    <w:tmpl w:val="08D9119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425454AA"/>
    <w:multiLevelType w:val="multilevel"/>
    <w:tmpl w:val="425454AA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5505641C"/>
    <w:multiLevelType w:val="multilevel"/>
    <w:tmpl w:val="5505641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5C0E4D6B"/>
    <w:multiLevelType w:val="multilevel"/>
    <w:tmpl w:val="5C0E4D6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4E4F24"/>
    <w:multiLevelType w:val="multilevel"/>
    <w:tmpl w:val="644E4F2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1MWZiYjZjZmIzN2Q2NWQ0ZDZkOTViMjMzMDY1NWUifQ=="/>
  </w:docVars>
  <w:rsids>
    <w:rsidRoot w:val="00172A27"/>
    <w:rsid w:val="0002753B"/>
    <w:rsid w:val="00065803"/>
    <w:rsid w:val="00074D71"/>
    <w:rsid w:val="000A3B14"/>
    <w:rsid w:val="000A4865"/>
    <w:rsid w:val="000C3526"/>
    <w:rsid w:val="000C6A76"/>
    <w:rsid w:val="000D6984"/>
    <w:rsid w:val="000E39D7"/>
    <w:rsid w:val="001156D5"/>
    <w:rsid w:val="001212CF"/>
    <w:rsid w:val="00143923"/>
    <w:rsid w:val="001512A5"/>
    <w:rsid w:val="00165D97"/>
    <w:rsid w:val="00172A27"/>
    <w:rsid w:val="001740BA"/>
    <w:rsid w:val="00190EA0"/>
    <w:rsid w:val="001B6103"/>
    <w:rsid w:val="001F5988"/>
    <w:rsid w:val="002243BD"/>
    <w:rsid w:val="002251D9"/>
    <w:rsid w:val="00243E7F"/>
    <w:rsid w:val="00274970"/>
    <w:rsid w:val="002924EB"/>
    <w:rsid w:val="002A1F51"/>
    <w:rsid w:val="002A24BE"/>
    <w:rsid w:val="002A5C95"/>
    <w:rsid w:val="002B4CC4"/>
    <w:rsid w:val="002B56C8"/>
    <w:rsid w:val="002C7DF5"/>
    <w:rsid w:val="002C7F0C"/>
    <w:rsid w:val="002F3CDF"/>
    <w:rsid w:val="00305312"/>
    <w:rsid w:val="0031702B"/>
    <w:rsid w:val="0032285F"/>
    <w:rsid w:val="00326901"/>
    <w:rsid w:val="003B3968"/>
    <w:rsid w:val="003D2FF5"/>
    <w:rsid w:val="003E6D03"/>
    <w:rsid w:val="004047FA"/>
    <w:rsid w:val="004103CC"/>
    <w:rsid w:val="004547D1"/>
    <w:rsid w:val="00455CC1"/>
    <w:rsid w:val="00500967"/>
    <w:rsid w:val="005171B6"/>
    <w:rsid w:val="00522A0A"/>
    <w:rsid w:val="005865FF"/>
    <w:rsid w:val="005B6E25"/>
    <w:rsid w:val="005C6702"/>
    <w:rsid w:val="005C782D"/>
    <w:rsid w:val="005D1802"/>
    <w:rsid w:val="005D2771"/>
    <w:rsid w:val="005F2347"/>
    <w:rsid w:val="006320E4"/>
    <w:rsid w:val="00663487"/>
    <w:rsid w:val="006A7DEF"/>
    <w:rsid w:val="006C2A4F"/>
    <w:rsid w:val="006F4183"/>
    <w:rsid w:val="00760248"/>
    <w:rsid w:val="007E75E1"/>
    <w:rsid w:val="007F2E9B"/>
    <w:rsid w:val="00834B33"/>
    <w:rsid w:val="008609A7"/>
    <w:rsid w:val="0089693C"/>
    <w:rsid w:val="008C4DFE"/>
    <w:rsid w:val="008C577E"/>
    <w:rsid w:val="008D3D16"/>
    <w:rsid w:val="008E1D41"/>
    <w:rsid w:val="008F0AC3"/>
    <w:rsid w:val="00904C2D"/>
    <w:rsid w:val="00936F6E"/>
    <w:rsid w:val="00970E8E"/>
    <w:rsid w:val="00983065"/>
    <w:rsid w:val="00985859"/>
    <w:rsid w:val="009C6F12"/>
    <w:rsid w:val="009D5672"/>
    <w:rsid w:val="009F7D0D"/>
    <w:rsid w:val="00A13A44"/>
    <w:rsid w:val="00A46FD7"/>
    <w:rsid w:val="00A71099"/>
    <w:rsid w:val="00A76C0A"/>
    <w:rsid w:val="00A87ED7"/>
    <w:rsid w:val="00A9308F"/>
    <w:rsid w:val="00AB569A"/>
    <w:rsid w:val="00AE19D6"/>
    <w:rsid w:val="00AF1152"/>
    <w:rsid w:val="00AF168C"/>
    <w:rsid w:val="00B06F70"/>
    <w:rsid w:val="00B259C6"/>
    <w:rsid w:val="00B84900"/>
    <w:rsid w:val="00B92D1C"/>
    <w:rsid w:val="00BB5D45"/>
    <w:rsid w:val="00BC2F0E"/>
    <w:rsid w:val="00BE3FCF"/>
    <w:rsid w:val="00BF714A"/>
    <w:rsid w:val="00C83D41"/>
    <w:rsid w:val="00CA1862"/>
    <w:rsid w:val="00CB1E16"/>
    <w:rsid w:val="00CC1CDF"/>
    <w:rsid w:val="00CC456A"/>
    <w:rsid w:val="00CD3AE6"/>
    <w:rsid w:val="00CF13D7"/>
    <w:rsid w:val="00D13672"/>
    <w:rsid w:val="00D24D39"/>
    <w:rsid w:val="00D43AEB"/>
    <w:rsid w:val="00D444A6"/>
    <w:rsid w:val="00D92B43"/>
    <w:rsid w:val="00D9705B"/>
    <w:rsid w:val="00DA58E2"/>
    <w:rsid w:val="00DB25E4"/>
    <w:rsid w:val="00DB3AC1"/>
    <w:rsid w:val="00DB67A2"/>
    <w:rsid w:val="00DC5A3B"/>
    <w:rsid w:val="00DE6349"/>
    <w:rsid w:val="00E0695C"/>
    <w:rsid w:val="00E111E9"/>
    <w:rsid w:val="00E25A66"/>
    <w:rsid w:val="00E3263A"/>
    <w:rsid w:val="00E36896"/>
    <w:rsid w:val="00E5043E"/>
    <w:rsid w:val="00E640EE"/>
    <w:rsid w:val="00EB01C9"/>
    <w:rsid w:val="00EB6108"/>
    <w:rsid w:val="00EC4947"/>
    <w:rsid w:val="00ED24DE"/>
    <w:rsid w:val="00EE454A"/>
    <w:rsid w:val="00EF49D9"/>
    <w:rsid w:val="00EF55CC"/>
    <w:rsid w:val="00EF7A72"/>
    <w:rsid w:val="00F027FE"/>
    <w:rsid w:val="00F16BDF"/>
    <w:rsid w:val="00F45EEA"/>
    <w:rsid w:val="00F56BB3"/>
    <w:rsid w:val="00FB2A26"/>
    <w:rsid w:val="00FB5F9C"/>
    <w:rsid w:val="00FD3D0C"/>
    <w:rsid w:val="020B4E84"/>
    <w:rsid w:val="024E6D1B"/>
    <w:rsid w:val="0637397E"/>
    <w:rsid w:val="071D24AB"/>
    <w:rsid w:val="0BCF6053"/>
    <w:rsid w:val="0BD554FE"/>
    <w:rsid w:val="0F206523"/>
    <w:rsid w:val="102E75BB"/>
    <w:rsid w:val="10AE6D5B"/>
    <w:rsid w:val="121E86B2"/>
    <w:rsid w:val="12FF291B"/>
    <w:rsid w:val="134C3BC1"/>
    <w:rsid w:val="13AD3B7A"/>
    <w:rsid w:val="13C13CFE"/>
    <w:rsid w:val="164E3ADF"/>
    <w:rsid w:val="1743BABF"/>
    <w:rsid w:val="17D05BD9"/>
    <w:rsid w:val="194D150D"/>
    <w:rsid w:val="1ADE7346"/>
    <w:rsid w:val="1B20293E"/>
    <w:rsid w:val="206474DA"/>
    <w:rsid w:val="21164C39"/>
    <w:rsid w:val="213A56E5"/>
    <w:rsid w:val="21762CAE"/>
    <w:rsid w:val="2358648E"/>
    <w:rsid w:val="24ED3CCE"/>
    <w:rsid w:val="25505EF3"/>
    <w:rsid w:val="25726330"/>
    <w:rsid w:val="262008AD"/>
    <w:rsid w:val="28542440"/>
    <w:rsid w:val="293329D7"/>
    <w:rsid w:val="2C03B0C7"/>
    <w:rsid w:val="2D6B0B85"/>
    <w:rsid w:val="2E7360A4"/>
    <w:rsid w:val="2EBE15D7"/>
    <w:rsid w:val="303D235C"/>
    <w:rsid w:val="31560AA1"/>
    <w:rsid w:val="36915D5F"/>
    <w:rsid w:val="37EC02C5"/>
    <w:rsid w:val="38882D28"/>
    <w:rsid w:val="3910455C"/>
    <w:rsid w:val="3C4A7B91"/>
    <w:rsid w:val="3C515917"/>
    <w:rsid w:val="3D691172"/>
    <w:rsid w:val="3F2B5833"/>
    <w:rsid w:val="3F614042"/>
    <w:rsid w:val="40A01288"/>
    <w:rsid w:val="415507C8"/>
    <w:rsid w:val="42B22D36"/>
    <w:rsid w:val="433B4143"/>
    <w:rsid w:val="444C400C"/>
    <w:rsid w:val="44963E17"/>
    <w:rsid w:val="44A94216"/>
    <w:rsid w:val="44E45289"/>
    <w:rsid w:val="44EF6B39"/>
    <w:rsid w:val="45340803"/>
    <w:rsid w:val="455E70D4"/>
    <w:rsid w:val="472A45F0"/>
    <w:rsid w:val="4764595A"/>
    <w:rsid w:val="49026A47"/>
    <w:rsid w:val="4A6F6063"/>
    <w:rsid w:val="4ACF5116"/>
    <w:rsid w:val="4F593DE7"/>
    <w:rsid w:val="511FCECC"/>
    <w:rsid w:val="51D6359E"/>
    <w:rsid w:val="52477AF4"/>
    <w:rsid w:val="55B32222"/>
    <w:rsid w:val="5653305A"/>
    <w:rsid w:val="56E26E66"/>
    <w:rsid w:val="5A11408A"/>
    <w:rsid w:val="5A7C7B0C"/>
    <w:rsid w:val="5A827918"/>
    <w:rsid w:val="5B9E3F86"/>
    <w:rsid w:val="5BCB6087"/>
    <w:rsid w:val="5D810447"/>
    <w:rsid w:val="5F9FF3EA"/>
    <w:rsid w:val="60C07C86"/>
    <w:rsid w:val="60F3794E"/>
    <w:rsid w:val="61EA4F4D"/>
    <w:rsid w:val="64F61D79"/>
    <w:rsid w:val="65FB427A"/>
    <w:rsid w:val="66FB2828"/>
    <w:rsid w:val="68283D44"/>
    <w:rsid w:val="6E244DD0"/>
    <w:rsid w:val="70476FA0"/>
    <w:rsid w:val="70F02C49"/>
    <w:rsid w:val="70F05DC3"/>
    <w:rsid w:val="70F1F634"/>
    <w:rsid w:val="73881B01"/>
    <w:rsid w:val="73ED4AC4"/>
    <w:rsid w:val="742F0F14"/>
    <w:rsid w:val="74786220"/>
    <w:rsid w:val="76A33946"/>
    <w:rsid w:val="7728451A"/>
    <w:rsid w:val="78541719"/>
    <w:rsid w:val="7960B7A8"/>
    <w:rsid w:val="79BB7267"/>
    <w:rsid w:val="7A8348B7"/>
    <w:rsid w:val="7F331F7A"/>
    <w:rsid w:val="7F8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Arial" w:hAnsi="Arial" w:eastAsia="楷体_GB2312" w:cs="Times New Roman"/>
      <w:sz w:val="22"/>
      <w:lang w:val="en-GB" w:eastAsia="zh-CN" w:bidi="ar-SA"/>
    </w:rPr>
  </w:style>
  <w:style w:type="paragraph" w:styleId="2">
    <w:name w:val="heading 1"/>
    <w:basedOn w:val="1"/>
    <w:next w:val="1"/>
    <w:link w:val="1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autoRedefine/>
    <w:unhideWhenUsed/>
    <w:qFormat/>
    <w:uiPriority w:val="0"/>
    <w:pPr>
      <w:keepNext/>
      <w:keepLines/>
      <w:spacing w:before="260" w:after="260" w:line="360" w:lineRule="auto"/>
      <w:outlineLvl w:val="1"/>
    </w:pPr>
    <w:rPr>
      <w:rFonts w:ascii="Times New Roman" w:hAnsi="Times New Roman" w:eastAsia="宋体"/>
      <w:b/>
      <w:bCs/>
      <w:sz w:val="28"/>
      <w:szCs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autoRedefine/>
    <w:qFormat/>
    <w:uiPriority w:val="0"/>
  </w:style>
  <w:style w:type="paragraph" w:styleId="5">
    <w:name w:val="Balloon Text"/>
    <w:basedOn w:val="1"/>
    <w:link w:val="19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26"/>
    <w:qFormat/>
    <w:uiPriority w:val="99"/>
    <w:pPr>
      <w:tabs>
        <w:tab w:val="center" w:pos="4153"/>
        <w:tab w:val="right" w:pos="8306"/>
      </w:tabs>
    </w:pPr>
  </w:style>
  <w:style w:type="paragraph" w:styleId="7">
    <w:name w:val="header"/>
    <w:basedOn w:val="1"/>
    <w:link w:val="21"/>
    <w:autoRedefine/>
    <w:qFormat/>
    <w:uiPriority w:val="0"/>
    <w:pPr>
      <w:tabs>
        <w:tab w:val="center" w:pos="4153"/>
        <w:tab w:val="right" w:pos="8306"/>
      </w:tabs>
    </w:pPr>
  </w:style>
  <w:style w:type="paragraph" w:styleId="8">
    <w:name w:val="Body Text Indent 3"/>
    <w:basedOn w:val="1"/>
    <w:link w:val="17"/>
    <w:autoRedefine/>
    <w:qFormat/>
    <w:uiPriority w:val="0"/>
    <w:pPr>
      <w:widowControl w:val="0"/>
      <w:overflowPunct/>
      <w:autoSpaceDE/>
      <w:autoSpaceDN/>
      <w:adjustRightInd/>
      <w:spacing w:line="360" w:lineRule="auto"/>
      <w:ind w:firstLine="480" w:firstLineChars="200"/>
      <w:jc w:val="both"/>
      <w:textAlignment w:val="auto"/>
    </w:pPr>
    <w:rPr>
      <w:kern w:val="2"/>
      <w:sz w:val="24"/>
      <w:szCs w:val="36"/>
    </w:rPr>
  </w:style>
  <w:style w:type="paragraph" w:styleId="9">
    <w:name w:val="annotation subject"/>
    <w:basedOn w:val="4"/>
    <w:next w:val="4"/>
    <w:link w:val="20"/>
    <w:autoRedefine/>
    <w:qFormat/>
    <w:uiPriority w:val="0"/>
    <w:rPr>
      <w:b/>
      <w:bCs/>
    </w:rPr>
  </w:style>
  <w:style w:type="table" w:styleId="11">
    <w:name w:val="Table Grid"/>
    <w:basedOn w:val="10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autoRedefine/>
    <w:qFormat/>
    <w:uiPriority w:val="0"/>
  </w:style>
  <w:style w:type="character" w:styleId="14">
    <w:name w:val="Hyperlink"/>
    <w:autoRedefine/>
    <w:qFormat/>
    <w:uiPriority w:val="0"/>
    <w:rPr>
      <w:color w:val="0000FF"/>
      <w:u w:val="single"/>
    </w:rPr>
  </w:style>
  <w:style w:type="character" w:styleId="15">
    <w:name w:val="annotation reference"/>
    <w:autoRedefine/>
    <w:qFormat/>
    <w:uiPriority w:val="0"/>
    <w:rPr>
      <w:sz w:val="21"/>
      <w:szCs w:val="21"/>
    </w:rPr>
  </w:style>
  <w:style w:type="character" w:customStyle="1" w:styleId="16">
    <w:name w:val="标题 1 字符"/>
    <w:basedOn w:val="12"/>
    <w:link w:val="2"/>
    <w:autoRedefine/>
    <w:qFormat/>
    <w:uiPriority w:val="0"/>
    <w:rPr>
      <w:rFonts w:ascii="Arial" w:hAnsi="Arial" w:eastAsia="楷体_GB2312"/>
      <w:b/>
      <w:bCs/>
      <w:kern w:val="44"/>
      <w:sz w:val="44"/>
      <w:szCs w:val="44"/>
      <w:lang w:val="en-GB"/>
    </w:rPr>
  </w:style>
  <w:style w:type="character" w:customStyle="1" w:styleId="17">
    <w:name w:val="正文文本缩进 3 字符"/>
    <w:link w:val="8"/>
    <w:autoRedefine/>
    <w:qFormat/>
    <w:uiPriority w:val="0"/>
    <w:rPr>
      <w:kern w:val="2"/>
      <w:sz w:val="24"/>
      <w:szCs w:val="36"/>
    </w:rPr>
  </w:style>
  <w:style w:type="character" w:customStyle="1" w:styleId="18">
    <w:name w:val="批注文字 字符"/>
    <w:link w:val="4"/>
    <w:autoRedefine/>
    <w:qFormat/>
    <w:uiPriority w:val="0"/>
    <w:rPr>
      <w:rFonts w:ascii="Arial" w:hAnsi="Arial" w:eastAsia="楷体_GB2312"/>
      <w:sz w:val="22"/>
      <w:lang w:val="en-GB"/>
    </w:rPr>
  </w:style>
  <w:style w:type="character" w:customStyle="1" w:styleId="19">
    <w:name w:val="批注框文本 字符"/>
    <w:link w:val="5"/>
    <w:autoRedefine/>
    <w:qFormat/>
    <w:uiPriority w:val="0"/>
    <w:rPr>
      <w:rFonts w:ascii="Arial" w:hAnsi="Arial" w:eastAsia="楷体_GB2312"/>
      <w:sz w:val="18"/>
      <w:szCs w:val="18"/>
      <w:lang w:val="en-GB"/>
    </w:rPr>
  </w:style>
  <w:style w:type="character" w:customStyle="1" w:styleId="20">
    <w:name w:val="批注主题 字符"/>
    <w:link w:val="9"/>
    <w:autoRedefine/>
    <w:qFormat/>
    <w:uiPriority w:val="0"/>
    <w:rPr>
      <w:rFonts w:ascii="Arial" w:hAnsi="Arial" w:eastAsia="楷体_GB2312"/>
      <w:b/>
      <w:bCs/>
      <w:sz w:val="22"/>
      <w:lang w:val="en-GB"/>
    </w:rPr>
  </w:style>
  <w:style w:type="character" w:customStyle="1" w:styleId="21">
    <w:name w:val="页眉 字符"/>
    <w:link w:val="7"/>
    <w:autoRedefine/>
    <w:qFormat/>
    <w:uiPriority w:val="0"/>
    <w:rPr>
      <w:rFonts w:ascii="Arial" w:hAnsi="Arial" w:eastAsia="楷体_GB2312"/>
      <w:sz w:val="22"/>
      <w:lang w:val="en-GB"/>
    </w:rPr>
  </w:style>
  <w:style w:type="paragraph" w:customStyle="1" w:styleId="2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23">
    <w:name w:val="WPSOffice手动目录 1"/>
    <w:autoRedefine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4">
    <w:name w:val="WPSOffice手动目录 2"/>
    <w:autoRedefine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character" w:customStyle="1" w:styleId="25">
    <w:name w:val="标题 2 字符"/>
    <w:basedOn w:val="12"/>
    <w:link w:val="3"/>
    <w:autoRedefine/>
    <w:qFormat/>
    <w:uiPriority w:val="0"/>
    <w:rPr>
      <w:rFonts w:ascii="Times New Roman" w:hAnsi="Times New Roman"/>
      <w:b/>
      <w:bCs/>
      <w:sz w:val="28"/>
      <w:szCs w:val="28"/>
      <w:lang w:val="en-GB"/>
    </w:rPr>
  </w:style>
  <w:style w:type="character" w:customStyle="1" w:styleId="26">
    <w:name w:val="页脚 字符"/>
    <w:basedOn w:val="12"/>
    <w:link w:val="6"/>
    <w:autoRedefine/>
    <w:qFormat/>
    <w:uiPriority w:val="99"/>
    <w:rPr>
      <w:rFonts w:ascii="Arial" w:hAnsi="Arial" w:eastAsia="楷体_GB2312"/>
      <w:sz w:val="22"/>
      <w:lang w:val="en-GB"/>
    </w:rPr>
  </w:style>
  <w:style w:type="paragraph" w:styleId="27">
    <w:name w:val="List Paragraph"/>
    <w:basedOn w:val="1"/>
    <w:autoRedefine/>
    <w:qFormat/>
    <w:uiPriority w:val="99"/>
    <w:pPr>
      <w:widowControl w:val="0"/>
      <w:overflowPunct/>
      <w:autoSpaceDE/>
      <w:autoSpaceDN/>
      <w:adjustRightInd/>
      <w:ind w:firstLine="420" w:firstLineChars="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CD4727-C182-46A8-8C94-1CE31638A443}">
  <ds:schemaRefs/>
</ds:datastoreItem>
</file>

<file path=customXml/itemProps2.xml><?xml version="1.0" encoding="utf-8"?>
<ds:datastoreItem xmlns:ds="http://schemas.openxmlformats.org/officeDocument/2006/customXml" ds:itemID="{F488AF60-A8CB-4695-9259-AEC2BA539CD0}"/>
</file>

<file path=customXml/itemProps3.xml><?xml version="1.0" encoding="utf-8"?>
<ds:datastoreItem xmlns:ds="http://schemas.openxmlformats.org/officeDocument/2006/customXml" ds:itemID="{BB70A0D1-6CA7-4D67-A4E1-CA0D459324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238</Words>
  <Characters>1363</Characters>
  <Lines>11</Lines>
  <Paragraphs>3</Paragraphs>
  <TotalTime>4</TotalTime>
  <ScaleCrop>false</ScaleCrop>
  <LinksUpToDate>false</LinksUpToDate>
  <CharactersWithSpaces>1598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标题：文件编写标准</dc:title>
  <dc:creator>User</dc:creator>
  <cp:lastModifiedBy>孙蒙蒙</cp:lastModifiedBy>
  <cp:revision>54</cp:revision>
  <cp:lastPrinted>2020-04-07T07:43:00Z</cp:lastPrinted>
  <dcterms:created xsi:type="dcterms:W3CDTF">2022-12-07T03:15:00Z</dcterms:created>
  <dcterms:modified xsi:type="dcterms:W3CDTF">2024-03-25T09:59:36Z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ContentTypeId">
    <vt:lpwstr>0x0101007E55CB5C5F613543B2462851545DCF55</vt:lpwstr>
  </property>
  <property fmtid="{D5CDD505-2E9C-101B-9397-08002B2CF9AE}" pid="4" name="ICV">
    <vt:lpwstr>4AA1110F7976416F941CC7D55A005F55_12</vt:lpwstr>
  </property>
</Properties>
</file>