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企业人力资源年度盘点报告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年度，企业围绕战略发展目标推进人力资源精细化管理，通过人员结构优化、能力提升、激励机制完善等举措，为业务发展提供支撑。本次盘点基于全年人力资源数据，系统分析人员配置、流动、培训及效能等核心维度，梳理现状、识别问题并提出优化方向，为下一年度人力资源规划提供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一、核心人力资源数据概览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截至年末，企业员工总数较年初呈现小幅增长，核心岗位人员稳定性保持良好，各层级、各部门人员配置基本匹配业务需求。具体核心数据如下表所示：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年初数据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年末数据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同比变化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员工总数（人）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+8.54%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核心岗位人员数（人）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+8.24%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年度人员流失率（</w:t>
            </w:r>
            <w:r>
              <w:rPr>
                <w:rFonts w:eastAsia="等线" w:ascii="Arial" w:cs="Arial" w:hAnsi="Arial"/>
                <w:sz w:val="22"/>
              </w:rPr>
              <w:t>%）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较上年下降2.3个百分点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年度人均效能</w:t>
            </w:r>
            <w:r>
              <w:rPr>
                <w:rFonts w:eastAsia="等线" w:ascii="Arial" w:cs="Arial" w:hAnsi="Arial"/>
                <w:sz w:val="22"/>
              </w:rPr>
              <w:t>（万元/人）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42.6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较上年提升5.1万元/人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二、人员结构分析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（一）部门人员分布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业务部门人员占比超60%，其中销售部、生产部人员规模居前，支撑核心业务开展；职能部门人员配置精简，保障企业运营效率。具体分布如下表：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人员数量（人）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占比（%）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  <w:r>
              <w:rPr>
                <w:rFonts w:eastAsia="等线" w:ascii="Arial" w:cs="Arial" w:hAnsi="Arial"/>
                <w:sz w:val="22"/>
              </w:rPr>
              <w:t>.53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</w:t>
            </w:r>
            <w:r>
              <w:rPr>
                <w:rFonts w:eastAsia="等线" w:ascii="Arial" w:cs="Arial" w:hAnsi="Arial"/>
                <w:sz w:val="22"/>
              </w:rPr>
              <w:t>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</w:t>
            </w:r>
            <w:r>
              <w:rPr>
                <w:rFonts w:eastAsia="等线" w:ascii="Arial" w:cs="Arial" w:hAnsi="Arial"/>
                <w:sz w:val="22"/>
              </w:rPr>
              <w:t>.46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  <w:r>
              <w:rPr>
                <w:rFonts w:eastAsia="等线" w:ascii="Arial" w:cs="Arial" w:hAnsi="Arial"/>
                <w:sz w:val="22"/>
              </w:rPr>
              <w:t>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</w:t>
            </w: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职能部门</w:t>
            </w:r>
            <w:r>
              <w:rPr>
                <w:rFonts w:eastAsia="等线" w:ascii="Arial" w:cs="Arial" w:hAnsi="Arial"/>
                <w:sz w:val="22"/>
              </w:rPr>
              <w:t>（人力、财务、行政）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17.70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其他部门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10.67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（二）学历与年龄结构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历结构方面，本科及以上学历人员占比提升至58%，较上年增长4个百分点，人员整体素质稳步提升；年龄结构呈现“中青年为主、梯队合理”的特点，30-45岁核心骨干人员占比达62%，为企业发展提供稳定动力。具体结构如下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细分维度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人员数量（人）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占比（%）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学历结构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本科及以上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58.00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32.30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大专以下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9.83</w:t>
            </w: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</w:t>
            </w:r>
            <w:r>
              <w:rPr>
                <w:rFonts w:eastAsia="等线" w:ascii="Arial" w:cs="Arial" w:hAnsi="Arial"/>
                <w:sz w:val="22"/>
              </w:rPr>
              <w:t>结构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30岁以下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24.16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30-45岁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62.08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45岁以上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13.76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三、年度人力资源关键工作成效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（一）人员招聘与配置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年度围绕业务扩张需求，完成招聘42人，其中核心岗位招聘完成率95%，平均招聘周期缩短至28天。通过优化招聘渠道、完善面试评估体系，新员工留存率达88%，较上年提升5个百分点，有效保障了核心业务的人员供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（二）培训与能力提升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全年开展各类培训68场，覆盖员工320人次，培训投入较上年增长12%。培训内容聚焦核心业务技能、管理能力提升，经评估，员工培训后岗位胜任力提升率达75%，为企业技术创新和管理升级提供了人才支撑。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（三）激励与保留优化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优化绩效考核与薪酬激励体系，将个人绩效与团队绩效、企业效益深度绑定，核心岗位薪酬竞争力提升10%。同时，完善员工关怀机制，开展员工满意度调研，满意度达82%，推动人员流失率降至6.8%的合理区间。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四、存在问题与优化方向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盘点发现，企业人力资源管理仍存在部分短板：一是技术研发岗位人员储备不足，难以匹配企业创新发展需求；二是部分中层管理者管理能力有待提升，团队协同效率不足；三是培训体系针对性有待加强，与部分岗位实际需求匹配度不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年度，将重点推进三方面工作：一是加大技术研发岗位招聘力度，拓展校招、社招优质渠道，建立核心人才储备库；二是开展中层管理者专项培训，提升团队管理、决策规划能力；三是优化培训体系，基于岗位需求定制培训内容，强化培训效果评估与转化，进一步提升人力资源效能，助力企业战略目标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2025-12-21T00:40:32Z</dcterms:created>
  <dc:creator>Apache POI</dc:creator>
</cp:coreProperties>
</file>