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1880D" w14:textId="5E78FAFE" w:rsidR="009C48A8" w:rsidRDefault="003563A6">
      <w:pPr>
        <w:rPr>
          <w:rFonts w:hint="eastAsia"/>
        </w:rPr>
      </w:pPr>
      <w:r>
        <w:rPr>
          <w:rFonts w:hint="eastAsia"/>
        </w:rPr>
        <w:t>最小风险包括最大似然估计，使用最小风险实现最大似然估计时，要针对的改变损失函数。</w:t>
      </w:r>
      <w:bookmarkStart w:id="0" w:name="_GoBack"/>
      <w:bookmarkEnd w:id="0"/>
    </w:p>
    <w:sectPr w:rsidR="009C4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A5"/>
    <w:rsid w:val="003563A6"/>
    <w:rsid w:val="009C48A8"/>
    <w:rsid w:val="00A26145"/>
    <w:rsid w:val="00FD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69B7"/>
  <w15:chartTrackingRefBased/>
  <w15:docId w15:val="{94361425-A126-4DCB-8FA9-08931161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2019-12-01T07:25:00Z</dcterms:created>
  <dcterms:modified xsi:type="dcterms:W3CDTF">2019-12-01T07:26:00Z</dcterms:modified>
</cp:coreProperties>
</file>