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仿宋_GB2312"/>
          <w:bCs/>
          <w:color w:val="000000"/>
          <w:sz w:val="28"/>
          <w:szCs w:val="28"/>
        </w:rPr>
      </w:pPr>
    </w:p>
    <w:p>
      <w:pPr>
        <w:adjustRightInd w:val="0"/>
        <w:snapToGrid w:val="0"/>
        <w:spacing w:line="500" w:lineRule="exact"/>
        <w:jc w:val="center"/>
        <w:rPr>
          <w:rFonts w:eastAsia="仿宋_GB2312"/>
          <w:b/>
          <w:color w:val="000000"/>
          <w:sz w:val="44"/>
          <w:szCs w:val="44"/>
        </w:rPr>
      </w:pPr>
      <w:r>
        <w:rPr>
          <w:rFonts w:hint="eastAsia" w:eastAsia="仿宋_GB2312"/>
          <w:b/>
          <w:color w:val="000000"/>
          <w:sz w:val="44"/>
          <w:szCs w:val="44"/>
        </w:rPr>
        <w:t>中山大学</w:t>
      </w:r>
    </w:p>
    <w:p>
      <w:pPr>
        <w:spacing w:line="500" w:lineRule="exact"/>
        <w:jc w:val="center"/>
        <w:rPr>
          <w:rFonts w:eastAsia="仿宋_GB2312"/>
          <w:b/>
          <w:color w:val="000000"/>
          <w:spacing w:val="-8"/>
          <w:sz w:val="32"/>
          <w:szCs w:val="32"/>
        </w:rPr>
      </w:pPr>
      <w:r>
        <w:rPr>
          <w:rFonts w:hint="eastAsia" w:eastAsia="仿宋_GB2312"/>
          <w:b/>
          <w:color w:val="000000"/>
          <w:spacing w:val="-8"/>
          <w:sz w:val="32"/>
          <w:szCs w:val="32"/>
          <w:lang w:val="en-US" w:eastAsia="zh-CN"/>
        </w:rPr>
        <w:t>工程（</w:t>
      </w:r>
      <w:r>
        <w:rPr>
          <w:rFonts w:hint="eastAsia" w:eastAsia="仿宋_GB2312"/>
          <w:b/>
          <w:color w:val="000000"/>
          <w:spacing w:val="-8"/>
          <w:sz w:val="32"/>
          <w:szCs w:val="32"/>
        </w:rPr>
        <w:t>计算机技术</w:t>
      </w:r>
      <w:r>
        <w:rPr>
          <w:rFonts w:hint="eastAsia" w:eastAsia="仿宋_GB2312"/>
          <w:b/>
          <w:color w:val="000000"/>
          <w:spacing w:val="-8"/>
          <w:sz w:val="32"/>
          <w:szCs w:val="32"/>
          <w:lang w:eastAsia="zh-CN"/>
        </w:rPr>
        <w:t>）</w:t>
      </w:r>
      <w:bookmarkStart w:id="0" w:name="_GoBack"/>
      <w:bookmarkEnd w:id="0"/>
      <w:r>
        <w:rPr>
          <w:rFonts w:eastAsia="仿宋_GB2312"/>
          <w:b/>
          <w:color w:val="000000"/>
          <w:spacing w:val="-8"/>
          <w:sz w:val="32"/>
          <w:szCs w:val="32"/>
        </w:rPr>
        <w:t xml:space="preserve"> (085211)</w:t>
      </w:r>
      <w:r>
        <w:rPr>
          <w:rFonts w:hint="eastAsia" w:eastAsia="仿宋_GB2312"/>
          <w:b/>
          <w:color w:val="000000"/>
          <w:spacing w:val="-8"/>
          <w:sz w:val="32"/>
          <w:szCs w:val="32"/>
        </w:rPr>
        <w:t>专业学位硕士研究生培养方案</w:t>
      </w:r>
    </w:p>
    <w:p>
      <w:pPr>
        <w:spacing w:line="500" w:lineRule="exact"/>
        <w:jc w:val="center"/>
        <w:rPr>
          <w:rFonts w:eastAsia="仿宋_GB2312"/>
          <w:color w:val="000000"/>
          <w:sz w:val="32"/>
          <w:szCs w:val="32"/>
        </w:rPr>
      </w:pPr>
      <w:r>
        <w:rPr>
          <w:rFonts w:hint="eastAsia" w:eastAsia="仿宋_GB2312"/>
          <w:color w:val="000000"/>
          <w:sz w:val="32"/>
          <w:szCs w:val="32"/>
        </w:rPr>
        <w:t>（非全日制）</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一、培养目标</w:t>
      </w:r>
    </w:p>
    <w:p>
      <w:pPr>
        <w:adjustRightInd w:val="0"/>
        <w:snapToGrid w:val="0"/>
        <w:spacing w:line="500" w:lineRule="exact"/>
        <w:ind w:firstLine="560" w:firstLineChars="200"/>
        <w:rPr>
          <w:rFonts w:eastAsia="仿宋_GB2312"/>
          <w:color w:val="000000" w:themeColor="text1"/>
          <w:sz w:val="28"/>
          <w:szCs w:val="28"/>
        </w:rPr>
      </w:pPr>
      <w:r>
        <w:rPr>
          <w:rFonts w:hint="eastAsia" w:eastAsia="仿宋_GB2312"/>
          <w:sz w:val="28"/>
          <w:szCs w:val="28"/>
        </w:rPr>
        <w:t>为了建设</w:t>
      </w:r>
      <w:r>
        <w:rPr>
          <w:rFonts w:eastAsia="仿宋_GB2312"/>
          <w:sz w:val="28"/>
          <w:szCs w:val="28"/>
        </w:rPr>
        <w:t>“</w:t>
      </w:r>
      <w:r>
        <w:rPr>
          <w:rFonts w:hint="eastAsia" w:eastAsia="仿宋_GB2312"/>
          <w:sz w:val="28"/>
          <w:szCs w:val="28"/>
        </w:rPr>
        <w:t>理工结合、学科交叉</w:t>
      </w:r>
      <w:r>
        <w:rPr>
          <w:rFonts w:eastAsia="仿宋_GB2312"/>
          <w:sz w:val="28"/>
          <w:szCs w:val="28"/>
        </w:rPr>
        <w:t>”</w:t>
      </w:r>
      <w:r>
        <w:rPr>
          <w:rFonts w:hint="eastAsia" w:eastAsia="仿宋_GB2312"/>
          <w:sz w:val="28"/>
          <w:szCs w:val="28"/>
        </w:rPr>
        <w:t>的人才培养模式，我院将计算机技术专业学位硕士的培养目标定位为面向国民经济信息化建设和发展的需要、面向企事业单位培养在计算机技术领域从事研究、设计、开发和管理的高级工程技术和管理人才。计算机技术专业学位硕士应当有本领域扎实的基础理论和宽广的专业知识以及管理知识。我院确立了</w:t>
      </w:r>
      <w:r>
        <w:rPr>
          <w:rFonts w:eastAsia="仿宋_GB2312"/>
          <w:sz w:val="28"/>
          <w:szCs w:val="28"/>
        </w:rPr>
        <w:t>“</w:t>
      </w:r>
      <w:r>
        <w:rPr>
          <w:rFonts w:hint="eastAsia" w:eastAsia="仿宋_GB2312"/>
          <w:sz w:val="28"/>
          <w:szCs w:val="28"/>
        </w:rPr>
        <w:t>计算、数据、智能</w:t>
      </w:r>
      <w:r>
        <w:rPr>
          <w:rFonts w:eastAsia="仿宋_GB2312"/>
          <w:sz w:val="28"/>
          <w:szCs w:val="28"/>
        </w:rPr>
        <w:t>”</w:t>
      </w:r>
      <w:r>
        <w:rPr>
          <w:rFonts w:hint="eastAsia" w:eastAsia="仿宋_GB2312"/>
          <w:sz w:val="28"/>
          <w:szCs w:val="28"/>
        </w:rPr>
        <w:t>三足鼎立、计算机技术是重要支撑的学科布局，以广州超算中心</w:t>
      </w:r>
      <w:r>
        <w:rPr>
          <w:rFonts w:eastAsia="仿宋_GB2312"/>
          <w:sz w:val="28"/>
          <w:szCs w:val="28"/>
        </w:rPr>
        <w:t>“</w:t>
      </w:r>
      <w:r>
        <w:rPr>
          <w:rFonts w:hint="eastAsia" w:eastAsia="仿宋_GB2312"/>
          <w:sz w:val="28"/>
          <w:szCs w:val="28"/>
        </w:rPr>
        <w:t>天河二号</w:t>
      </w:r>
      <w:r>
        <w:rPr>
          <w:rFonts w:eastAsia="仿宋_GB2312"/>
          <w:sz w:val="28"/>
          <w:szCs w:val="28"/>
        </w:rPr>
        <w:t>”</w:t>
      </w:r>
      <w:r>
        <w:rPr>
          <w:rFonts w:hint="eastAsia" w:eastAsia="仿宋_GB2312"/>
          <w:sz w:val="28"/>
          <w:szCs w:val="28"/>
        </w:rPr>
        <w:t>超级计算机平台为依托，研究生要具有较强的计算机应用与开发能力，较为熟练地掌握一门外国语，掌握解决实际工程问题的先进思维方法和现代技术手段，具有创新意识和独立承担工程技术或工程管理等方面的能力。我院鼓励</w:t>
      </w:r>
      <w:r>
        <w:rPr>
          <w:rFonts w:hint="eastAsia" w:eastAsia="仿宋_GB2312"/>
          <w:color w:val="000000" w:themeColor="text1"/>
          <w:sz w:val="28"/>
          <w:szCs w:val="28"/>
        </w:rPr>
        <w:t>计算机技术专业学位硕士继续攻读博士学位。</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培养要求如下：</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、计算机技术专业学位硕士应全面地理解马克思主义、毛泽东思想和邓小平理论；拥护党的基本路线和方针、政策；热爱祖国，遵纪守法，具有良好的职业道德和创业精神，积极为我国经济建设和社会发展服务。</w:t>
      </w:r>
    </w:p>
    <w:p>
      <w:pPr>
        <w:adjustRightInd w:val="0"/>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计算机技术专业学位硕士应掌握计算机技术领域坚实的基础理论和宽广的专业知识，具备运用先进的工程化方法、技术和工具从事计算机系统分析、设计、开发、维护等工作的能力，以及工程项目的组织与管理能力、团队协作能力、技术创新能力和市场开拓能力，成为适合信息产业发展要求的高级技术人才或管理人才。</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3</w:t>
      </w:r>
      <w:r>
        <w:rPr>
          <w:rFonts w:hint="eastAsia" w:eastAsia="仿宋_GB2312"/>
          <w:sz w:val="28"/>
          <w:szCs w:val="28"/>
        </w:rPr>
        <w:t>、非全日制专业学位研究生按规定采取多种方式和灵活时间安排进行非脱产学习形式。</w:t>
      </w:r>
    </w:p>
    <w:p>
      <w:pPr>
        <w:adjustRightInd w:val="0"/>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、掌握一门外语，具备良好的阅读、理解和撰写外语资料的能力和进行国际化交流的能力。</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二、学习方式及学制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学制为</w:t>
      </w:r>
      <w:r>
        <w:rPr>
          <w:rFonts w:hint="eastAsia" w:ascii="宋体" w:hAnsi="宋体" w:cs="宋体"/>
          <w:sz w:val="28"/>
          <w:szCs w:val="28"/>
        </w:rPr>
        <w:t>三</w:t>
      </w:r>
      <w:r>
        <w:rPr>
          <w:rFonts w:hint="eastAsia" w:eastAsia="仿宋_GB2312"/>
          <w:sz w:val="28"/>
          <w:szCs w:val="28"/>
        </w:rPr>
        <w:t>年，每学年由两个学期组成。</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因特殊原因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三、培养方式</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、非全日制专业学位研究生采取多种方式和灵活时间安排进行非脱产学习形式。</w:t>
      </w:r>
    </w:p>
    <w:p>
      <w:pPr>
        <w:adjustRightInd w:val="0"/>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采用系统化课程学习和工程实践相结合的培养方式。学院聘请具有丰富的工程实践和教学指导经验的企业资深技术或管理人员参与课程教学，计算机技术实践要求学生直接参与软件工程项目实践，完成必要的技术方案设计、信息系统开发、项目管理等工作，并完成学位论文的撰写。</w:t>
      </w:r>
    </w:p>
    <w:p>
      <w:pPr>
        <w:adjustRightInd w:val="0"/>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、采用学分制，学生必须通过由学校组织的规定课程的考试，成绩合格方能取得该门课程的学分；其中，必修课成绩在</w:t>
      </w:r>
      <w:r>
        <w:rPr>
          <w:rFonts w:eastAsia="仿宋_GB2312"/>
          <w:sz w:val="28"/>
          <w:szCs w:val="28"/>
        </w:rPr>
        <w:t>70</w:t>
      </w:r>
      <w:r>
        <w:rPr>
          <w:rFonts w:hint="eastAsia" w:eastAsia="仿宋_GB2312"/>
          <w:sz w:val="28"/>
          <w:szCs w:val="28"/>
        </w:rPr>
        <w:t>分以上（含</w:t>
      </w:r>
      <w:r>
        <w:rPr>
          <w:rFonts w:eastAsia="仿宋_GB2312"/>
          <w:sz w:val="28"/>
          <w:szCs w:val="28"/>
        </w:rPr>
        <w:t>70</w:t>
      </w:r>
      <w:r>
        <w:rPr>
          <w:rFonts w:hint="eastAsia" w:eastAsia="仿宋_GB2312"/>
          <w:sz w:val="28"/>
          <w:szCs w:val="28"/>
        </w:rPr>
        <w:t>分）为合格，选修课成绩在</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分）为合格。</w:t>
      </w:r>
    </w:p>
    <w:p>
      <w:pPr>
        <w:adjustRightInd w:val="0"/>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hint="eastAsia" w:eastAsia="仿宋_GB2312"/>
          <w:sz w:val="28"/>
          <w:szCs w:val="28"/>
        </w:rPr>
        <w:t>期末考试等因素综合评定。</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5、计算机技术专业学位硕士研究生课程考试成绩未达到及格或合格要求者，根据课程情况可申请补考或重修，具体考核细则按《中山大学硕士研究生学业考核管理规定》执行。</w:t>
      </w:r>
    </w:p>
    <w:p>
      <w:pPr>
        <w:adjustRightInd w:val="0"/>
        <w:snapToGrid w:val="0"/>
        <w:spacing w:line="500" w:lineRule="exact"/>
        <w:ind w:firstLine="560" w:firstLineChars="200"/>
        <w:rPr>
          <w:rFonts w:eastAsia="仿宋_GB2312"/>
          <w:sz w:val="28"/>
          <w:szCs w:val="28"/>
        </w:rPr>
      </w:pPr>
      <w:r>
        <w:rPr>
          <w:rFonts w:eastAsia="仿宋_GB2312"/>
          <w:sz w:val="28"/>
          <w:szCs w:val="28"/>
        </w:rPr>
        <w:t xml:space="preserve">(1) </w:t>
      </w:r>
      <w:r>
        <w:rPr>
          <w:rFonts w:hint="eastAsia" w:eastAsia="仿宋_GB2312"/>
          <w:sz w:val="28"/>
          <w:szCs w:val="28"/>
        </w:rPr>
        <w:t>补考：计算机技术专业硕士研究生在全部必修课程考试中，若只有一门课程成绩不及格，可申请补考，且该门课程只允许补考一次，登记成绩时须注明补考。补考不及格者不能再申请重修，按退学处理。凡有两门以上（含两门）必修课不及格者不得补考，按学籍管理细则有关规定处理。</w:t>
      </w:r>
    </w:p>
    <w:p>
      <w:pPr>
        <w:adjustRightInd w:val="0"/>
        <w:snapToGrid w:val="0"/>
        <w:spacing w:line="500" w:lineRule="exact"/>
        <w:ind w:firstLine="560" w:firstLineChars="200"/>
        <w:rPr>
          <w:rFonts w:eastAsia="仿宋_GB2312"/>
          <w:sz w:val="28"/>
          <w:szCs w:val="28"/>
        </w:rPr>
      </w:pPr>
      <w:r>
        <w:rPr>
          <w:rFonts w:eastAsia="仿宋_GB2312"/>
          <w:sz w:val="28"/>
          <w:szCs w:val="28"/>
        </w:rPr>
        <w:t xml:space="preserve">(2) </w:t>
      </w:r>
      <w:r>
        <w:rPr>
          <w:rFonts w:hint="eastAsia" w:eastAsia="仿宋_GB2312"/>
          <w:sz w:val="28"/>
          <w:szCs w:val="28"/>
        </w:rPr>
        <w:t>重修：计算机技术专业硕士研究生课程考试不合格，可申请重修，成绩按实际成绩登记，重修成绩未达到合格要求者，不能参加补考，只能再次申请重修。</w:t>
      </w:r>
    </w:p>
    <w:p>
      <w:pPr>
        <w:spacing w:line="500" w:lineRule="exact"/>
        <w:ind w:firstLine="560" w:firstLineChars="200"/>
        <w:rPr>
          <w:rFonts w:eastAsia="仿宋_GB2312"/>
          <w:sz w:val="28"/>
          <w:szCs w:val="28"/>
        </w:rPr>
      </w:pPr>
      <w:r>
        <w:rPr>
          <w:rFonts w:hint="eastAsia" w:eastAsia="仿宋_GB2312"/>
          <w:sz w:val="28"/>
          <w:szCs w:val="28"/>
        </w:rPr>
        <w:t>6、研究生入学后采用以导师为主的培养方式。学生通过</w:t>
      </w:r>
      <w:r>
        <w:rPr>
          <w:rFonts w:eastAsia="仿宋_GB2312"/>
          <w:sz w:val="28"/>
          <w:szCs w:val="28"/>
        </w:rPr>
        <w:t>“</w:t>
      </w:r>
      <w:r>
        <w:rPr>
          <w:rFonts w:hint="eastAsia" w:eastAsia="仿宋_GB2312"/>
          <w:sz w:val="28"/>
          <w:szCs w:val="28"/>
        </w:rPr>
        <w:t>双向选择</w:t>
      </w:r>
      <w:r>
        <w:rPr>
          <w:rFonts w:eastAsia="仿宋_GB2312"/>
          <w:sz w:val="28"/>
          <w:szCs w:val="28"/>
        </w:rPr>
        <w:t>”</w:t>
      </w:r>
      <w:r>
        <w:rPr>
          <w:rFonts w:hint="eastAsia" w:eastAsia="仿宋_GB2312"/>
          <w:sz w:val="28"/>
          <w:szCs w:val="28"/>
        </w:rPr>
        <w:t>与</w:t>
      </w:r>
      <w:r>
        <w:rPr>
          <w:rFonts w:eastAsia="仿宋_GB2312"/>
          <w:sz w:val="28"/>
          <w:szCs w:val="28"/>
        </w:rPr>
        <w:t>“</w:t>
      </w:r>
      <w:r>
        <w:rPr>
          <w:rFonts w:hint="eastAsia" w:eastAsia="仿宋_GB2312"/>
          <w:sz w:val="28"/>
          <w:szCs w:val="28"/>
        </w:rPr>
        <w:t>学院指派</w:t>
      </w:r>
      <w:r>
        <w:rPr>
          <w:rFonts w:eastAsia="仿宋_GB2312"/>
          <w:sz w:val="28"/>
          <w:szCs w:val="28"/>
        </w:rPr>
        <w:t>”</w:t>
      </w:r>
      <w:r>
        <w:rPr>
          <w:rFonts w:hint="eastAsia" w:eastAsia="仿宋_GB2312"/>
          <w:sz w:val="28"/>
          <w:szCs w:val="28"/>
        </w:rPr>
        <w:t>相结合的方式确定导师。</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7、符合研究生院免修规定的研究生可免修英语。</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四、课程设置及学分要求</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、课程设置</w:t>
      </w:r>
    </w:p>
    <w:p>
      <w:pPr>
        <w:spacing w:line="500" w:lineRule="exact"/>
        <w:ind w:firstLine="548" w:firstLineChars="196"/>
        <w:rPr>
          <w:rFonts w:eastAsia="仿宋_GB2312"/>
          <w:b/>
          <w:szCs w:val="21"/>
        </w:rPr>
      </w:pPr>
      <w:r>
        <w:rPr>
          <w:rFonts w:hint="eastAsia" w:eastAsia="仿宋_GB2312"/>
          <w:sz w:val="28"/>
          <w:szCs w:val="28"/>
        </w:rPr>
        <w:t>课程设置包括：公共理论课程</w:t>
      </w:r>
      <w:r>
        <w:rPr>
          <w:rFonts w:eastAsia="仿宋_GB2312"/>
          <w:sz w:val="28"/>
          <w:szCs w:val="28"/>
        </w:rPr>
        <w:t>(</w:t>
      </w:r>
      <w:r>
        <w:rPr>
          <w:rFonts w:hint="eastAsia" w:eastAsia="仿宋_GB2312"/>
          <w:sz w:val="28"/>
          <w:szCs w:val="28"/>
        </w:rPr>
        <w:t>含公共外语、政治理论等课程）、专业基础课程、专业方向课程、专业技术与实践类课程、拓展课程等。</w:t>
      </w:r>
    </w:p>
    <w:p>
      <w:pPr>
        <w:spacing w:line="360" w:lineRule="auto"/>
        <w:ind w:firstLine="413" w:firstLineChars="196"/>
        <w:rPr>
          <w:rFonts w:eastAsia="仿宋_GB2312"/>
          <w:b/>
          <w:szCs w:val="21"/>
        </w:rPr>
      </w:pPr>
      <w:r>
        <w:rPr>
          <w:rFonts w:hint="eastAsia" w:eastAsia="仿宋_GB2312"/>
          <w:b/>
          <w:szCs w:val="21"/>
        </w:rPr>
        <w:t>（</w:t>
      </w:r>
      <w:r>
        <w:rPr>
          <w:rFonts w:eastAsia="仿宋_GB2312"/>
          <w:b/>
          <w:szCs w:val="21"/>
        </w:rPr>
        <w:t>1</w:t>
      </w:r>
      <w:r>
        <w:rPr>
          <w:rFonts w:hint="eastAsia" w:eastAsia="仿宋_GB2312"/>
          <w:b/>
          <w:szCs w:val="21"/>
        </w:rPr>
        <w:t>）公共理论课程</w:t>
      </w:r>
      <w:r>
        <w:rPr>
          <w:rFonts w:eastAsia="仿宋_GB2312"/>
          <w:b/>
          <w:szCs w:val="21"/>
        </w:rPr>
        <w:t xml:space="preserve">   </w:t>
      </w:r>
    </w:p>
    <w:tbl>
      <w:tblPr>
        <w:tblStyle w:val="6"/>
        <w:tblW w:w="914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3310"/>
        <w:gridCol w:w="1417"/>
        <w:gridCol w:w="790"/>
        <w:gridCol w:w="101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48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331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417"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79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101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480" w:type="dxa"/>
            <w:tcBorders>
              <w:top w:val="single" w:color="auto" w:sz="12" w:space="0"/>
            </w:tcBorders>
            <w:vAlign w:val="center"/>
          </w:tcPr>
          <w:p>
            <w:pPr>
              <w:spacing w:line="300" w:lineRule="exact"/>
              <w:ind w:left="-29" w:right="-42"/>
              <w:jc w:val="center"/>
              <w:rPr>
                <w:rFonts w:eastAsia="仿宋_GB2312"/>
                <w:szCs w:val="21"/>
              </w:rPr>
            </w:pPr>
            <w:r>
              <w:rPr>
                <w:rFonts w:hint="eastAsia" w:eastAsia="仿宋_GB2312"/>
                <w:szCs w:val="21"/>
              </w:rPr>
              <w:t>DCS5619</w:t>
            </w:r>
          </w:p>
        </w:tc>
        <w:tc>
          <w:tcPr>
            <w:tcW w:w="3310" w:type="dxa"/>
            <w:tcBorders>
              <w:top w:val="single" w:color="auto" w:sz="12" w:space="0"/>
            </w:tcBorders>
            <w:vAlign w:val="center"/>
          </w:tcPr>
          <w:p>
            <w:pPr>
              <w:jc w:val="left"/>
              <w:rPr>
                <w:rFonts w:eastAsia="仿宋_GB2312"/>
                <w:szCs w:val="21"/>
              </w:rPr>
            </w:pPr>
            <w:r>
              <w:rPr>
                <w:rFonts w:hint="eastAsia" w:eastAsia="仿宋_GB2312"/>
                <w:szCs w:val="21"/>
              </w:rPr>
              <w:t>第一外国语（英语）</w:t>
            </w:r>
          </w:p>
          <w:p>
            <w:pPr>
              <w:spacing w:line="300" w:lineRule="exact"/>
              <w:ind w:left="-29" w:right="-42"/>
              <w:jc w:val="left"/>
              <w:rPr>
                <w:rFonts w:eastAsia="仿宋_GB2312"/>
                <w:szCs w:val="21"/>
                <w:highlight w:val="yellow"/>
              </w:rPr>
            </w:pPr>
            <w:r>
              <w:rPr>
                <w:rFonts w:eastAsia="仿宋_GB2312"/>
                <w:szCs w:val="21"/>
              </w:rPr>
              <w:t>First Foreign Language (English)</w:t>
            </w:r>
          </w:p>
        </w:tc>
        <w:tc>
          <w:tcPr>
            <w:tcW w:w="1417"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top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top w:val="single" w:color="auto" w:sz="12" w:space="0"/>
            </w:tcBorders>
            <w:vAlign w:val="center"/>
          </w:tcPr>
          <w:p>
            <w:pPr>
              <w:spacing w:line="300" w:lineRule="exact"/>
              <w:ind w:left="-82" w:leftChars="-39" w:right="-99" w:rightChars="-47"/>
              <w:jc w:val="center"/>
              <w:rPr>
                <w:rFonts w:eastAsia="仿宋_GB2312"/>
                <w:szCs w:val="21"/>
              </w:rPr>
            </w:pPr>
            <w:r>
              <w:rPr>
                <w:rFonts w:eastAsia="仿宋_GB2312"/>
                <w:szCs w:val="21"/>
              </w:rPr>
              <w:t>54</w:t>
            </w:r>
          </w:p>
        </w:tc>
        <w:tc>
          <w:tcPr>
            <w:tcW w:w="1134" w:type="dxa"/>
            <w:tcBorders>
              <w:top w:val="single" w:color="auto" w:sz="12" w:space="0"/>
            </w:tcBorders>
            <w:vAlign w:val="center"/>
          </w:tcPr>
          <w:p>
            <w:pPr>
              <w:spacing w:line="300" w:lineRule="exact"/>
              <w:ind w:left="-105" w:leftChars="-50" w:right="-105" w:rightChars="-50"/>
              <w:jc w:val="center"/>
              <w:rPr>
                <w:rFonts w:eastAsia="仿宋_GB2312"/>
                <w:szCs w:val="21"/>
              </w:rPr>
            </w:pPr>
            <w:r>
              <w:rPr>
                <w:rFonts w:eastAsia="仿宋_GB2312"/>
                <w:szCs w:val="21"/>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480" w:type="dxa"/>
            <w:tcBorders>
              <w:bottom w:val="single" w:color="auto" w:sz="12" w:space="0"/>
            </w:tcBorders>
            <w:vAlign w:val="center"/>
          </w:tcPr>
          <w:p>
            <w:pPr>
              <w:spacing w:line="300" w:lineRule="exact"/>
              <w:ind w:left="-29" w:right="-42"/>
              <w:jc w:val="center"/>
              <w:rPr>
                <w:rFonts w:eastAsia="仿宋_GB2312"/>
                <w:color w:val="000000" w:themeColor="text1"/>
                <w:szCs w:val="21"/>
              </w:rPr>
            </w:pPr>
            <w:r>
              <w:rPr>
                <w:rFonts w:hint="eastAsia" w:eastAsia="仿宋_GB2312"/>
                <w:color w:val="000000" w:themeColor="text1"/>
                <w:szCs w:val="21"/>
              </w:rPr>
              <w:t>DCS5620</w:t>
            </w:r>
          </w:p>
        </w:tc>
        <w:tc>
          <w:tcPr>
            <w:tcW w:w="3310" w:type="dxa"/>
            <w:tcBorders>
              <w:bottom w:val="single" w:color="auto" w:sz="12" w:space="0"/>
            </w:tcBorders>
            <w:vAlign w:val="center"/>
          </w:tcPr>
          <w:p>
            <w:pPr>
              <w:spacing w:line="300" w:lineRule="exact"/>
              <w:ind w:left="-29" w:right="-42"/>
              <w:rPr>
                <w:rFonts w:eastAsia="仿宋_GB2312"/>
                <w:szCs w:val="21"/>
              </w:rPr>
            </w:pPr>
            <w:r>
              <w:rPr>
                <w:rFonts w:hint="eastAsia" w:eastAsia="仿宋_GB2312"/>
                <w:szCs w:val="21"/>
              </w:rPr>
              <w:t>中国特色社会主义理论与实践</w:t>
            </w:r>
          </w:p>
          <w:p>
            <w:pPr>
              <w:spacing w:line="300" w:lineRule="exact"/>
              <w:ind w:left="-29" w:right="-42"/>
              <w:jc w:val="left"/>
              <w:rPr>
                <w:rFonts w:eastAsia="仿宋_GB2312"/>
                <w:szCs w:val="21"/>
              </w:rPr>
            </w:pPr>
            <w:r>
              <w:rPr>
                <w:rFonts w:eastAsia="仿宋_GB2312"/>
                <w:szCs w:val="21"/>
              </w:rPr>
              <w:t>Research on the Theory and Practice of Socialism with Chinese Characteristics</w:t>
            </w:r>
          </w:p>
        </w:tc>
        <w:tc>
          <w:tcPr>
            <w:tcW w:w="1417" w:type="dxa"/>
            <w:tcBorders>
              <w:bottom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bottom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bottom w:val="single" w:color="auto" w:sz="12" w:space="0"/>
            </w:tcBorders>
            <w:vAlign w:val="center"/>
          </w:tcPr>
          <w:p>
            <w:pPr>
              <w:spacing w:line="300" w:lineRule="exact"/>
              <w:ind w:left="-82" w:leftChars="-39" w:right="-99" w:rightChars="-47"/>
              <w:jc w:val="center"/>
              <w:rPr>
                <w:rFonts w:eastAsia="仿宋_GB2312"/>
                <w:szCs w:val="21"/>
              </w:rPr>
            </w:pPr>
            <w:r>
              <w:rPr>
                <w:rFonts w:eastAsia="仿宋_GB2312"/>
                <w:szCs w:val="21"/>
              </w:rPr>
              <w:t>36</w:t>
            </w:r>
          </w:p>
        </w:tc>
        <w:tc>
          <w:tcPr>
            <w:tcW w:w="1134" w:type="dxa"/>
            <w:tcBorders>
              <w:bottom w:val="single" w:color="auto" w:sz="12" w:space="0"/>
            </w:tcBorders>
            <w:vAlign w:val="center"/>
          </w:tcPr>
          <w:p>
            <w:pPr>
              <w:spacing w:line="300" w:lineRule="exact"/>
              <w:ind w:left="-105" w:leftChars="-50" w:right="-105" w:rightChars="-50"/>
              <w:jc w:val="center"/>
              <w:rPr>
                <w:rFonts w:eastAsia="仿宋_GB2312"/>
                <w:szCs w:val="21"/>
              </w:rPr>
            </w:pPr>
            <w:r>
              <w:rPr>
                <w:rFonts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2</w:t>
      </w:r>
      <w:r>
        <w:rPr>
          <w:rFonts w:hint="eastAsia" w:eastAsia="仿宋_GB2312"/>
          <w:b/>
          <w:szCs w:val="21"/>
        </w:rPr>
        <w:t>）专业基础课程</w:t>
      </w:r>
    </w:p>
    <w:tbl>
      <w:tblPr>
        <w:tblStyle w:val="6"/>
        <w:tblW w:w="919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2401"/>
        <w:gridCol w:w="1276"/>
        <w:gridCol w:w="184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2401"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1843"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top w:val="single" w:color="auto" w:sz="12" w:space="0"/>
            </w:tcBorders>
            <w:vAlign w:val="center"/>
          </w:tcPr>
          <w:p>
            <w:pPr>
              <w:spacing w:line="300" w:lineRule="exact"/>
              <w:ind w:left="-29" w:right="-42"/>
              <w:jc w:val="center"/>
              <w:rPr>
                <w:rFonts w:eastAsia="仿宋_GB2312"/>
                <w:color w:val="000000"/>
                <w:szCs w:val="21"/>
              </w:rPr>
            </w:pPr>
            <w:r>
              <w:rPr>
                <w:rFonts w:eastAsia="仿宋_GB2312"/>
                <w:color w:val="000000"/>
                <w:szCs w:val="21"/>
              </w:rPr>
              <w:t>DCS5618</w:t>
            </w:r>
          </w:p>
        </w:tc>
        <w:tc>
          <w:tcPr>
            <w:tcW w:w="2401"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计算机技术基础（包括人工智能基础理论、机器学习、深度学习、面向对象技术与方法等）</w:t>
            </w:r>
          </w:p>
          <w:p>
            <w:pPr>
              <w:spacing w:line="300" w:lineRule="exact"/>
              <w:ind w:left="-29" w:right="-42"/>
              <w:jc w:val="left"/>
              <w:rPr>
                <w:rFonts w:eastAsia="仿宋_GB2312"/>
                <w:szCs w:val="21"/>
              </w:rPr>
            </w:pPr>
            <w:r>
              <w:rPr>
                <w:rFonts w:eastAsia="仿宋_GB2312"/>
                <w:szCs w:val="21"/>
              </w:rPr>
              <w:t>Foundation of Computer Technology</w:t>
            </w:r>
          </w:p>
        </w:tc>
        <w:tc>
          <w:tcPr>
            <w:tcW w:w="1276"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1843" w:type="dxa"/>
            <w:tcBorders>
              <w:top w:val="single" w:color="auto" w:sz="12" w:space="0"/>
            </w:tcBorders>
            <w:vAlign w:val="center"/>
          </w:tcPr>
          <w:p>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vAlign w:val="center"/>
          </w:tcPr>
          <w:p>
            <w:pPr>
              <w:spacing w:line="300" w:lineRule="exact"/>
              <w:ind w:left="-29" w:right="-42"/>
              <w:jc w:val="center"/>
              <w:rPr>
                <w:rFonts w:eastAsia="仿宋_GB2312"/>
                <w:szCs w:val="21"/>
              </w:rPr>
            </w:pPr>
            <w:r>
              <w:rPr>
                <w:rFonts w:eastAsia="仿宋_GB2312"/>
                <w:szCs w:val="21"/>
              </w:rPr>
              <w:t>DCS5602</w:t>
            </w:r>
          </w:p>
        </w:tc>
        <w:tc>
          <w:tcPr>
            <w:tcW w:w="2401" w:type="dxa"/>
            <w:vAlign w:val="center"/>
          </w:tcPr>
          <w:p>
            <w:pPr>
              <w:spacing w:line="300" w:lineRule="exact"/>
              <w:ind w:left="-29" w:right="-42"/>
              <w:jc w:val="left"/>
              <w:rPr>
                <w:rFonts w:eastAsia="仿宋_GB2312"/>
                <w:szCs w:val="21"/>
              </w:rPr>
            </w:pPr>
            <w:r>
              <w:rPr>
                <w:rFonts w:hint="eastAsia" w:eastAsia="仿宋_GB2312"/>
                <w:szCs w:val="21"/>
              </w:rPr>
              <w:t>计算机技术专业前沿讲座</w:t>
            </w:r>
          </w:p>
          <w:p>
            <w:pPr>
              <w:spacing w:line="300" w:lineRule="exact"/>
              <w:ind w:left="-29" w:right="-42"/>
              <w:jc w:val="left"/>
              <w:rPr>
                <w:rFonts w:eastAsia="仿宋_GB2312"/>
                <w:szCs w:val="21"/>
              </w:rPr>
            </w:pPr>
            <w:r>
              <w:rPr>
                <w:rFonts w:eastAsia="仿宋_GB2312"/>
                <w:szCs w:val="21"/>
              </w:rPr>
              <w:t>Computer Technology Frontier Lectures</w:t>
            </w:r>
          </w:p>
        </w:tc>
        <w:tc>
          <w:tcPr>
            <w:tcW w:w="1276" w:type="dxa"/>
            <w:vAlign w:val="center"/>
          </w:tcPr>
          <w:p>
            <w:pPr>
              <w:jc w:val="center"/>
              <w:rPr>
                <w:rFonts w:eastAsia="仿宋_GB2312"/>
              </w:rPr>
            </w:pPr>
            <w:r>
              <w:rPr>
                <w:rFonts w:hint="eastAsia" w:eastAsia="仿宋_GB2312"/>
                <w:szCs w:val="21"/>
              </w:rPr>
              <w:t>必修</w:t>
            </w:r>
          </w:p>
        </w:tc>
        <w:tc>
          <w:tcPr>
            <w:tcW w:w="1843" w:type="dxa"/>
            <w:vAlign w:val="center"/>
          </w:tcPr>
          <w:p>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36</w:t>
            </w:r>
          </w:p>
        </w:tc>
        <w:tc>
          <w:tcPr>
            <w:tcW w:w="1134" w:type="dxa"/>
            <w:vAlign w:val="center"/>
          </w:tcPr>
          <w:p>
            <w:pPr>
              <w:spacing w:line="30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DCS5603</w:t>
            </w:r>
          </w:p>
        </w:tc>
        <w:tc>
          <w:tcPr>
            <w:tcW w:w="2401"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计算机技术专业科研实践</w:t>
            </w:r>
          </w:p>
          <w:p>
            <w:pPr>
              <w:spacing w:line="300" w:lineRule="exact"/>
              <w:ind w:left="-29" w:right="-42"/>
              <w:jc w:val="left"/>
              <w:rPr>
                <w:rFonts w:eastAsia="仿宋_GB2312"/>
                <w:szCs w:val="21"/>
              </w:rPr>
            </w:pPr>
            <w:r>
              <w:rPr>
                <w:rFonts w:eastAsia="仿宋_GB2312"/>
                <w:szCs w:val="21"/>
              </w:rPr>
              <w:t>Computer Technology Scientific Research Practice</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43" w:type="dxa"/>
            <w:tcBorders>
              <w:bottom w:val="single" w:color="auto" w:sz="12" w:space="0"/>
            </w:tcBorders>
            <w:vAlign w:val="center"/>
          </w:tcPr>
          <w:p>
            <w:r>
              <w:rPr>
                <w:rFonts w:hint="eastAsia" w:eastAsia="仿宋_GB2312"/>
                <w:szCs w:val="21"/>
              </w:rPr>
              <w:t>第一、二学期</w:t>
            </w:r>
          </w:p>
        </w:tc>
        <w:tc>
          <w:tcPr>
            <w:tcW w:w="992"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54</w:t>
            </w:r>
          </w:p>
        </w:tc>
        <w:tc>
          <w:tcPr>
            <w:tcW w:w="1134" w:type="dxa"/>
            <w:tcBorders>
              <w:bottom w:val="single" w:color="auto" w:sz="12" w:space="0"/>
            </w:tcBorders>
            <w:vAlign w:val="center"/>
          </w:tcPr>
          <w:p>
            <w:pPr>
              <w:spacing w:line="320" w:lineRule="exact"/>
              <w:ind w:left="-29" w:right="-42"/>
              <w:jc w:val="center"/>
              <w:rPr>
                <w:rFonts w:eastAsia="仿宋_GB2312"/>
                <w:color w:val="000000" w:themeColor="text1"/>
                <w:szCs w:val="21"/>
              </w:rPr>
            </w:pPr>
            <w:r>
              <w:rPr>
                <w:rFonts w:eastAsia="仿宋_GB2312"/>
                <w:color w:val="000000" w:themeColor="text1"/>
                <w:szCs w:val="21"/>
              </w:rPr>
              <w:t>3</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3</w:t>
      </w:r>
      <w:r>
        <w:rPr>
          <w:rFonts w:hint="eastAsia" w:eastAsia="仿宋_GB2312"/>
          <w:b/>
          <w:szCs w:val="21"/>
        </w:rPr>
        <w:t>）专业方向课程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56"/>
        <w:gridCol w:w="1276"/>
        <w:gridCol w:w="1830"/>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课程编号</w:t>
            </w:r>
          </w:p>
        </w:tc>
        <w:tc>
          <w:tcPr>
            <w:tcW w:w="235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课程性质</w:t>
            </w:r>
          </w:p>
        </w:tc>
        <w:tc>
          <w:tcPr>
            <w:tcW w:w="1830"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60" w:lineRule="auto"/>
              <w:jc w:val="center"/>
              <w:rPr>
                <w:rFonts w:eastAsia="仿宋_GB2312"/>
                <w:szCs w:val="21"/>
              </w:rPr>
            </w:pPr>
            <w:r>
              <w:rPr>
                <w:rFonts w:eastAsia="仿宋_GB2312"/>
                <w:szCs w:val="21"/>
              </w:rPr>
              <w:t>DCS5612</w:t>
            </w:r>
          </w:p>
        </w:tc>
        <w:tc>
          <w:tcPr>
            <w:tcW w:w="2356"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系统分析与设计</w:t>
            </w:r>
          </w:p>
          <w:p>
            <w:pPr>
              <w:spacing w:line="300" w:lineRule="exact"/>
              <w:ind w:left="-29" w:right="-42"/>
              <w:jc w:val="left"/>
              <w:rPr>
                <w:rFonts w:eastAsia="仿宋_GB2312"/>
                <w:szCs w:val="21"/>
              </w:rPr>
            </w:pPr>
            <w:r>
              <w:rPr>
                <w:rFonts w:eastAsia="仿宋_GB2312"/>
                <w:szCs w:val="21"/>
              </w:rPr>
              <w:t>System Analysis and Design</w:t>
            </w:r>
          </w:p>
        </w:tc>
        <w:tc>
          <w:tcPr>
            <w:tcW w:w="1276" w:type="dxa"/>
            <w:tcBorders>
              <w:top w:val="single" w:color="auto" w:sz="12" w:space="0"/>
            </w:tcBorders>
            <w:vAlign w:val="center"/>
          </w:tcPr>
          <w:p>
            <w:pPr>
              <w:jc w:val="center"/>
              <w:rPr>
                <w:rFonts w:eastAsia="仿宋_GB2312"/>
              </w:rPr>
            </w:pPr>
            <w:r>
              <w:rPr>
                <w:rFonts w:hint="eastAsia" w:eastAsia="仿宋_GB2312"/>
                <w:szCs w:val="21"/>
              </w:rPr>
              <w:t>选修</w:t>
            </w:r>
          </w:p>
        </w:tc>
        <w:tc>
          <w:tcPr>
            <w:tcW w:w="1830" w:type="dxa"/>
            <w:tcBorders>
              <w:top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DCS5604</w:t>
            </w:r>
          </w:p>
        </w:tc>
        <w:tc>
          <w:tcPr>
            <w:tcW w:w="2356" w:type="dxa"/>
            <w:vAlign w:val="center"/>
          </w:tcPr>
          <w:p>
            <w:pPr>
              <w:spacing w:line="300" w:lineRule="exact"/>
              <w:ind w:left="-29" w:right="-42"/>
              <w:jc w:val="left"/>
              <w:rPr>
                <w:rFonts w:eastAsia="仿宋_GB2312"/>
                <w:szCs w:val="21"/>
              </w:rPr>
            </w:pPr>
            <w:r>
              <w:rPr>
                <w:rFonts w:hint="eastAsia" w:eastAsia="仿宋_GB2312"/>
                <w:szCs w:val="21"/>
              </w:rPr>
              <w:t>面向对象技术与方法</w:t>
            </w:r>
          </w:p>
          <w:p>
            <w:pPr>
              <w:spacing w:line="300" w:lineRule="exact"/>
              <w:ind w:left="-29" w:right="-42"/>
              <w:jc w:val="left"/>
              <w:rPr>
                <w:rFonts w:eastAsia="仿宋_GB2312"/>
                <w:szCs w:val="21"/>
              </w:rPr>
            </w:pPr>
            <w:r>
              <w:rPr>
                <w:rFonts w:eastAsia="仿宋_GB2312"/>
                <w:szCs w:val="21"/>
              </w:rPr>
              <w:t>Object-Oriented Technology and Methodology</w:t>
            </w:r>
          </w:p>
        </w:tc>
        <w:tc>
          <w:tcPr>
            <w:tcW w:w="1276" w:type="dxa"/>
            <w:vAlign w:val="center"/>
          </w:tcPr>
          <w:p>
            <w:pPr>
              <w:jc w:val="center"/>
              <w:rPr>
                <w:rFonts w:eastAsia="仿宋_GB2312"/>
                <w:szCs w:val="21"/>
              </w:rPr>
            </w:pPr>
            <w:r>
              <w:rPr>
                <w:rFonts w:hint="eastAsia" w:eastAsia="仿宋_GB2312"/>
                <w:szCs w:val="21"/>
              </w:rPr>
              <w:t>必修</w:t>
            </w:r>
          </w:p>
        </w:tc>
        <w:tc>
          <w:tcPr>
            <w:tcW w:w="1830"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DCS5605</w:t>
            </w:r>
          </w:p>
        </w:tc>
        <w:tc>
          <w:tcPr>
            <w:tcW w:w="2356" w:type="dxa"/>
            <w:vAlign w:val="center"/>
          </w:tcPr>
          <w:p>
            <w:pPr>
              <w:spacing w:line="300" w:lineRule="exact"/>
              <w:ind w:left="-29" w:right="-42"/>
              <w:jc w:val="left"/>
              <w:rPr>
                <w:rFonts w:eastAsia="仿宋_GB2312"/>
                <w:szCs w:val="21"/>
              </w:rPr>
            </w:pPr>
            <w:r>
              <w:rPr>
                <w:rFonts w:hint="eastAsia" w:eastAsia="仿宋_GB2312"/>
                <w:szCs w:val="21"/>
              </w:rPr>
              <w:t>算法设计与分析</w:t>
            </w:r>
          </w:p>
          <w:p>
            <w:pPr>
              <w:spacing w:line="300" w:lineRule="exact"/>
              <w:ind w:left="-29" w:right="-42"/>
              <w:jc w:val="left"/>
              <w:rPr>
                <w:rFonts w:eastAsia="仿宋_GB2312"/>
                <w:szCs w:val="21"/>
              </w:rPr>
            </w:pPr>
            <w:r>
              <w:rPr>
                <w:rFonts w:eastAsia="仿宋_GB2312"/>
                <w:szCs w:val="21"/>
              </w:rPr>
              <w:t>Algorithm Design and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DCS5606</w:t>
            </w:r>
          </w:p>
        </w:tc>
        <w:tc>
          <w:tcPr>
            <w:tcW w:w="2356" w:type="dxa"/>
            <w:vAlign w:val="center"/>
          </w:tcPr>
          <w:p>
            <w:pPr>
              <w:spacing w:line="300" w:lineRule="exact"/>
              <w:ind w:left="-29" w:right="-42"/>
              <w:jc w:val="left"/>
              <w:rPr>
                <w:rFonts w:eastAsia="仿宋_GB2312"/>
                <w:szCs w:val="21"/>
              </w:rPr>
            </w:pPr>
            <w:r>
              <w:rPr>
                <w:rFonts w:hint="eastAsia" w:eastAsia="仿宋_GB2312"/>
                <w:szCs w:val="21"/>
              </w:rPr>
              <w:t>高级数据库</w:t>
            </w:r>
          </w:p>
          <w:p>
            <w:pPr>
              <w:spacing w:line="300" w:lineRule="exact"/>
              <w:ind w:left="-29" w:right="-42"/>
              <w:jc w:val="left"/>
              <w:rPr>
                <w:rFonts w:eastAsia="仿宋_GB2312"/>
                <w:szCs w:val="21"/>
              </w:rPr>
            </w:pPr>
            <w:r>
              <w:rPr>
                <w:rFonts w:eastAsia="仿宋_GB2312"/>
                <w:szCs w:val="21"/>
              </w:rPr>
              <w:t>Advanced Database</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72</w:t>
            </w:r>
          </w:p>
        </w:tc>
        <w:tc>
          <w:tcPr>
            <w:tcW w:w="1134" w:type="dxa"/>
            <w:vAlign w:val="center"/>
          </w:tcPr>
          <w:p>
            <w:pPr>
              <w:spacing w:line="3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DCS5607</w:t>
            </w:r>
          </w:p>
        </w:tc>
        <w:tc>
          <w:tcPr>
            <w:tcW w:w="2356" w:type="dxa"/>
            <w:vAlign w:val="center"/>
          </w:tcPr>
          <w:p>
            <w:pPr>
              <w:spacing w:line="300" w:lineRule="exact"/>
              <w:ind w:left="-29" w:right="-42"/>
              <w:jc w:val="left"/>
              <w:rPr>
                <w:rFonts w:eastAsia="仿宋_GB2312"/>
                <w:szCs w:val="21"/>
              </w:rPr>
            </w:pPr>
            <w:r>
              <w:rPr>
                <w:rFonts w:hint="eastAsia" w:eastAsia="仿宋_GB2312"/>
                <w:szCs w:val="21"/>
              </w:rPr>
              <w:t>数字图像处理</w:t>
            </w:r>
          </w:p>
          <w:p>
            <w:pPr>
              <w:spacing w:line="300" w:lineRule="exact"/>
              <w:ind w:left="-29" w:right="-42"/>
              <w:jc w:val="left"/>
              <w:rPr>
                <w:rFonts w:eastAsia="仿宋_GB2312"/>
                <w:szCs w:val="21"/>
              </w:rPr>
            </w:pPr>
            <w:r>
              <w:rPr>
                <w:rFonts w:eastAsia="仿宋_GB2312"/>
                <w:szCs w:val="21"/>
              </w:rPr>
              <w:t>Digital Image Processing</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DCS5608</w:t>
            </w:r>
          </w:p>
        </w:tc>
        <w:tc>
          <w:tcPr>
            <w:tcW w:w="2356" w:type="dxa"/>
            <w:vAlign w:val="center"/>
          </w:tcPr>
          <w:p>
            <w:pPr>
              <w:spacing w:line="300" w:lineRule="exact"/>
              <w:ind w:left="-29" w:right="-42"/>
              <w:jc w:val="left"/>
              <w:rPr>
                <w:rFonts w:eastAsia="仿宋_GB2312"/>
                <w:szCs w:val="21"/>
              </w:rPr>
            </w:pPr>
            <w:r>
              <w:rPr>
                <w:rFonts w:hint="eastAsia" w:eastAsia="仿宋_GB2312"/>
                <w:szCs w:val="21"/>
              </w:rPr>
              <w:t>矩阵分析</w:t>
            </w:r>
          </w:p>
          <w:p>
            <w:pPr>
              <w:spacing w:line="300" w:lineRule="exact"/>
              <w:ind w:left="-29" w:right="-42"/>
              <w:jc w:val="left"/>
              <w:rPr>
                <w:rFonts w:eastAsia="仿宋_GB2312"/>
                <w:szCs w:val="21"/>
              </w:rPr>
            </w:pPr>
            <w:r>
              <w:rPr>
                <w:rFonts w:eastAsia="仿宋_GB2312"/>
                <w:szCs w:val="21"/>
              </w:rPr>
              <w:t>Matrix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DCS5611</w:t>
            </w:r>
          </w:p>
        </w:tc>
        <w:tc>
          <w:tcPr>
            <w:tcW w:w="2356" w:type="dxa"/>
            <w:vAlign w:val="center"/>
          </w:tcPr>
          <w:p>
            <w:pPr>
              <w:spacing w:line="300" w:lineRule="exact"/>
              <w:ind w:left="-29" w:right="-42"/>
              <w:jc w:val="left"/>
              <w:rPr>
                <w:rFonts w:eastAsia="仿宋_GB2312"/>
                <w:szCs w:val="21"/>
              </w:rPr>
            </w:pPr>
            <w:r>
              <w:rPr>
                <w:rFonts w:hint="eastAsia" w:eastAsia="仿宋_GB2312"/>
                <w:szCs w:val="21"/>
              </w:rPr>
              <w:t>数值分析</w:t>
            </w:r>
          </w:p>
          <w:p>
            <w:pPr>
              <w:spacing w:line="300" w:lineRule="exact"/>
              <w:ind w:left="-29" w:right="-42"/>
              <w:jc w:val="left"/>
              <w:rPr>
                <w:rFonts w:eastAsia="仿宋_GB2312"/>
                <w:szCs w:val="21"/>
              </w:rPr>
            </w:pPr>
            <w:r>
              <w:rPr>
                <w:rFonts w:eastAsia="仿宋_GB2312"/>
                <w:szCs w:val="21"/>
              </w:rPr>
              <w:t>Numerical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DCS5610</w:t>
            </w:r>
          </w:p>
        </w:tc>
        <w:tc>
          <w:tcPr>
            <w:tcW w:w="2356"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软件工程中的人工智能</w:t>
            </w:r>
          </w:p>
          <w:p>
            <w:pPr>
              <w:spacing w:line="300" w:lineRule="exact"/>
              <w:ind w:left="-29" w:right="-42"/>
              <w:jc w:val="left"/>
              <w:rPr>
                <w:rFonts w:eastAsia="仿宋_GB2312"/>
                <w:szCs w:val="21"/>
              </w:rPr>
            </w:pPr>
            <w:r>
              <w:rPr>
                <w:rFonts w:eastAsia="仿宋_GB2312"/>
                <w:szCs w:val="21"/>
              </w:rPr>
              <w:t>Artificial Intelligence in Software Engineering</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30" w:type="dxa"/>
            <w:tcBorders>
              <w:bottom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bottom w:val="single" w:color="auto" w:sz="12" w:space="0"/>
            </w:tcBorders>
            <w:vAlign w:val="center"/>
          </w:tcPr>
          <w:p>
            <w:pPr>
              <w:spacing w:line="500" w:lineRule="exact"/>
              <w:ind w:left="-29" w:right="-42"/>
              <w:jc w:val="center"/>
              <w:rPr>
                <w:rFonts w:eastAsia="仿宋_GB2312"/>
                <w:szCs w:val="21"/>
              </w:rPr>
            </w:pPr>
            <w:r>
              <w:rPr>
                <w:rFonts w:eastAsia="仿宋_GB2312"/>
                <w:szCs w:val="21"/>
              </w:rPr>
              <w:t>72</w:t>
            </w:r>
          </w:p>
        </w:tc>
        <w:tc>
          <w:tcPr>
            <w:tcW w:w="1134" w:type="dxa"/>
            <w:tcBorders>
              <w:bottom w:val="single" w:color="auto" w:sz="12" w:space="0"/>
            </w:tcBorders>
            <w:vAlign w:val="center"/>
          </w:tcPr>
          <w:p>
            <w:pPr>
              <w:spacing w:line="500" w:lineRule="exact"/>
              <w:ind w:left="-29" w:right="-42"/>
              <w:jc w:val="center"/>
              <w:rPr>
                <w:rFonts w:eastAsia="仿宋_GB2312"/>
                <w:szCs w:val="21"/>
              </w:rPr>
            </w:pPr>
            <w:r>
              <w:rPr>
                <w:rFonts w:eastAsia="仿宋_GB2312"/>
                <w:szCs w:val="21"/>
              </w:rPr>
              <w:t>4</w:t>
            </w:r>
          </w:p>
        </w:tc>
      </w:tr>
    </w:tbl>
    <w:p>
      <w:pPr>
        <w:spacing w:beforeLines="100" w:line="360" w:lineRule="auto"/>
        <w:ind w:firstLine="413" w:firstLineChars="196"/>
        <w:rPr>
          <w:rFonts w:eastAsia="仿宋_GB2312"/>
          <w:b/>
          <w:szCs w:val="21"/>
        </w:rPr>
      </w:pPr>
      <w:r>
        <w:rPr>
          <w:rFonts w:hint="eastAsia" w:eastAsia="仿宋_GB2312"/>
          <w:b/>
          <w:szCs w:val="21"/>
        </w:rPr>
        <w:t>（４）专业技术与实践类课程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33"/>
        <w:gridCol w:w="1276"/>
        <w:gridCol w:w="185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课程编号</w:t>
            </w:r>
          </w:p>
        </w:tc>
        <w:tc>
          <w:tcPr>
            <w:tcW w:w="233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课程性质</w:t>
            </w:r>
          </w:p>
        </w:tc>
        <w:tc>
          <w:tcPr>
            <w:tcW w:w="185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jc w:val="center"/>
              <w:rPr>
                <w:rFonts w:eastAsia="仿宋_GB2312"/>
              </w:rPr>
            </w:pPr>
            <w:r>
              <w:rPr>
                <w:rFonts w:eastAsia="仿宋_GB2312"/>
                <w:szCs w:val="21"/>
              </w:rPr>
              <w:t>DCS6611</w:t>
            </w:r>
          </w:p>
        </w:tc>
        <w:tc>
          <w:tcPr>
            <w:tcW w:w="2333" w:type="dxa"/>
            <w:tcBorders>
              <w:top w:val="single" w:color="auto" w:sz="12" w:space="0"/>
            </w:tcBorders>
            <w:vAlign w:val="center"/>
          </w:tcPr>
          <w:p>
            <w:pPr>
              <w:spacing w:line="300" w:lineRule="exact"/>
              <w:ind w:left="-29" w:right="-42"/>
              <w:jc w:val="left"/>
              <w:rPr>
                <w:rFonts w:eastAsia="仿宋_GB2312"/>
                <w:color w:val="000000" w:themeColor="text1"/>
                <w:szCs w:val="21"/>
              </w:rPr>
            </w:pPr>
            <w:r>
              <w:rPr>
                <w:rFonts w:hint="eastAsia" w:eastAsia="仿宋_GB2312"/>
                <w:color w:val="000000" w:themeColor="text1"/>
                <w:szCs w:val="21"/>
              </w:rPr>
              <w:t>人工智能基础</w:t>
            </w:r>
          </w:p>
          <w:p>
            <w:pPr>
              <w:spacing w:line="300" w:lineRule="exact"/>
              <w:ind w:left="-29" w:right="-42"/>
              <w:jc w:val="left"/>
              <w:rPr>
                <w:rFonts w:eastAsia="仿宋_GB2312"/>
                <w:color w:val="000000" w:themeColor="text1"/>
                <w:szCs w:val="21"/>
              </w:rPr>
            </w:pPr>
            <w:r>
              <w:rPr>
                <w:rFonts w:eastAsia="仿宋_GB2312"/>
                <w:color w:val="000000" w:themeColor="text1"/>
                <w:szCs w:val="21"/>
              </w:rPr>
              <w:t>Foundation of Artificial Intelligence</w:t>
            </w:r>
          </w:p>
        </w:tc>
        <w:tc>
          <w:tcPr>
            <w:tcW w:w="1276" w:type="dxa"/>
            <w:tcBorders>
              <w:top w:val="single" w:color="auto" w:sz="12" w:space="0"/>
            </w:tcBorders>
            <w:vAlign w:val="center"/>
          </w:tcPr>
          <w:p>
            <w:pPr>
              <w:jc w:val="center"/>
              <w:rPr>
                <w:rFonts w:eastAsia="仿宋_GB2312"/>
              </w:rPr>
            </w:pPr>
            <w:r>
              <w:rPr>
                <w:rFonts w:hint="eastAsia" w:eastAsia="仿宋_GB2312"/>
                <w:szCs w:val="21"/>
              </w:rPr>
              <w:t>选修</w:t>
            </w:r>
          </w:p>
        </w:tc>
        <w:tc>
          <w:tcPr>
            <w:tcW w:w="1853" w:type="dxa"/>
            <w:tcBorders>
              <w:top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36</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DCS6601</w:t>
            </w:r>
          </w:p>
        </w:tc>
        <w:tc>
          <w:tcPr>
            <w:tcW w:w="2333" w:type="dxa"/>
            <w:vAlign w:val="center"/>
          </w:tcPr>
          <w:p>
            <w:pPr>
              <w:spacing w:line="300" w:lineRule="exact"/>
              <w:ind w:left="-29" w:right="-42"/>
              <w:jc w:val="left"/>
              <w:rPr>
                <w:rFonts w:eastAsia="仿宋_GB2312"/>
                <w:color w:val="000000" w:themeColor="text1"/>
                <w:szCs w:val="21"/>
              </w:rPr>
            </w:pPr>
            <w:r>
              <w:rPr>
                <w:rFonts w:hint="eastAsia" w:eastAsia="仿宋_GB2312"/>
                <w:color w:val="000000" w:themeColor="text1"/>
                <w:szCs w:val="21"/>
              </w:rPr>
              <w:t>智能算法</w:t>
            </w:r>
          </w:p>
          <w:p>
            <w:pPr>
              <w:spacing w:line="300" w:lineRule="exact"/>
              <w:ind w:left="-29" w:right="-42"/>
              <w:jc w:val="left"/>
              <w:rPr>
                <w:rFonts w:eastAsia="仿宋_GB2312"/>
                <w:color w:val="000000" w:themeColor="text1"/>
                <w:szCs w:val="21"/>
              </w:rPr>
            </w:pPr>
            <w:r>
              <w:rPr>
                <w:rFonts w:eastAsia="仿宋_GB2312"/>
                <w:color w:val="000000" w:themeColor="text1"/>
                <w:szCs w:val="21"/>
              </w:rPr>
              <w:t>Intelligent Algorithm</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DCS6602</w:t>
            </w:r>
          </w:p>
        </w:tc>
        <w:tc>
          <w:tcPr>
            <w:tcW w:w="2333" w:type="dxa"/>
            <w:vAlign w:val="center"/>
          </w:tcPr>
          <w:p>
            <w:pPr>
              <w:spacing w:line="300" w:lineRule="exact"/>
              <w:ind w:left="-29" w:right="-42"/>
              <w:jc w:val="left"/>
              <w:rPr>
                <w:rFonts w:eastAsia="仿宋_GB2312"/>
                <w:szCs w:val="21"/>
              </w:rPr>
            </w:pPr>
            <w:r>
              <w:rPr>
                <w:rFonts w:hint="eastAsia" w:eastAsia="仿宋_GB2312"/>
                <w:szCs w:val="21"/>
              </w:rPr>
              <w:t>无人驾驶</w:t>
            </w:r>
          </w:p>
          <w:p>
            <w:pPr>
              <w:spacing w:line="300" w:lineRule="exact"/>
              <w:ind w:left="-29" w:right="-42"/>
              <w:jc w:val="left"/>
              <w:rPr>
                <w:rFonts w:eastAsia="仿宋_GB2312"/>
                <w:szCs w:val="21"/>
              </w:rPr>
            </w:pPr>
            <w:r>
              <w:rPr>
                <w:rFonts w:eastAsia="仿宋_GB2312"/>
                <w:szCs w:val="21"/>
              </w:rPr>
              <w:t>Autonomous Driving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DCS6603</w:t>
            </w:r>
          </w:p>
        </w:tc>
        <w:tc>
          <w:tcPr>
            <w:tcW w:w="2333" w:type="dxa"/>
            <w:vAlign w:val="center"/>
          </w:tcPr>
          <w:p>
            <w:pPr>
              <w:spacing w:line="300" w:lineRule="exact"/>
              <w:ind w:left="-29" w:right="-42"/>
              <w:jc w:val="left"/>
              <w:rPr>
                <w:rFonts w:eastAsia="仿宋_GB2312"/>
                <w:szCs w:val="21"/>
              </w:rPr>
            </w:pPr>
            <w:r>
              <w:rPr>
                <w:rFonts w:hint="eastAsia" w:eastAsia="仿宋_GB2312"/>
                <w:szCs w:val="21"/>
              </w:rPr>
              <w:t>智能科学与技术综合</w:t>
            </w:r>
          </w:p>
          <w:p>
            <w:pPr>
              <w:spacing w:line="300" w:lineRule="exact"/>
              <w:ind w:left="-29" w:right="-42"/>
              <w:jc w:val="left"/>
              <w:rPr>
                <w:rFonts w:eastAsia="仿宋_GB2312"/>
                <w:szCs w:val="21"/>
              </w:rPr>
            </w:pPr>
            <w:r>
              <w:rPr>
                <w:rFonts w:eastAsia="仿宋_GB2312"/>
                <w:szCs w:val="21"/>
              </w:rPr>
              <w:t>Intelligent Science and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DCS6604</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先进并行与分布式计算</w:t>
            </w:r>
          </w:p>
          <w:p>
            <w:pPr>
              <w:spacing w:line="300" w:lineRule="exact"/>
              <w:ind w:left="-29" w:right="-42"/>
              <w:jc w:val="left"/>
              <w:rPr>
                <w:rFonts w:eastAsia="仿宋_GB2312"/>
                <w:szCs w:val="21"/>
              </w:rPr>
            </w:pPr>
            <w:r>
              <w:rPr>
                <w:rFonts w:eastAsia="仿宋_GB2312"/>
                <w:szCs w:val="21"/>
              </w:rPr>
              <w:t>Advanced parallel and 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DCS6605</w:t>
            </w:r>
          </w:p>
        </w:tc>
        <w:tc>
          <w:tcPr>
            <w:tcW w:w="2333" w:type="dxa"/>
            <w:vAlign w:val="center"/>
          </w:tcPr>
          <w:p>
            <w:pPr>
              <w:spacing w:line="300" w:lineRule="exact"/>
              <w:ind w:left="-29" w:right="-42"/>
              <w:jc w:val="left"/>
              <w:rPr>
                <w:rFonts w:eastAsia="仿宋_GB2312"/>
                <w:szCs w:val="21"/>
              </w:rPr>
            </w:pPr>
            <w:r>
              <w:rPr>
                <w:rFonts w:hint="eastAsia" w:eastAsia="仿宋_GB2312"/>
                <w:szCs w:val="21"/>
              </w:rPr>
              <w:t>云计算</w:t>
            </w:r>
          </w:p>
          <w:p>
            <w:pPr>
              <w:spacing w:line="300" w:lineRule="exact"/>
              <w:ind w:left="-29" w:right="-42"/>
              <w:jc w:val="left"/>
              <w:rPr>
                <w:rFonts w:eastAsia="仿宋_GB2312"/>
                <w:szCs w:val="21"/>
              </w:rPr>
            </w:pPr>
            <w:r>
              <w:rPr>
                <w:rFonts w:eastAsia="仿宋_GB2312"/>
                <w:szCs w:val="21"/>
              </w:rPr>
              <w:t>Cloud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DCS6606</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先进网络与计算系统导论</w:t>
            </w:r>
          </w:p>
          <w:p>
            <w:pPr>
              <w:spacing w:line="300" w:lineRule="exact"/>
              <w:ind w:left="-29" w:right="-42"/>
              <w:jc w:val="left"/>
              <w:rPr>
                <w:rFonts w:eastAsia="仿宋_GB2312"/>
                <w:szCs w:val="21"/>
              </w:rPr>
            </w:pPr>
            <w:r>
              <w:rPr>
                <w:rFonts w:eastAsia="仿宋_GB2312"/>
                <w:szCs w:val="21"/>
              </w:rPr>
              <w:t>Introduction of Advanced Networks and Computing Systems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DCS6607</w:t>
            </w:r>
          </w:p>
        </w:tc>
        <w:tc>
          <w:tcPr>
            <w:tcW w:w="2333" w:type="dxa"/>
            <w:vAlign w:val="center"/>
          </w:tcPr>
          <w:p>
            <w:pPr>
              <w:spacing w:line="300" w:lineRule="exact"/>
              <w:ind w:left="-29" w:right="-42"/>
              <w:jc w:val="left"/>
              <w:rPr>
                <w:rFonts w:eastAsia="仿宋_GB2312"/>
                <w:szCs w:val="21"/>
              </w:rPr>
            </w:pPr>
            <w:r>
              <w:rPr>
                <w:rFonts w:hint="eastAsia" w:eastAsia="仿宋_GB2312"/>
                <w:szCs w:val="21"/>
              </w:rPr>
              <w:t>最优化方法</w:t>
            </w:r>
          </w:p>
          <w:p>
            <w:pPr>
              <w:spacing w:line="300" w:lineRule="exact"/>
              <w:ind w:left="-29" w:right="-42"/>
              <w:jc w:val="left"/>
              <w:rPr>
                <w:rFonts w:eastAsia="仿宋_GB2312"/>
                <w:szCs w:val="21"/>
              </w:rPr>
            </w:pPr>
            <w:r>
              <w:rPr>
                <w:rFonts w:eastAsia="仿宋_GB2312"/>
                <w:szCs w:val="21"/>
              </w:rPr>
              <w:t>Optimization Theory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rPr>
              <w:t>DCS6628</w:t>
            </w:r>
          </w:p>
        </w:tc>
        <w:tc>
          <w:tcPr>
            <w:tcW w:w="2333" w:type="dxa"/>
            <w:vAlign w:val="center"/>
          </w:tcPr>
          <w:p>
            <w:pPr>
              <w:spacing w:line="300" w:lineRule="exact"/>
              <w:ind w:left="-29" w:right="-42"/>
              <w:jc w:val="left"/>
              <w:rPr>
                <w:rFonts w:eastAsia="仿宋_GB2312"/>
                <w:szCs w:val="21"/>
              </w:rPr>
            </w:pPr>
            <w:r>
              <w:rPr>
                <w:rFonts w:hint="eastAsia" w:eastAsia="仿宋_GB2312"/>
                <w:szCs w:val="21"/>
              </w:rPr>
              <w:t>协同软件技术</w:t>
            </w:r>
            <w:r>
              <w:rPr>
                <w:rFonts w:eastAsia="仿宋_GB2312"/>
                <w:szCs w:val="21"/>
              </w:rPr>
              <w:t xml:space="preserve">  Collaborative Software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DCS6609</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数据仓库与数据挖掘</w:t>
            </w:r>
          </w:p>
          <w:p>
            <w:pPr>
              <w:spacing w:line="300" w:lineRule="exact"/>
              <w:ind w:left="-29" w:right="-42"/>
              <w:jc w:val="left"/>
              <w:rPr>
                <w:rFonts w:eastAsia="仿宋_GB2312"/>
                <w:szCs w:val="21"/>
              </w:rPr>
            </w:pPr>
            <w:r>
              <w:rPr>
                <w:rFonts w:eastAsia="仿宋_GB2312"/>
                <w:szCs w:val="21"/>
              </w:rPr>
              <w:t>Data Warehousing and Data Mining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DCS6610</w:t>
            </w:r>
          </w:p>
        </w:tc>
        <w:tc>
          <w:tcPr>
            <w:tcW w:w="2333" w:type="dxa"/>
            <w:vAlign w:val="center"/>
          </w:tcPr>
          <w:p>
            <w:pPr>
              <w:spacing w:line="300" w:lineRule="exact"/>
              <w:ind w:left="-29" w:right="-42"/>
              <w:jc w:val="left"/>
              <w:rPr>
                <w:rFonts w:eastAsia="仿宋_GB2312"/>
                <w:szCs w:val="21"/>
              </w:rPr>
            </w:pPr>
            <w:r>
              <w:rPr>
                <w:rFonts w:hint="eastAsia" w:eastAsia="仿宋_GB2312"/>
                <w:szCs w:val="21"/>
              </w:rPr>
              <w:t>分布式计算</w:t>
            </w:r>
          </w:p>
          <w:p>
            <w:pPr>
              <w:spacing w:line="300" w:lineRule="exact"/>
              <w:ind w:left="-29" w:right="-42"/>
              <w:jc w:val="left"/>
              <w:rPr>
                <w:rFonts w:eastAsia="仿宋_GB2312"/>
                <w:szCs w:val="21"/>
              </w:rPr>
            </w:pPr>
            <w:r>
              <w:rPr>
                <w:rFonts w:eastAsia="仿宋_GB2312"/>
                <w:szCs w:val="21"/>
              </w:rPr>
              <w:t>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rPr>
              <w:t>DCS6629</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数据库与知识库</w:t>
            </w:r>
            <w:r>
              <w:rPr>
                <w:rFonts w:eastAsia="仿宋_GB2312"/>
                <w:szCs w:val="21"/>
              </w:rPr>
              <w:t xml:space="preserve">  Database and Knowledge Base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DCS6612</w:t>
            </w:r>
          </w:p>
        </w:tc>
        <w:tc>
          <w:tcPr>
            <w:tcW w:w="2333" w:type="dxa"/>
            <w:vAlign w:val="center"/>
          </w:tcPr>
          <w:p>
            <w:pPr>
              <w:spacing w:line="300" w:lineRule="exact"/>
              <w:ind w:left="-29" w:right="-42"/>
              <w:jc w:val="left"/>
              <w:rPr>
                <w:rFonts w:eastAsia="仿宋_GB2312"/>
                <w:szCs w:val="21"/>
              </w:rPr>
            </w:pPr>
            <w:r>
              <w:rPr>
                <w:rFonts w:hint="eastAsia" w:eastAsia="仿宋_GB2312"/>
                <w:szCs w:val="21"/>
              </w:rPr>
              <w:t>信息安全技术</w:t>
            </w:r>
          </w:p>
          <w:p>
            <w:pPr>
              <w:spacing w:line="300" w:lineRule="exact"/>
              <w:ind w:left="-29" w:right="-42"/>
              <w:jc w:val="left"/>
              <w:rPr>
                <w:rFonts w:eastAsia="仿宋_GB2312"/>
                <w:szCs w:val="21"/>
              </w:rPr>
            </w:pPr>
            <w:r>
              <w:rPr>
                <w:rFonts w:eastAsia="仿宋_GB2312"/>
                <w:szCs w:val="21"/>
              </w:rPr>
              <w:t>Information Security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DCS6613</w:t>
            </w:r>
          </w:p>
        </w:tc>
        <w:tc>
          <w:tcPr>
            <w:tcW w:w="2333" w:type="dxa"/>
            <w:vAlign w:val="center"/>
          </w:tcPr>
          <w:p>
            <w:pPr>
              <w:spacing w:line="300" w:lineRule="exact"/>
              <w:ind w:left="-29" w:right="-42"/>
              <w:jc w:val="left"/>
              <w:rPr>
                <w:rFonts w:eastAsia="仿宋_GB2312"/>
                <w:szCs w:val="21"/>
              </w:rPr>
            </w:pPr>
            <w:r>
              <w:rPr>
                <w:rFonts w:hint="eastAsia" w:eastAsia="仿宋_GB2312"/>
                <w:szCs w:val="21"/>
              </w:rPr>
              <w:t>工作流技术进展</w:t>
            </w:r>
          </w:p>
          <w:p>
            <w:pPr>
              <w:spacing w:line="300" w:lineRule="exact"/>
              <w:ind w:left="-29" w:right="-42"/>
              <w:jc w:val="left"/>
              <w:rPr>
                <w:rFonts w:eastAsia="仿宋_GB2312"/>
                <w:szCs w:val="21"/>
              </w:rPr>
            </w:pPr>
            <w:r>
              <w:rPr>
                <w:rFonts w:eastAsia="仿宋_GB2312"/>
                <w:szCs w:val="21"/>
              </w:rPr>
              <w:t>Advances in Workflow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DCS6614</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现代网络协议与编程</w:t>
            </w:r>
          </w:p>
          <w:p>
            <w:pPr>
              <w:spacing w:line="300" w:lineRule="exact"/>
              <w:ind w:left="-29" w:right="-42"/>
              <w:jc w:val="left"/>
              <w:rPr>
                <w:rFonts w:eastAsia="仿宋_GB2312"/>
                <w:szCs w:val="21"/>
              </w:rPr>
            </w:pPr>
            <w:r>
              <w:rPr>
                <w:rFonts w:eastAsia="仿宋_GB2312"/>
                <w:szCs w:val="21"/>
              </w:rPr>
              <w:t>Modern Network Protocols and Programming</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DCS6615</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现代通信技术</w:t>
            </w:r>
          </w:p>
          <w:p>
            <w:pPr>
              <w:spacing w:line="300" w:lineRule="exact"/>
              <w:ind w:left="-29" w:right="-42"/>
              <w:jc w:val="left"/>
              <w:rPr>
                <w:rFonts w:eastAsia="仿宋_GB2312"/>
                <w:szCs w:val="21"/>
              </w:rPr>
            </w:pPr>
            <w:r>
              <w:rPr>
                <w:rFonts w:eastAsia="仿宋_GB2312"/>
                <w:szCs w:val="21"/>
              </w:rPr>
              <w:t>Modern Communication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DCS6616</w:t>
            </w:r>
          </w:p>
        </w:tc>
        <w:tc>
          <w:tcPr>
            <w:tcW w:w="2333" w:type="dxa"/>
            <w:vAlign w:val="center"/>
          </w:tcPr>
          <w:p>
            <w:pPr>
              <w:spacing w:line="300" w:lineRule="exact"/>
              <w:ind w:left="-29" w:right="-42"/>
              <w:jc w:val="left"/>
              <w:rPr>
                <w:rFonts w:eastAsia="仿宋_GB2312"/>
                <w:szCs w:val="21"/>
              </w:rPr>
            </w:pPr>
            <w:r>
              <w:rPr>
                <w:rFonts w:hint="eastAsia" w:eastAsia="仿宋_GB2312"/>
                <w:szCs w:val="21"/>
              </w:rPr>
              <w:t>嵌入式软件与应用</w:t>
            </w:r>
          </w:p>
          <w:p>
            <w:pPr>
              <w:spacing w:line="300" w:lineRule="exact"/>
              <w:ind w:left="-29" w:right="-42"/>
              <w:jc w:val="left"/>
              <w:rPr>
                <w:rFonts w:eastAsia="仿宋_GB2312"/>
                <w:szCs w:val="21"/>
              </w:rPr>
            </w:pPr>
            <w:r>
              <w:rPr>
                <w:rFonts w:eastAsia="仿宋_GB2312"/>
                <w:szCs w:val="21"/>
              </w:rPr>
              <w:t>Embedded Software and Applications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DCS6617</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软件质量保证</w:t>
            </w:r>
          </w:p>
          <w:p>
            <w:pPr>
              <w:spacing w:line="300" w:lineRule="exact"/>
              <w:ind w:left="-29" w:right="-42"/>
              <w:jc w:val="left"/>
              <w:rPr>
                <w:rFonts w:eastAsia="仿宋_GB2312"/>
                <w:szCs w:val="21"/>
              </w:rPr>
            </w:pPr>
            <w:r>
              <w:rPr>
                <w:rFonts w:eastAsia="仿宋_GB2312"/>
                <w:szCs w:val="21"/>
              </w:rPr>
              <w:t>Software Quality Assurance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DCS6618</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软件生产技术与过程管理</w:t>
            </w:r>
          </w:p>
          <w:p>
            <w:pPr>
              <w:spacing w:line="300" w:lineRule="exact"/>
              <w:ind w:left="-29" w:right="-42"/>
              <w:jc w:val="left"/>
              <w:rPr>
                <w:rFonts w:eastAsia="仿宋_GB2312"/>
                <w:szCs w:val="21"/>
              </w:rPr>
            </w:pPr>
            <w:r>
              <w:rPr>
                <w:rFonts w:eastAsia="仿宋_GB2312"/>
                <w:szCs w:val="21"/>
              </w:rPr>
              <w:t>Software Production Technology and Process Management</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eastAsia="仿宋_GB2312"/>
                <w:szCs w:val="21"/>
              </w:rPr>
              <w:t>DCS6630</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软件工程与</w:t>
            </w:r>
            <w:r>
              <w:rPr>
                <w:rFonts w:eastAsia="仿宋_GB2312"/>
                <w:szCs w:val="21"/>
              </w:rPr>
              <w:t>CMM  Software Engineering and CMM</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DCS6633</w:t>
            </w:r>
          </w:p>
        </w:tc>
        <w:tc>
          <w:tcPr>
            <w:tcW w:w="2333" w:type="dxa"/>
            <w:vAlign w:val="center"/>
          </w:tcPr>
          <w:p>
            <w:pPr>
              <w:spacing w:line="300" w:lineRule="exact"/>
              <w:ind w:left="-29" w:right="-42"/>
              <w:jc w:val="left"/>
              <w:rPr>
                <w:rFonts w:eastAsia="仿宋_GB2312"/>
                <w:szCs w:val="21"/>
              </w:rPr>
            </w:pPr>
            <w:r>
              <w:rPr>
                <w:rFonts w:hint="eastAsia" w:eastAsia="仿宋_GB2312"/>
                <w:szCs w:val="21"/>
              </w:rPr>
              <w:t>随机过程</w:t>
            </w:r>
          </w:p>
          <w:p>
            <w:pPr>
              <w:spacing w:line="300" w:lineRule="exact"/>
              <w:ind w:left="-29" w:right="-42"/>
              <w:jc w:val="left"/>
              <w:rPr>
                <w:rFonts w:eastAsia="仿宋_GB2312"/>
                <w:szCs w:val="21"/>
              </w:rPr>
            </w:pPr>
            <w:r>
              <w:rPr>
                <w:rFonts w:eastAsia="仿宋_GB2312"/>
                <w:szCs w:val="21"/>
              </w:rPr>
              <w:t>Stochastic Process</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ascii="宋体" w:hAnsi="宋体" w:cs="宋体"/>
                <w:szCs w:val="21"/>
              </w:rPr>
            </w:pPr>
            <w:r>
              <w:rPr>
                <w:rFonts w:hint="eastAsia" w:eastAsia="仿宋_GB2312"/>
                <w:szCs w:val="21"/>
              </w:rPr>
              <w:t>第一</w:t>
            </w:r>
            <w:r>
              <w:rPr>
                <w:rFonts w:hint="eastAsia" w:ascii="宋体" w:hAnsi="宋体" w:cs="宋体"/>
                <w:szCs w:val="21"/>
              </w:rPr>
              <w:t>、二学期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jc w:val="center"/>
        </w:trPr>
        <w:tc>
          <w:tcPr>
            <w:tcW w:w="1631" w:type="dxa"/>
            <w:vAlign w:val="center"/>
          </w:tcPr>
          <w:p>
            <w:pPr>
              <w:jc w:val="center"/>
              <w:rPr>
                <w:rFonts w:eastAsia="仿宋_GB2312"/>
                <w:szCs w:val="21"/>
              </w:rPr>
            </w:pPr>
            <w:r>
              <w:rPr>
                <w:rFonts w:hint="eastAsia" w:eastAsia="仿宋_GB2312"/>
                <w:szCs w:val="21"/>
              </w:rPr>
              <w:t>DCS6632</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数据挖掘实践</w:t>
            </w:r>
          </w:p>
          <w:p>
            <w:pPr>
              <w:spacing w:line="300" w:lineRule="exact"/>
              <w:ind w:left="-29" w:right="-42"/>
              <w:jc w:val="left"/>
              <w:rPr>
                <w:rFonts w:eastAsia="仿宋_GB2312"/>
                <w:szCs w:val="21"/>
              </w:rPr>
            </w:pPr>
            <w:r>
              <w:rPr>
                <w:rFonts w:hint="eastAsia" w:eastAsia="仿宋_GB2312"/>
                <w:szCs w:val="21"/>
              </w:rPr>
              <w:t>Data Mining Practice</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jc w:val="center"/>
              <w:rPr>
                <w:rFonts w:eastAsia="仿宋_GB2312"/>
                <w:szCs w:val="21"/>
              </w:rPr>
            </w:pPr>
            <w:r>
              <w:rPr>
                <w:rFonts w:hint="eastAsia" w:eastAsia="仿宋_GB2312"/>
                <w:szCs w:val="21"/>
              </w:rPr>
              <w:t>DCS6631</w:t>
            </w:r>
          </w:p>
        </w:tc>
        <w:tc>
          <w:tcPr>
            <w:tcW w:w="2333"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多媒体基础</w:t>
            </w:r>
          </w:p>
          <w:p>
            <w:pPr>
              <w:spacing w:line="300" w:lineRule="exact"/>
              <w:ind w:left="-29" w:right="-42"/>
              <w:jc w:val="left"/>
              <w:rPr>
                <w:rFonts w:eastAsia="仿宋_GB2312"/>
                <w:szCs w:val="21"/>
              </w:rPr>
            </w:pPr>
            <w:r>
              <w:rPr>
                <w:rFonts w:hint="eastAsia" w:eastAsia="仿宋_GB2312"/>
                <w:szCs w:val="21"/>
              </w:rPr>
              <w:t>Foundation of Multimedia</w:t>
            </w:r>
          </w:p>
        </w:tc>
        <w:tc>
          <w:tcPr>
            <w:tcW w:w="1276" w:type="dxa"/>
            <w:tcBorders>
              <w:bottom w:val="single" w:color="auto" w:sz="12" w:space="0"/>
            </w:tcBorders>
            <w:vAlign w:val="center"/>
          </w:tcPr>
          <w:p>
            <w:pPr>
              <w:jc w:val="center"/>
              <w:rPr>
                <w:rFonts w:eastAsia="仿宋_GB2312"/>
                <w:szCs w:val="21"/>
              </w:rPr>
            </w:pPr>
            <w:r>
              <w:rPr>
                <w:rFonts w:hint="eastAsia" w:eastAsia="仿宋_GB2312"/>
                <w:szCs w:val="21"/>
              </w:rPr>
              <w:t>选修</w:t>
            </w:r>
          </w:p>
        </w:tc>
        <w:tc>
          <w:tcPr>
            <w:tcW w:w="1853" w:type="dxa"/>
            <w:tcBorders>
              <w:bottom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（５）拓展课程</w:t>
      </w:r>
    </w:p>
    <w:tbl>
      <w:tblPr>
        <w:tblStyle w:val="6"/>
        <w:tblW w:w="929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405"/>
        <w:gridCol w:w="1132"/>
        <w:gridCol w:w="1134"/>
        <w:gridCol w:w="880"/>
        <w:gridCol w:w="11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课程编号</w:t>
            </w:r>
          </w:p>
        </w:tc>
        <w:tc>
          <w:tcPr>
            <w:tcW w:w="3405"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课程名称（中英文）</w:t>
            </w:r>
          </w:p>
        </w:tc>
        <w:tc>
          <w:tcPr>
            <w:tcW w:w="1132"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课程性质</w:t>
            </w:r>
          </w:p>
        </w:tc>
        <w:tc>
          <w:tcPr>
            <w:tcW w:w="1134"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学期</w:t>
            </w:r>
          </w:p>
        </w:tc>
        <w:tc>
          <w:tcPr>
            <w:tcW w:w="880"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学时</w:t>
            </w:r>
          </w:p>
        </w:tc>
        <w:tc>
          <w:tcPr>
            <w:tcW w:w="1132"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DCS6622</w:t>
            </w:r>
          </w:p>
        </w:tc>
        <w:tc>
          <w:tcPr>
            <w:tcW w:w="3405"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计算机技术专业科技论文写作</w:t>
            </w:r>
          </w:p>
          <w:p>
            <w:pPr>
              <w:spacing w:line="300" w:lineRule="exact"/>
              <w:ind w:left="-29" w:right="-42"/>
              <w:jc w:val="left"/>
              <w:rPr>
                <w:rFonts w:eastAsia="仿宋_GB2312"/>
                <w:szCs w:val="21"/>
              </w:rPr>
            </w:pPr>
            <w:r>
              <w:rPr>
                <w:rFonts w:eastAsia="仿宋_GB2312"/>
                <w:szCs w:val="21"/>
              </w:rPr>
              <w:t>Computer Technology Scientific Writing</w:t>
            </w:r>
          </w:p>
        </w:tc>
        <w:tc>
          <w:tcPr>
            <w:tcW w:w="1132" w:type="dxa"/>
            <w:tcBorders>
              <w:top w:val="single" w:color="auto" w:sz="12" w:space="0"/>
            </w:tcBorders>
            <w:vAlign w:val="center"/>
          </w:tcPr>
          <w:p>
            <w:pPr>
              <w:jc w:val="center"/>
              <w:rPr>
                <w:rFonts w:eastAsia="仿宋_GB2312"/>
                <w:szCs w:val="21"/>
              </w:rPr>
            </w:pPr>
            <w:r>
              <w:rPr>
                <w:rFonts w:hint="eastAsia" w:eastAsia="仿宋_GB2312"/>
                <w:szCs w:val="21"/>
              </w:rPr>
              <w:t>选修</w:t>
            </w:r>
          </w:p>
        </w:tc>
        <w:tc>
          <w:tcPr>
            <w:tcW w:w="1134" w:type="dxa"/>
            <w:tcBorders>
              <w:top w:val="single" w:color="auto" w:sz="12" w:space="0"/>
            </w:tcBorders>
            <w:vAlign w:val="center"/>
          </w:tcPr>
          <w:p>
            <w:pPr>
              <w:jc w:val="center"/>
              <w:rPr>
                <w:rFonts w:eastAsia="仿宋_GB2312"/>
                <w:szCs w:val="21"/>
              </w:rPr>
            </w:pPr>
            <w:r>
              <w:rPr>
                <w:rFonts w:hint="eastAsia" w:eastAsia="仿宋_GB2312"/>
                <w:szCs w:val="21"/>
              </w:rPr>
              <w:t>第二学期</w:t>
            </w:r>
          </w:p>
        </w:tc>
        <w:tc>
          <w:tcPr>
            <w:tcW w:w="880"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2"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vAlign w:val="center"/>
          </w:tcPr>
          <w:p>
            <w:pPr>
              <w:spacing w:line="320" w:lineRule="exact"/>
              <w:ind w:left="-29" w:right="-42"/>
              <w:jc w:val="center"/>
              <w:rPr>
                <w:rFonts w:eastAsia="仿宋_GB2312"/>
                <w:szCs w:val="21"/>
              </w:rPr>
            </w:pPr>
            <w:r>
              <w:rPr>
                <w:rFonts w:eastAsia="仿宋_GB2312"/>
                <w:szCs w:val="21"/>
              </w:rPr>
              <w:t>DCS6623</w:t>
            </w:r>
          </w:p>
        </w:tc>
        <w:tc>
          <w:tcPr>
            <w:tcW w:w="3405" w:type="dxa"/>
            <w:vAlign w:val="center"/>
          </w:tcPr>
          <w:p>
            <w:pPr>
              <w:spacing w:line="300" w:lineRule="exact"/>
              <w:ind w:left="-29" w:right="-42"/>
              <w:jc w:val="left"/>
              <w:rPr>
                <w:rFonts w:eastAsia="仿宋_GB2312"/>
                <w:szCs w:val="21"/>
              </w:rPr>
            </w:pPr>
            <w:r>
              <w:rPr>
                <w:rFonts w:hint="eastAsia" w:eastAsia="仿宋_GB2312"/>
                <w:szCs w:val="21"/>
              </w:rPr>
              <w:t>计算机技术专业科研进展报告</w:t>
            </w:r>
          </w:p>
          <w:p>
            <w:pPr>
              <w:spacing w:line="300" w:lineRule="exact"/>
              <w:ind w:left="-29" w:right="-42"/>
              <w:jc w:val="left"/>
              <w:rPr>
                <w:rFonts w:eastAsia="仿宋_GB2312"/>
                <w:szCs w:val="21"/>
              </w:rPr>
            </w:pPr>
            <w:r>
              <w:rPr>
                <w:rFonts w:eastAsia="仿宋_GB2312"/>
                <w:szCs w:val="21"/>
              </w:rPr>
              <w:t>Computer Technology Scientific Research Reports</w:t>
            </w:r>
          </w:p>
        </w:tc>
        <w:tc>
          <w:tcPr>
            <w:tcW w:w="1132" w:type="dxa"/>
            <w:vAlign w:val="center"/>
          </w:tcPr>
          <w:p>
            <w:pPr>
              <w:jc w:val="center"/>
              <w:rPr>
                <w:rFonts w:eastAsia="仿宋_GB2312"/>
              </w:rPr>
            </w:pPr>
            <w:r>
              <w:rPr>
                <w:rFonts w:hint="eastAsia" w:eastAsia="仿宋_GB2312"/>
                <w:szCs w:val="21"/>
              </w:rPr>
              <w:t>选修</w:t>
            </w:r>
          </w:p>
        </w:tc>
        <w:tc>
          <w:tcPr>
            <w:tcW w:w="1134" w:type="dxa"/>
            <w:vAlign w:val="center"/>
          </w:tcPr>
          <w:p>
            <w:pPr>
              <w:jc w:val="center"/>
              <w:rPr>
                <w:rFonts w:eastAsia="仿宋_GB2312"/>
              </w:rPr>
            </w:pPr>
            <w:r>
              <w:rPr>
                <w:rFonts w:hint="eastAsia" w:eastAsia="仿宋_GB2312"/>
                <w:szCs w:val="21"/>
              </w:rPr>
              <w:t>第二学期</w:t>
            </w:r>
          </w:p>
        </w:tc>
        <w:tc>
          <w:tcPr>
            <w:tcW w:w="880" w:type="dxa"/>
            <w:vAlign w:val="center"/>
          </w:tcPr>
          <w:p>
            <w:pPr>
              <w:spacing w:line="320" w:lineRule="exact"/>
              <w:ind w:left="-29" w:right="-42"/>
              <w:jc w:val="center"/>
              <w:rPr>
                <w:rFonts w:eastAsia="仿宋_GB2312"/>
                <w:szCs w:val="21"/>
              </w:rPr>
            </w:pPr>
            <w:r>
              <w:rPr>
                <w:rFonts w:eastAsia="仿宋_GB2312"/>
                <w:szCs w:val="21"/>
              </w:rPr>
              <w:t>36</w:t>
            </w:r>
          </w:p>
        </w:tc>
        <w:tc>
          <w:tcPr>
            <w:tcW w:w="1132"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DCS6624</w:t>
            </w:r>
          </w:p>
        </w:tc>
        <w:tc>
          <w:tcPr>
            <w:tcW w:w="3405"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计算机技术专业学术规范与伦理</w:t>
            </w:r>
          </w:p>
          <w:p>
            <w:pPr>
              <w:spacing w:line="300" w:lineRule="exact"/>
              <w:ind w:left="-29" w:right="-42"/>
              <w:jc w:val="left"/>
              <w:rPr>
                <w:rFonts w:eastAsia="仿宋_GB2312"/>
                <w:szCs w:val="21"/>
              </w:rPr>
            </w:pPr>
            <w:r>
              <w:rPr>
                <w:rFonts w:eastAsia="仿宋_GB2312"/>
                <w:szCs w:val="21"/>
              </w:rPr>
              <w:t>Computer Technology Academic Norms and Ethics</w:t>
            </w:r>
          </w:p>
        </w:tc>
        <w:tc>
          <w:tcPr>
            <w:tcW w:w="1132" w:type="dxa"/>
            <w:tcBorders>
              <w:bottom w:val="single" w:color="auto" w:sz="12" w:space="0"/>
            </w:tcBorders>
            <w:vAlign w:val="center"/>
          </w:tcPr>
          <w:p>
            <w:pPr>
              <w:jc w:val="center"/>
              <w:rPr>
                <w:rFonts w:eastAsia="仿宋_GB2312"/>
              </w:rPr>
            </w:pPr>
            <w:r>
              <w:rPr>
                <w:rFonts w:hint="eastAsia" w:eastAsia="仿宋_GB2312"/>
                <w:szCs w:val="21"/>
              </w:rPr>
              <w:t>选修</w:t>
            </w:r>
          </w:p>
        </w:tc>
        <w:tc>
          <w:tcPr>
            <w:tcW w:w="1134" w:type="dxa"/>
            <w:tcBorders>
              <w:bottom w:val="single" w:color="auto" w:sz="12" w:space="0"/>
            </w:tcBorders>
            <w:vAlign w:val="center"/>
          </w:tcPr>
          <w:p>
            <w:pPr>
              <w:jc w:val="center"/>
              <w:rPr>
                <w:rFonts w:eastAsia="仿宋_GB2312"/>
              </w:rPr>
            </w:pPr>
            <w:r>
              <w:rPr>
                <w:rFonts w:hint="eastAsia" w:eastAsia="仿宋_GB2312"/>
                <w:szCs w:val="21"/>
              </w:rPr>
              <w:t>第二学期</w:t>
            </w:r>
          </w:p>
        </w:tc>
        <w:tc>
          <w:tcPr>
            <w:tcW w:w="880"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2"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bl>
    <w:p>
      <w:pPr>
        <w:adjustRightInd w:val="0"/>
        <w:snapToGrid w:val="0"/>
        <w:spacing w:beforeLines="50"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、学分要求</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要求学生至少修满</w:t>
      </w:r>
      <w:r>
        <w:rPr>
          <w:rFonts w:ascii="仿宋_GB2312" w:hAnsi="宋体" w:eastAsia="仿宋_GB2312"/>
          <w:sz w:val="28"/>
          <w:szCs w:val="28"/>
        </w:rPr>
        <w:t>30</w:t>
      </w:r>
      <w:r>
        <w:rPr>
          <w:rFonts w:hint="eastAsia" w:ascii="仿宋_GB2312" w:hAnsi="宋体" w:eastAsia="仿宋_GB2312"/>
          <w:sz w:val="28"/>
          <w:szCs w:val="28"/>
        </w:rPr>
        <w:t>学分，其中：</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18</w:t>
      </w:r>
      <w:r>
        <w:rPr>
          <w:rFonts w:hint="eastAsia" w:ascii="仿宋_GB2312" w:hAnsi="宋体" w:eastAsia="仿宋_GB2312"/>
          <w:sz w:val="28"/>
          <w:szCs w:val="28"/>
        </w:rPr>
        <w:t>学分。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）学院开设的选修课，其它专业的学生都可以选修。</w:t>
      </w:r>
    </w:p>
    <w:p>
      <w:pPr>
        <w:adjustRightInd w:val="0"/>
        <w:snapToGrid w:val="0"/>
        <w:spacing w:line="500" w:lineRule="exact"/>
        <w:ind w:firstLine="560" w:firstLineChars="200"/>
        <w:jc w:val="left"/>
        <w:rPr>
          <w:rFonts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r>
        <w:rPr>
          <w:rFonts w:hint="eastAsia" w:eastAsia="仿宋_GB2312"/>
          <w:sz w:val="28"/>
          <w:szCs w:val="28"/>
        </w:rPr>
        <w:t>非本专业本科毕业生的硕士生补修课程由导师或导师组负责开设。必须通过考试，不计学分。要求在第一学年内完成。</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五、培养环节及要求</w:t>
      </w:r>
    </w:p>
    <w:p>
      <w:pPr>
        <w:snapToGrid w:val="0"/>
        <w:spacing w:line="500" w:lineRule="exact"/>
        <w:ind w:firstLine="560" w:firstLineChars="200"/>
        <w:rPr>
          <w:rFonts w:eastAsia="仿宋_GB2312"/>
          <w:sz w:val="28"/>
          <w:szCs w:val="28"/>
        </w:rPr>
      </w:pPr>
      <w:r>
        <w:rPr>
          <w:rFonts w:hint="eastAsia"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pPr>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、读书报告：学生在读期间应认真阅读国内外文献</w:t>
      </w:r>
      <w:r>
        <w:rPr>
          <w:rFonts w:eastAsia="仿宋_GB2312"/>
          <w:sz w:val="28"/>
          <w:szCs w:val="28"/>
        </w:rPr>
        <w:t>20</w:t>
      </w:r>
      <w:r>
        <w:rPr>
          <w:rFonts w:hint="eastAsia" w:eastAsia="仿宋_GB2312"/>
          <w:sz w:val="28"/>
          <w:szCs w:val="28"/>
        </w:rPr>
        <w:t>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、学术活动：硕士研究生在学期间要求至少参加</w:t>
      </w:r>
      <w:r>
        <w:rPr>
          <w:rFonts w:eastAsia="仿宋_GB2312"/>
          <w:sz w:val="28"/>
          <w:szCs w:val="28"/>
        </w:rPr>
        <w:t>10</w:t>
      </w:r>
      <w:r>
        <w:rPr>
          <w:rFonts w:hint="eastAsia" w:eastAsia="仿宋_GB2312"/>
          <w:sz w:val="28"/>
          <w:szCs w:val="28"/>
        </w:rPr>
        <w:t>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、非全日制专业学位研究生采取多种方式和灵活时间安排进行专业实践，考核方式由导师考核。参加学院的科研平台和导师的科研项目是研究生实习实践的重要方式，鼓励研究生积极参与。</w:t>
      </w:r>
    </w:p>
    <w:p>
      <w:pPr>
        <w:widowControl/>
        <w:spacing w:beforeLines="100" w:afterLines="50" w:line="500" w:lineRule="exact"/>
        <w:ind w:firstLine="141" w:firstLineChars="50"/>
        <w:jc w:val="left"/>
        <w:rPr>
          <w:rFonts w:eastAsia="仿宋_GB2312"/>
          <w:b/>
          <w:kern w:val="0"/>
          <w:sz w:val="28"/>
          <w:szCs w:val="20"/>
        </w:rPr>
      </w:pPr>
      <w:r>
        <w:rPr>
          <w:rFonts w:hint="eastAsia" w:eastAsia="仿宋_GB2312"/>
          <w:b/>
          <w:kern w:val="0"/>
          <w:sz w:val="28"/>
          <w:szCs w:val="20"/>
        </w:rPr>
        <w:t>六、学位论文</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、学生在导师指导下确定论文选题，并独立完成学位论文。完成学位论文的时间为</w:t>
      </w:r>
      <w:r>
        <w:rPr>
          <w:rFonts w:eastAsia="仿宋_GB2312"/>
          <w:sz w:val="28"/>
          <w:szCs w:val="28"/>
        </w:rPr>
        <w:t>3</w:t>
      </w:r>
      <w:r>
        <w:rPr>
          <w:rFonts w:hint="eastAsia" w:eastAsia="仿宋_GB2312"/>
          <w:sz w:val="28"/>
          <w:szCs w:val="28"/>
        </w:rPr>
        <w:t>个学期。</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位论文的选题应来自计算机技术工程领域，并具有强烈的实际应用背景，论文的内容可以是：工程设计与研究、技术研究或技术改造方案研究、工程软件或应用软件开发、工程管理等。论文应具备一定的技术要求和工作量，体现作者综合运用科学理论、方法和技术手段解决工程技术问题的能力，并有一定的理论基础，具有先进性、实用性。</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七、论文评审与答辩</w:t>
      </w:r>
    </w:p>
    <w:p>
      <w:pPr>
        <w:spacing w:line="500" w:lineRule="exact"/>
        <w:ind w:firstLine="560" w:firstLineChars="200"/>
        <w:rPr>
          <w:rFonts w:eastAsia="仿宋_GB2312"/>
          <w:sz w:val="28"/>
          <w:szCs w:val="28"/>
        </w:rPr>
      </w:pPr>
      <w:r>
        <w:rPr>
          <w:rFonts w:hint="eastAsia" w:eastAsia="仿宋_GB2312"/>
          <w:sz w:val="28"/>
          <w:szCs w:val="28"/>
        </w:rPr>
        <w:t>学生必须完成培养方案中规定的所有环节，成绩合格，修满规定学分，方可申请参加学位论文答辩。论文除经导师写出详细的评阅意见外，还应有</w:t>
      </w:r>
      <w:r>
        <w:rPr>
          <w:rFonts w:eastAsia="仿宋_GB2312"/>
          <w:sz w:val="28"/>
          <w:szCs w:val="28"/>
        </w:rPr>
        <w:t>2</w:t>
      </w:r>
      <w:r>
        <w:rPr>
          <w:rFonts w:hint="eastAsia" w:eastAsia="仿宋_GB2312"/>
          <w:sz w:val="28"/>
          <w:szCs w:val="28"/>
        </w:rPr>
        <w:t>位本领域或相近领域的专家评阅。答辩委员会应由</w:t>
      </w:r>
      <w:r>
        <w:rPr>
          <w:rFonts w:eastAsia="仿宋_GB2312"/>
          <w:sz w:val="28"/>
          <w:szCs w:val="28"/>
        </w:rPr>
        <w:t>3</w:t>
      </w:r>
      <w:r>
        <w:rPr>
          <w:rFonts w:hint="eastAsia" w:eastAsia="仿宋_GB2312"/>
          <w:sz w:val="28"/>
          <w:szCs w:val="28"/>
        </w:rPr>
        <w:t>～</w:t>
      </w:r>
      <w:r>
        <w:rPr>
          <w:rFonts w:eastAsia="仿宋_GB2312"/>
          <w:sz w:val="28"/>
          <w:szCs w:val="28"/>
        </w:rPr>
        <w:t>5</w:t>
      </w:r>
      <w:r>
        <w:rPr>
          <w:rFonts w:hint="eastAsia"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八、毕业与学位授予</w:t>
      </w:r>
    </w:p>
    <w:p>
      <w:pPr>
        <w:spacing w:line="500" w:lineRule="exact"/>
        <w:ind w:firstLine="560" w:firstLineChars="200"/>
        <w:rPr>
          <w:rFonts w:eastAsia="仿宋_GB2312"/>
          <w:sz w:val="28"/>
          <w:szCs w:val="28"/>
        </w:rPr>
      </w:pPr>
      <w:r>
        <w:rPr>
          <w:rFonts w:hint="eastAsia" w:eastAsia="仿宋_GB2312"/>
          <w:sz w:val="28"/>
          <w:szCs w:val="28"/>
        </w:rPr>
        <w:t>按《中山大学博士硕士学位授予工作细则》要求执行，有关学位论文的审核、论文的水平评价、对发表学术论文的要求等，在符合学校有关规定基本要求的前提下，统一参照数据科学与计算机学院研究生发表学术论文具体规定。完成硕士论文并通过论文答辩者，授予计算机技术工程硕士专业学位。</w:t>
      </w:r>
    </w:p>
    <w:p>
      <w:pPr>
        <w:spacing w:line="500" w:lineRule="exact"/>
        <w:ind w:firstLine="560" w:firstLineChars="200"/>
        <w:rPr>
          <w:rFonts w:eastAsia="仿宋_GB2312"/>
          <w:bCs/>
          <w:color w:val="000000"/>
          <w:sz w:val="28"/>
          <w:szCs w:val="28"/>
        </w:rPr>
      </w:pPr>
      <w:r>
        <w:rPr>
          <w:rFonts w:hint="eastAsia" w:eastAsia="仿宋_GB2312"/>
          <w:sz w:val="28"/>
          <w:szCs w:val="28"/>
        </w:rPr>
        <w:t>其它未尽事宜及详细规则按《中山大学学位授予工作细则》执行。</w:t>
      </w:r>
    </w:p>
    <w:p>
      <w:pPr>
        <w:snapToGrid w:val="0"/>
        <w:spacing w:line="360" w:lineRule="auto"/>
        <w:ind w:firstLine="4270" w:firstLineChars="1525"/>
        <w:rPr>
          <w:rFonts w:eastAsia="仿宋_GB2312"/>
          <w:bCs/>
          <w:color w:val="000000"/>
          <w:sz w:val="28"/>
          <w:szCs w:val="28"/>
        </w:rPr>
      </w:pPr>
    </w:p>
    <w:p>
      <w:pPr>
        <w:snapToGrid w:val="0"/>
        <w:spacing w:line="360" w:lineRule="auto"/>
        <w:ind w:firstLine="4270" w:firstLineChars="1525"/>
        <w:rPr>
          <w:rFonts w:eastAsia="仿宋_GB2312"/>
          <w:bCs/>
          <w:color w:val="000000"/>
          <w:sz w:val="28"/>
          <w:szCs w:val="28"/>
        </w:rPr>
      </w:pPr>
    </w:p>
    <w:p>
      <w:pPr>
        <w:snapToGrid w:val="0"/>
        <w:spacing w:line="360" w:lineRule="auto"/>
        <w:ind w:firstLine="4270" w:firstLineChars="1525"/>
        <w:rPr>
          <w:rFonts w:eastAsia="仿宋_GB2312"/>
          <w:bCs/>
          <w:color w:val="000000"/>
          <w:sz w:val="28"/>
          <w:szCs w:val="28"/>
        </w:rPr>
      </w:pPr>
    </w:p>
    <w:p>
      <w:pPr>
        <w:snapToGrid w:val="0"/>
        <w:spacing w:line="500" w:lineRule="exact"/>
        <w:ind w:left="840" w:leftChars="400" w:firstLine="4270" w:firstLineChars="1525"/>
        <w:rPr>
          <w:rFonts w:ascii="仿宋_GB2312" w:eastAsia="仿宋_GB2312"/>
          <w:color w:val="000000"/>
          <w:sz w:val="28"/>
          <w:szCs w:val="28"/>
        </w:rPr>
      </w:pPr>
      <w:r>
        <w:rPr>
          <w:rFonts w:hint="eastAsia" w:ascii="仿宋_GB2312" w:eastAsia="仿宋_GB2312"/>
          <w:bCs/>
          <w:color w:val="000000"/>
          <w:sz w:val="28"/>
          <w:szCs w:val="28"/>
        </w:rPr>
        <w:t>学科负责人</w:t>
      </w:r>
      <w:r>
        <w:rPr>
          <w:rFonts w:ascii="仿宋_GB2312" w:eastAsia="仿宋_GB2312"/>
          <w:bCs/>
          <w:color w:val="000000"/>
          <w:sz w:val="28"/>
          <w:szCs w:val="28"/>
        </w:rPr>
        <w:t xml:space="preserve">: </w:t>
      </w:r>
    </w:p>
    <w:p>
      <w:pPr>
        <w:snapToGrid w:val="0"/>
        <w:spacing w:line="500" w:lineRule="exact"/>
        <w:ind w:left="840" w:leftChars="400" w:firstLine="4270" w:firstLineChars="1525"/>
        <w:rPr>
          <w:rFonts w:ascii="仿宋_GB2312" w:eastAsia="PMingLiU"/>
          <w:color w:val="000000"/>
          <w:sz w:val="28"/>
          <w:szCs w:val="28"/>
          <w:lang w:eastAsia="zh-TW"/>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ascii="仿宋_GB2312" w:eastAsia="仿宋_GB2312"/>
          <w:color w:val="000000"/>
          <w:sz w:val="28"/>
          <w:szCs w:val="28"/>
        </w:rPr>
        <w:t>2017</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6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30 </w:t>
      </w:r>
      <w:r>
        <w:rPr>
          <w:rFonts w:hint="eastAsia" w:ascii="仿宋_GB2312" w:eastAsia="仿宋_GB2312"/>
          <w:color w:val="000000"/>
          <w:sz w:val="28"/>
          <w:szCs w:val="28"/>
          <w:lang w:eastAsia="zh-TW"/>
        </w:rPr>
        <w:t>日</w:t>
      </w:r>
    </w:p>
    <w:p>
      <w:pPr>
        <w:snapToGrid w:val="0"/>
        <w:spacing w:line="360" w:lineRule="auto"/>
        <w:ind w:firstLine="3202" w:firstLineChars="1525"/>
        <w:rPr>
          <w:rFonts w:eastAsia="仿宋_GB2312"/>
        </w:rPr>
      </w:pPr>
    </w:p>
    <w:sectPr>
      <w:pgSz w:w="11906" w:h="16838"/>
      <w:pgMar w:top="1440" w:right="1361" w:bottom="144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A7A"/>
    <w:rsid w:val="00001D4C"/>
    <w:rsid w:val="00005B66"/>
    <w:rsid w:val="00010225"/>
    <w:rsid w:val="0002387A"/>
    <w:rsid w:val="00030F05"/>
    <w:rsid w:val="00041D2D"/>
    <w:rsid w:val="000455DA"/>
    <w:rsid w:val="00047393"/>
    <w:rsid w:val="00053C36"/>
    <w:rsid w:val="00056929"/>
    <w:rsid w:val="00060C0A"/>
    <w:rsid w:val="000650F0"/>
    <w:rsid w:val="000665F6"/>
    <w:rsid w:val="00067527"/>
    <w:rsid w:val="00071FC0"/>
    <w:rsid w:val="0007558A"/>
    <w:rsid w:val="00076F9D"/>
    <w:rsid w:val="000770E3"/>
    <w:rsid w:val="000837DA"/>
    <w:rsid w:val="00084676"/>
    <w:rsid w:val="00085AF8"/>
    <w:rsid w:val="000877D4"/>
    <w:rsid w:val="000921E1"/>
    <w:rsid w:val="00095EC7"/>
    <w:rsid w:val="000A2111"/>
    <w:rsid w:val="000A3381"/>
    <w:rsid w:val="000A4785"/>
    <w:rsid w:val="000B188D"/>
    <w:rsid w:val="000B679C"/>
    <w:rsid w:val="000B7CDE"/>
    <w:rsid w:val="000C0BB9"/>
    <w:rsid w:val="000D125D"/>
    <w:rsid w:val="000D31FF"/>
    <w:rsid w:val="000D5AFC"/>
    <w:rsid w:val="000D6A49"/>
    <w:rsid w:val="000F1C53"/>
    <w:rsid w:val="000F5B32"/>
    <w:rsid w:val="00101BAB"/>
    <w:rsid w:val="001067A8"/>
    <w:rsid w:val="00113FA4"/>
    <w:rsid w:val="001220B3"/>
    <w:rsid w:val="00122D53"/>
    <w:rsid w:val="0013403D"/>
    <w:rsid w:val="00136F6E"/>
    <w:rsid w:val="0013779E"/>
    <w:rsid w:val="00137C1B"/>
    <w:rsid w:val="0014741B"/>
    <w:rsid w:val="001536A9"/>
    <w:rsid w:val="001565B8"/>
    <w:rsid w:val="001650FA"/>
    <w:rsid w:val="00175BE6"/>
    <w:rsid w:val="001818E6"/>
    <w:rsid w:val="001868A1"/>
    <w:rsid w:val="00196A6B"/>
    <w:rsid w:val="001A3675"/>
    <w:rsid w:val="001B7070"/>
    <w:rsid w:val="001C434D"/>
    <w:rsid w:val="001D4044"/>
    <w:rsid w:val="001D6B11"/>
    <w:rsid w:val="001E0052"/>
    <w:rsid w:val="001F1C98"/>
    <w:rsid w:val="00210455"/>
    <w:rsid w:val="00210FB3"/>
    <w:rsid w:val="00216A4B"/>
    <w:rsid w:val="00217BA6"/>
    <w:rsid w:val="00224A56"/>
    <w:rsid w:val="00226DA9"/>
    <w:rsid w:val="0024247A"/>
    <w:rsid w:val="002442A1"/>
    <w:rsid w:val="00244A6F"/>
    <w:rsid w:val="0024511A"/>
    <w:rsid w:val="0025093C"/>
    <w:rsid w:val="002535EB"/>
    <w:rsid w:val="0026470C"/>
    <w:rsid w:val="00267C52"/>
    <w:rsid w:val="0027051C"/>
    <w:rsid w:val="0027370F"/>
    <w:rsid w:val="002740A2"/>
    <w:rsid w:val="002765A2"/>
    <w:rsid w:val="00285A30"/>
    <w:rsid w:val="00285F1C"/>
    <w:rsid w:val="00293776"/>
    <w:rsid w:val="002A1EEC"/>
    <w:rsid w:val="002B418A"/>
    <w:rsid w:val="002C38C5"/>
    <w:rsid w:val="002C77DA"/>
    <w:rsid w:val="002D33A9"/>
    <w:rsid w:val="002D5099"/>
    <w:rsid w:val="002E7C67"/>
    <w:rsid w:val="002F4669"/>
    <w:rsid w:val="00303495"/>
    <w:rsid w:val="0031338C"/>
    <w:rsid w:val="0031383D"/>
    <w:rsid w:val="00316B22"/>
    <w:rsid w:val="00321A5E"/>
    <w:rsid w:val="00330FE7"/>
    <w:rsid w:val="00331F15"/>
    <w:rsid w:val="0033236D"/>
    <w:rsid w:val="00335980"/>
    <w:rsid w:val="003376C9"/>
    <w:rsid w:val="00341988"/>
    <w:rsid w:val="00353C36"/>
    <w:rsid w:val="003564D9"/>
    <w:rsid w:val="0036157E"/>
    <w:rsid w:val="003723A5"/>
    <w:rsid w:val="00372C06"/>
    <w:rsid w:val="00372D59"/>
    <w:rsid w:val="00376DF7"/>
    <w:rsid w:val="00377435"/>
    <w:rsid w:val="00377BFA"/>
    <w:rsid w:val="00385A3D"/>
    <w:rsid w:val="00386BB5"/>
    <w:rsid w:val="00390989"/>
    <w:rsid w:val="003912E2"/>
    <w:rsid w:val="00396137"/>
    <w:rsid w:val="00397C41"/>
    <w:rsid w:val="003A0119"/>
    <w:rsid w:val="003A0B6D"/>
    <w:rsid w:val="003A4638"/>
    <w:rsid w:val="003A50CA"/>
    <w:rsid w:val="003A6E0C"/>
    <w:rsid w:val="003B1705"/>
    <w:rsid w:val="003B266A"/>
    <w:rsid w:val="003C1432"/>
    <w:rsid w:val="003C2294"/>
    <w:rsid w:val="003C60AA"/>
    <w:rsid w:val="003D1A82"/>
    <w:rsid w:val="003E055B"/>
    <w:rsid w:val="003E6FC9"/>
    <w:rsid w:val="003F0272"/>
    <w:rsid w:val="003F0491"/>
    <w:rsid w:val="003F41C5"/>
    <w:rsid w:val="003F50EE"/>
    <w:rsid w:val="00400583"/>
    <w:rsid w:val="00405C3D"/>
    <w:rsid w:val="00407567"/>
    <w:rsid w:val="00411B7C"/>
    <w:rsid w:val="004162CD"/>
    <w:rsid w:val="00417C31"/>
    <w:rsid w:val="0042088A"/>
    <w:rsid w:val="0042414A"/>
    <w:rsid w:val="0043027F"/>
    <w:rsid w:val="0043162C"/>
    <w:rsid w:val="0043403D"/>
    <w:rsid w:val="004444DA"/>
    <w:rsid w:val="00444770"/>
    <w:rsid w:val="00451611"/>
    <w:rsid w:val="00460B63"/>
    <w:rsid w:val="00462984"/>
    <w:rsid w:val="00464EBD"/>
    <w:rsid w:val="004720B6"/>
    <w:rsid w:val="00473246"/>
    <w:rsid w:val="004742EA"/>
    <w:rsid w:val="00477E0C"/>
    <w:rsid w:val="004844F4"/>
    <w:rsid w:val="00485AC6"/>
    <w:rsid w:val="00497CBD"/>
    <w:rsid w:val="004A055C"/>
    <w:rsid w:val="004A52CB"/>
    <w:rsid w:val="004B1802"/>
    <w:rsid w:val="004B7703"/>
    <w:rsid w:val="004D3736"/>
    <w:rsid w:val="004D6063"/>
    <w:rsid w:val="004F3414"/>
    <w:rsid w:val="005044BA"/>
    <w:rsid w:val="005077F0"/>
    <w:rsid w:val="005101BC"/>
    <w:rsid w:val="005126D0"/>
    <w:rsid w:val="005130C9"/>
    <w:rsid w:val="00514849"/>
    <w:rsid w:val="005267F4"/>
    <w:rsid w:val="00534513"/>
    <w:rsid w:val="00540F3C"/>
    <w:rsid w:val="0054417B"/>
    <w:rsid w:val="00545F47"/>
    <w:rsid w:val="00545F62"/>
    <w:rsid w:val="00554F47"/>
    <w:rsid w:val="00555829"/>
    <w:rsid w:val="00567638"/>
    <w:rsid w:val="005707FF"/>
    <w:rsid w:val="00572F43"/>
    <w:rsid w:val="005B109B"/>
    <w:rsid w:val="005B4928"/>
    <w:rsid w:val="005B4F0A"/>
    <w:rsid w:val="005B5CE6"/>
    <w:rsid w:val="005B6FAF"/>
    <w:rsid w:val="005C6F1E"/>
    <w:rsid w:val="005C719F"/>
    <w:rsid w:val="005C7B03"/>
    <w:rsid w:val="005D7C00"/>
    <w:rsid w:val="005D7FB2"/>
    <w:rsid w:val="005E25F8"/>
    <w:rsid w:val="005E3655"/>
    <w:rsid w:val="005E549A"/>
    <w:rsid w:val="005F40AC"/>
    <w:rsid w:val="005F5345"/>
    <w:rsid w:val="005F5497"/>
    <w:rsid w:val="00624BC5"/>
    <w:rsid w:val="00631692"/>
    <w:rsid w:val="00644A41"/>
    <w:rsid w:val="00655627"/>
    <w:rsid w:val="00655983"/>
    <w:rsid w:val="0066437B"/>
    <w:rsid w:val="00664D08"/>
    <w:rsid w:val="006669C0"/>
    <w:rsid w:val="00666B3E"/>
    <w:rsid w:val="00684775"/>
    <w:rsid w:val="00684C9D"/>
    <w:rsid w:val="00690781"/>
    <w:rsid w:val="00690AC5"/>
    <w:rsid w:val="00691FF2"/>
    <w:rsid w:val="00695F2A"/>
    <w:rsid w:val="006979E5"/>
    <w:rsid w:val="006A2220"/>
    <w:rsid w:val="006A2BD9"/>
    <w:rsid w:val="006B1EE5"/>
    <w:rsid w:val="006D250C"/>
    <w:rsid w:val="006E15D3"/>
    <w:rsid w:val="006E19C9"/>
    <w:rsid w:val="006E3A35"/>
    <w:rsid w:val="006E4F11"/>
    <w:rsid w:val="006F52C2"/>
    <w:rsid w:val="0070106B"/>
    <w:rsid w:val="00703945"/>
    <w:rsid w:val="007040E7"/>
    <w:rsid w:val="00704133"/>
    <w:rsid w:val="00705985"/>
    <w:rsid w:val="00710F45"/>
    <w:rsid w:val="00711202"/>
    <w:rsid w:val="00717B34"/>
    <w:rsid w:val="007323B4"/>
    <w:rsid w:val="00733F17"/>
    <w:rsid w:val="007353BD"/>
    <w:rsid w:val="00737695"/>
    <w:rsid w:val="007432B3"/>
    <w:rsid w:val="007434B2"/>
    <w:rsid w:val="00751251"/>
    <w:rsid w:val="00763BB4"/>
    <w:rsid w:val="00767ABC"/>
    <w:rsid w:val="00771C2A"/>
    <w:rsid w:val="007742F4"/>
    <w:rsid w:val="00775703"/>
    <w:rsid w:val="00785CF7"/>
    <w:rsid w:val="00791563"/>
    <w:rsid w:val="007928EB"/>
    <w:rsid w:val="00792B53"/>
    <w:rsid w:val="00797ACE"/>
    <w:rsid w:val="007A36C0"/>
    <w:rsid w:val="007A786D"/>
    <w:rsid w:val="007B37C5"/>
    <w:rsid w:val="007C4D77"/>
    <w:rsid w:val="007E06C8"/>
    <w:rsid w:val="007E0D5F"/>
    <w:rsid w:val="007F2F24"/>
    <w:rsid w:val="007F3E54"/>
    <w:rsid w:val="008004D2"/>
    <w:rsid w:val="00800970"/>
    <w:rsid w:val="00803623"/>
    <w:rsid w:val="00807FF6"/>
    <w:rsid w:val="00816724"/>
    <w:rsid w:val="0082418F"/>
    <w:rsid w:val="00825563"/>
    <w:rsid w:val="00826B32"/>
    <w:rsid w:val="008328AA"/>
    <w:rsid w:val="008349B5"/>
    <w:rsid w:val="008527C1"/>
    <w:rsid w:val="00853182"/>
    <w:rsid w:val="00853C14"/>
    <w:rsid w:val="00853C84"/>
    <w:rsid w:val="008545D8"/>
    <w:rsid w:val="00854C0C"/>
    <w:rsid w:val="00856569"/>
    <w:rsid w:val="00862CB0"/>
    <w:rsid w:val="00881FC4"/>
    <w:rsid w:val="008845F6"/>
    <w:rsid w:val="00884C1E"/>
    <w:rsid w:val="00890CC1"/>
    <w:rsid w:val="008A185A"/>
    <w:rsid w:val="008C1EAC"/>
    <w:rsid w:val="008D0A97"/>
    <w:rsid w:val="008D19C0"/>
    <w:rsid w:val="008E55F0"/>
    <w:rsid w:val="008E75B2"/>
    <w:rsid w:val="008F1725"/>
    <w:rsid w:val="008F76A3"/>
    <w:rsid w:val="00901C11"/>
    <w:rsid w:val="009041F8"/>
    <w:rsid w:val="009106E1"/>
    <w:rsid w:val="009156CE"/>
    <w:rsid w:val="009158CC"/>
    <w:rsid w:val="00927E6B"/>
    <w:rsid w:val="00932859"/>
    <w:rsid w:val="00934184"/>
    <w:rsid w:val="00934833"/>
    <w:rsid w:val="009368AA"/>
    <w:rsid w:val="00941D2E"/>
    <w:rsid w:val="00942D21"/>
    <w:rsid w:val="00946F88"/>
    <w:rsid w:val="009508B6"/>
    <w:rsid w:val="00956392"/>
    <w:rsid w:val="009565D7"/>
    <w:rsid w:val="00961F1C"/>
    <w:rsid w:val="00962727"/>
    <w:rsid w:val="00964CCA"/>
    <w:rsid w:val="00965162"/>
    <w:rsid w:val="009723CF"/>
    <w:rsid w:val="00973D3C"/>
    <w:rsid w:val="00976166"/>
    <w:rsid w:val="00980F2A"/>
    <w:rsid w:val="00985FEB"/>
    <w:rsid w:val="00987130"/>
    <w:rsid w:val="009925AF"/>
    <w:rsid w:val="009A3FDD"/>
    <w:rsid w:val="009B101E"/>
    <w:rsid w:val="009C2104"/>
    <w:rsid w:val="009D0D5A"/>
    <w:rsid w:val="009D1B41"/>
    <w:rsid w:val="009D60B5"/>
    <w:rsid w:val="009E0EDE"/>
    <w:rsid w:val="009E1861"/>
    <w:rsid w:val="009E20F0"/>
    <w:rsid w:val="009E7E88"/>
    <w:rsid w:val="009F3B5A"/>
    <w:rsid w:val="00A00591"/>
    <w:rsid w:val="00A030B7"/>
    <w:rsid w:val="00A0414A"/>
    <w:rsid w:val="00A20959"/>
    <w:rsid w:val="00A317FB"/>
    <w:rsid w:val="00A36790"/>
    <w:rsid w:val="00A44BBE"/>
    <w:rsid w:val="00A45F3B"/>
    <w:rsid w:val="00A4627D"/>
    <w:rsid w:val="00A502DF"/>
    <w:rsid w:val="00A63B82"/>
    <w:rsid w:val="00A70713"/>
    <w:rsid w:val="00A70D2A"/>
    <w:rsid w:val="00A83604"/>
    <w:rsid w:val="00A84049"/>
    <w:rsid w:val="00A85DFE"/>
    <w:rsid w:val="00A91277"/>
    <w:rsid w:val="00A95B08"/>
    <w:rsid w:val="00AA2E7F"/>
    <w:rsid w:val="00AB1852"/>
    <w:rsid w:val="00AB5D20"/>
    <w:rsid w:val="00AB64A6"/>
    <w:rsid w:val="00AB6578"/>
    <w:rsid w:val="00AC481F"/>
    <w:rsid w:val="00AC6F57"/>
    <w:rsid w:val="00AD2470"/>
    <w:rsid w:val="00AD5241"/>
    <w:rsid w:val="00AE2286"/>
    <w:rsid w:val="00AE2D7E"/>
    <w:rsid w:val="00AF05F9"/>
    <w:rsid w:val="00AF1248"/>
    <w:rsid w:val="00B02190"/>
    <w:rsid w:val="00B03D2B"/>
    <w:rsid w:val="00B051DB"/>
    <w:rsid w:val="00B1388D"/>
    <w:rsid w:val="00B22D1F"/>
    <w:rsid w:val="00B22FCB"/>
    <w:rsid w:val="00B23DE1"/>
    <w:rsid w:val="00B269EE"/>
    <w:rsid w:val="00B450EF"/>
    <w:rsid w:val="00B46658"/>
    <w:rsid w:val="00B47DEC"/>
    <w:rsid w:val="00B52C13"/>
    <w:rsid w:val="00B57C8D"/>
    <w:rsid w:val="00B64599"/>
    <w:rsid w:val="00B7144A"/>
    <w:rsid w:val="00B83D9C"/>
    <w:rsid w:val="00B94AD5"/>
    <w:rsid w:val="00B96393"/>
    <w:rsid w:val="00B964ED"/>
    <w:rsid w:val="00BA0665"/>
    <w:rsid w:val="00BA103B"/>
    <w:rsid w:val="00BB1188"/>
    <w:rsid w:val="00BB400D"/>
    <w:rsid w:val="00BB6367"/>
    <w:rsid w:val="00BB7C28"/>
    <w:rsid w:val="00BC5FB7"/>
    <w:rsid w:val="00BC7807"/>
    <w:rsid w:val="00BD5365"/>
    <w:rsid w:val="00BD6196"/>
    <w:rsid w:val="00BD74E3"/>
    <w:rsid w:val="00BD7605"/>
    <w:rsid w:val="00BE0668"/>
    <w:rsid w:val="00BE1422"/>
    <w:rsid w:val="00BE3FCF"/>
    <w:rsid w:val="00C01324"/>
    <w:rsid w:val="00C01337"/>
    <w:rsid w:val="00C01C95"/>
    <w:rsid w:val="00C0557B"/>
    <w:rsid w:val="00C103E5"/>
    <w:rsid w:val="00C13F0C"/>
    <w:rsid w:val="00C147EE"/>
    <w:rsid w:val="00C20E74"/>
    <w:rsid w:val="00C26D3B"/>
    <w:rsid w:val="00C3603D"/>
    <w:rsid w:val="00C36FA9"/>
    <w:rsid w:val="00C44A11"/>
    <w:rsid w:val="00C51EFA"/>
    <w:rsid w:val="00C524CB"/>
    <w:rsid w:val="00C551FC"/>
    <w:rsid w:val="00C55762"/>
    <w:rsid w:val="00C65357"/>
    <w:rsid w:val="00C72473"/>
    <w:rsid w:val="00C729D9"/>
    <w:rsid w:val="00C759BE"/>
    <w:rsid w:val="00C8004A"/>
    <w:rsid w:val="00C8349D"/>
    <w:rsid w:val="00C91B8C"/>
    <w:rsid w:val="00C92762"/>
    <w:rsid w:val="00C933D0"/>
    <w:rsid w:val="00C943E8"/>
    <w:rsid w:val="00C954F8"/>
    <w:rsid w:val="00C96C45"/>
    <w:rsid w:val="00CA178B"/>
    <w:rsid w:val="00CA2B10"/>
    <w:rsid w:val="00CA7265"/>
    <w:rsid w:val="00CB1205"/>
    <w:rsid w:val="00CD408E"/>
    <w:rsid w:val="00CD6801"/>
    <w:rsid w:val="00CD7E68"/>
    <w:rsid w:val="00D057B6"/>
    <w:rsid w:val="00D06342"/>
    <w:rsid w:val="00D11029"/>
    <w:rsid w:val="00D131D5"/>
    <w:rsid w:val="00D1445E"/>
    <w:rsid w:val="00D16678"/>
    <w:rsid w:val="00D21DF6"/>
    <w:rsid w:val="00D23D31"/>
    <w:rsid w:val="00D24F60"/>
    <w:rsid w:val="00D2654A"/>
    <w:rsid w:val="00D475F5"/>
    <w:rsid w:val="00D50485"/>
    <w:rsid w:val="00D56158"/>
    <w:rsid w:val="00D64253"/>
    <w:rsid w:val="00D64F47"/>
    <w:rsid w:val="00D67B7B"/>
    <w:rsid w:val="00D67CCE"/>
    <w:rsid w:val="00D70A99"/>
    <w:rsid w:val="00D70EBA"/>
    <w:rsid w:val="00D70F75"/>
    <w:rsid w:val="00D8151D"/>
    <w:rsid w:val="00D84818"/>
    <w:rsid w:val="00DB1E95"/>
    <w:rsid w:val="00DB211C"/>
    <w:rsid w:val="00DB6953"/>
    <w:rsid w:val="00DD4D00"/>
    <w:rsid w:val="00DE2452"/>
    <w:rsid w:val="00DF1C8F"/>
    <w:rsid w:val="00DF6B84"/>
    <w:rsid w:val="00DF6FCB"/>
    <w:rsid w:val="00E13C78"/>
    <w:rsid w:val="00E14530"/>
    <w:rsid w:val="00E1505C"/>
    <w:rsid w:val="00E1744D"/>
    <w:rsid w:val="00E21073"/>
    <w:rsid w:val="00E520EF"/>
    <w:rsid w:val="00E55278"/>
    <w:rsid w:val="00E60C26"/>
    <w:rsid w:val="00E62193"/>
    <w:rsid w:val="00E66A66"/>
    <w:rsid w:val="00E749D5"/>
    <w:rsid w:val="00E80C7E"/>
    <w:rsid w:val="00E82A5B"/>
    <w:rsid w:val="00E82F89"/>
    <w:rsid w:val="00E85E6C"/>
    <w:rsid w:val="00E873B6"/>
    <w:rsid w:val="00EB5DA5"/>
    <w:rsid w:val="00EB6E6B"/>
    <w:rsid w:val="00EC1B13"/>
    <w:rsid w:val="00EC3564"/>
    <w:rsid w:val="00EC4A7A"/>
    <w:rsid w:val="00EC7D8E"/>
    <w:rsid w:val="00ED7BCA"/>
    <w:rsid w:val="00EE2815"/>
    <w:rsid w:val="00EE43FA"/>
    <w:rsid w:val="00EF3802"/>
    <w:rsid w:val="00EF42B0"/>
    <w:rsid w:val="00F01F87"/>
    <w:rsid w:val="00F02AEB"/>
    <w:rsid w:val="00F05F56"/>
    <w:rsid w:val="00F078CB"/>
    <w:rsid w:val="00F10BF2"/>
    <w:rsid w:val="00F1182A"/>
    <w:rsid w:val="00F11C41"/>
    <w:rsid w:val="00F255EA"/>
    <w:rsid w:val="00F2647B"/>
    <w:rsid w:val="00F30467"/>
    <w:rsid w:val="00F35358"/>
    <w:rsid w:val="00F443E8"/>
    <w:rsid w:val="00F50F75"/>
    <w:rsid w:val="00F66389"/>
    <w:rsid w:val="00F73495"/>
    <w:rsid w:val="00F75B25"/>
    <w:rsid w:val="00F80045"/>
    <w:rsid w:val="00F80860"/>
    <w:rsid w:val="00F80ABF"/>
    <w:rsid w:val="00FA6F53"/>
    <w:rsid w:val="00FB14CD"/>
    <w:rsid w:val="00FB2A70"/>
    <w:rsid w:val="00FB2F32"/>
    <w:rsid w:val="00FC1DDE"/>
    <w:rsid w:val="00FC3871"/>
    <w:rsid w:val="00FC5417"/>
    <w:rsid w:val="00FD7BE8"/>
    <w:rsid w:val="00FE1C23"/>
    <w:rsid w:val="00FE2FB5"/>
    <w:rsid w:val="00FF49EA"/>
    <w:rsid w:val="00FF5457"/>
    <w:rsid w:val="6D7833A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99" w:semiHidden="0" w:name="Balloon Text"/>
    <w:lsdException w:unhideWhenUsed="0" w:uiPriority="99" w:semiHidden="0" w:name="Table Grid"/>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9"/>
    <w:uiPriority w:val="99"/>
    <w:rPr>
      <w:rFonts w:ascii="宋体" w:hAnsi="Courier New"/>
      <w:kern w:val="0"/>
      <w:sz w:val="20"/>
      <w:szCs w:val="21"/>
    </w:rPr>
  </w:style>
  <w:style w:type="paragraph" w:styleId="3">
    <w:name w:val="Balloon Text"/>
    <w:basedOn w:val="1"/>
    <w:link w:val="13"/>
    <w:qFormat/>
    <w:uiPriority w:val="99"/>
    <w:rPr>
      <w:sz w:val="18"/>
      <w:szCs w:val="20"/>
    </w:rPr>
  </w:style>
  <w:style w:type="paragraph" w:styleId="4">
    <w:name w:val="footer"/>
    <w:basedOn w:val="1"/>
    <w:link w:val="11"/>
    <w:uiPriority w:val="99"/>
    <w:pPr>
      <w:tabs>
        <w:tab w:val="center" w:pos="4153"/>
        <w:tab w:val="right" w:pos="8306"/>
      </w:tabs>
      <w:snapToGrid w:val="0"/>
      <w:jc w:val="left"/>
    </w:pPr>
    <w:rPr>
      <w:kern w:val="0"/>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kern w:val="0"/>
      <w:sz w:val="18"/>
      <w:szCs w:val="18"/>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纯文本 Char"/>
    <w:link w:val="2"/>
    <w:semiHidden/>
    <w:uiPriority w:val="99"/>
    <w:rPr>
      <w:rFonts w:ascii="宋体" w:hAnsi="Courier New" w:cs="Courier New"/>
      <w:szCs w:val="21"/>
    </w:rPr>
  </w:style>
  <w:style w:type="character" w:customStyle="1" w:styleId="10">
    <w:name w:val="页眉 Char"/>
    <w:link w:val="5"/>
    <w:semiHidden/>
    <w:uiPriority w:val="99"/>
    <w:rPr>
      <w:sz w:val="18"/>
      <w:szCs w:val="18"/>
    </w:rPr>
  </w:style>
  <w:style w:type="character" w:customStyle="1" w:styleId="11">
    <w:name w:val="页脚 Char"/>
    <w:link w:val="4"/>
    <w:semiHidden/>
    <w:uiPriority w:val="99"/>
    <w:rPr>
      <w:sz w:val="18"/>
      <w:szCs w:val="18"/>
    </w:rPr>
  </w:style>
  <w:style w:type="paragraph" w:customStyle="1" w:styleId="12">
    <w:name w:val="Char Char Char Char"/>
    <w:basedOn w:val="1"/>
    <w:qFormat/>
    <w:uiPriority w:val="99"/>
    <w:pPr>
      <w:tabs>
        <w:tab w:val="left" w:pos="425"/>
      </w:tabs>
      <w:ind w:left="425" w:hanging="425"/>
    </w:pPr>
    <w:rPr>
      <w:szCs w:val="20"/>
    </w:rPr>
  </w:style>
  <w:style w:type="character" w:customStyle="1" w:styleId="13">
    <w:name w:val="批注框文本 Char"/>
    <w:link w:val="3"/>
    <w:qFormat/>
    <w:locked/>
    <w:uiPriority w:val="99"/>
    <w:rPr>
      <w:kern w:val="2"/>
      <w:sz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8</Pages>
  <Words>855</Words>
  <Characters>4874</Characters>
  <Lines>40</Lines>
  <Paragraphs>11</Paragraphs>
  <TotalTime>48</TotalTime>
  <ScaleCrop>false</ScaleCrop>
  <LinksUpToDate>false</LinksUpToDate>
  <CharactersWithSpaces>5718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2017-08-15T19:20:00Z</dcterms:created>
  <dc:creator>MC SYSTEM</dc:creator>
  <cp:lastModifiedBy>liangsui</cp:lastModifiedBy>
  <dcterms:modified xsi:type="dcterms:W3CDTF">2019-06-05T06:16:24Z</dcterms:modified>
  <dc:title>中山大学研究生培养方案模板</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