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云端新老设备兼容方案</w:t>
      </w:r>
    </w:p>
    <w:p>
      <w:pPr>
        <w:pStyle w:val="4"/>
        <w:bidi w:val="0"/>
        <w:ind w:firstLine="420" w:firstLineChars="0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由于老设备是全部走的涂鸦的接口，并且这些设备还在活跃，所以在我们自研的新IOT平台里需要支持兼容老设备。下面分场景介绍兼容的方案：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老APP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1.新设备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兼容问题：新设备无法在老APP上正常使用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解决方案：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（1）：提示用户新设备必须在新APP上才能使用。</w:t>
      </w:r>
    </w:p>
    <w:p>
      <w:pPr>
        <w:numPr>
          <w:numId w:val="0"/>
        </w:numPr>
        <w:ind w:left="840" w:leftChars="0"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方式包括：</w:t>
      </w:r>
    </w:p>
    <w:p>
      <w:pPr>
        <w:numPr>
          <w:numId w:val="0"/>
        </w:numPr>
        <w:ind w:left="1260" w:leftChars="0" w:firstLine="840" w:firstLineChars="3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①：通过邮件提示用户新功能必须要更新APP</w:t>
      </w:r>
    </w:p>
    <w:p>
      <w:pPr>
        <w:numPr>
          <w:numId w:val="0"/>
        </w:numPr>
        <w:ind w:left="1260" w:leftChars="0" w:firstLine="840" w:firstLineChars="3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②：在新设备的说明书上提示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（2）：强制用户升级APP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2.老设备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兼容问题：无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解决方案：无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新APP</w:t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1.新设备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兼容问题：无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解决方案：无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2.老设备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兼容问题：老设备由于是走涂鸦，所以新平台怎么对接涂鸦</w:t>
      </w:r>
    </w:p>
    <w:p>
      <w:pPr>
        <w:numPr>
          <w:numId w:val="0"/>
        </w:numPr>
        <w:ind w:left="2099" w:leftChars="466" w:hanging="1120" w:hangingChars="4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解决方案：单独分一个微服务（tuya）来全权负责和涂鸦的对接，其他服务涉及到老设备相关的操作，通过GRPC的方式调用tuya微服务。这样与IOT做到不耦合，便于开发、扩展与维护。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BF7217"/>
    <w:multiLevelType w:val="singleLevel"/>
    <w:tmpl w:val="C5BF721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31087D"/>
    <w:rsid w:val="3E96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2021-04-27T09:47:00Z</dcterms:created>
  <dc:creator>Administrator</dc:creator>
  <cp:lastModifiedBy>打我呀丶笨蛋</cp:lastModifiedBy>
  <dcterms:modified xsi:type="dcterms:W3CDTF">2021-04-28T04:29:12Z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9E93EB2AE3984806A1EC08515C00A77C</vt:lpwstr>
  </property>
</Properties>
</file>