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  <w:gridCol w:w="1587"/>
      </w:tblGrid>
      <w:tr>
        <w:tc>
          <w:tcPr>
            <w:tcW w:type="dxa" w:w="918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spacing w:after="60" w:line="660" w:lineRule="exact"/>
            </w:pPr>
            <w:r>
              <w:rPr>
                <w:rFonts w:ascii="Noto Sans CJK SC" w:hAnsi="Noto Sans CJK SC" w:eastAsia="Noto Sans CJK SC"/>
                <w:b/>
                <w:color w:val="103555"/>
                <w:sz w:val="56"/>
              </w:rPr>
              <w:t>李振文</w:t>
            </w:r>
          </w:p>
          <w:p>
            <w:pPr>
              <w:keepNext w:val="0"/>
              <w:widowControl/>
              <w:spacing w:before="0" w:after="80" w:line="283" w:lineRule="exact"/>
              <w:snapToGrid w:val="0"/>
            </w:pPr>
            <w:r>
              <w:rPr>
                <w:rFonts w:ascii="Noto Sans CJK SC" w:hAnsi="Noto Sans CJK SC" w:eastAsia="Noto Sans CJK SC"/>
                <w:b/>
                <w:color w:val="165A91"/>
                <w:sz w:val="24"/>
              </w:rPr>
              <w:t>品牌总监 / 运营总监</w:t>
            </w:r>
          </w:p>
          <w:p>
            <w:pPr>
              <w:keepNext w:val="0"/>
              <w:widowControl/>
              <w:spacing w:before="0" w:after="80" w:line="293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color w:val="60798C"/>
                <w:sz w:val="18"/>
              </w:rPr>
              <w:t>深圳 · 17507341720 · lijiunao@gmail.com</w:t>
            </w:r>
          </w:p>
          <w:p>
            <w:pPr>
              <w:keepNext w:val="0"/>
              <w:widowControl/>
              <w:spacing w:before="0" w:after="0" w:line="293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color w:val="18344D"/>
                <w:sz w:val="18"/>
              </w:rPr>
              <w:t>联合创始人背景，兼具医美品牌从 0 到 1、全国连锁运营与快消渠道管理经验；以产品策略、全渠道体系及团队协同驱动营收增长。</w:t>
            </w:r>
          </w:p>
        </w:tc>
        <w:tc>
          <w:tcPr>
            <w:tcW w:type="dxa" w:w="158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李振文_职业照_一寸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widowControl/>
        <w:spacing w:before="0" w:after="0" w:line="40" w:lineRule="exact"/>
        <w:snapToGrid w:val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89"/>
            <w:shd w:fill="EDF4FA"/>
          </w:tcPr>
          <w:p>
            <w:pPr>
              <w:spacing w:after="0" w:line="440" w:lineRule="exact"/>
            </w:pPr>
            <w:r>
              <w:rPr>
                <w:rFonts w:ascii="Noto Sans CJK SC" w:hAnsi="Noto Sans CJK SC" w:eastAsia="Noto Sans CJK SC"/>
                <w:b/>
                <w:color w:val="165A91"/>
                <w:sz w:val="34"/>
              </w:rPr>
              <w:t>0 → 1,000万</w:t>
            </w:r>
          </w:p>
          <w:p>
            <w:pPr>
              <w:keepNext w:val="0"/>
              <w:widowControl/>
              <w:spacing w:before="0" w:after="40" w:line="293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color w:val="60798C"/>
                <w:sz w:val="16"/>
              </w:rPr>
              <w:t>嘉兰年收入从 0 到 1</w:t>
            </w:r>
          </w:p>
        </w:tc>
        <w:tc>
          <w:tcPr>
            <w:tcW w:type="dxa" w:w="3589"/>
            <w:shd w:fill="EDF4FA"/>
          </w:tcPr>
          <w:p>
            <w:pPr>
              <w:spacing w:after="0" w:line="440" w:lineRule="exact"/>
            </w:pPr>
            <w:r>
              <w:rPr>
                <w:rFonts w:ascii="Noto Sans CJK SC" w:hAnsi="Noto Sans CJK SC" w:eastAsia="Noto Sans CJK SC"/>
                <w:b/>
                <w:color w:val="165A91"/>
                <w:sz w:val="34"/>
              </w:rPr>
              <w:t>600+</w:t>
            </w:r>
          </w:p>
          <w:p>
            <w:pPr>
              <w:keepNext w:val="0"/>
              <w:widowControl/>
              <w:spacing w:before="0" w:after="40" w:line="293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color w:val="60798C"/>
                <w:sz w:val="16"/>
              </w:rPr>
              <w:t>全国门店 SaaS 升级覆盖</w:t>
            </w:r>
          </w:p>
        </w:tc>
        <w:tc>
          <w:tcPr>
            <w:tcW w:type="dxa" w:w="3589"/>
            <w:shd w:fill="EDF4FA"/>
          </w:tcPr>
          <w:p>
            <w:pPr>
              <w:spacing w:after="0" w:line="440" w:lineRule="exact"/>
            </w:pPr>
            <w:r>
              <w:rPr>
                <w:rFonts w:ascii="Noto Sans CJK SC" w:hAnsi="Noto Sans CJK SC" w:eastAsia="Noto Sans CJK SC"/>
                <w:b/>
                <w:color w:val="165A91"/>
                <w:sz w:val="34"/>
              </w:rPr>
              <w:t>+10%</w:t>
            </w:r>
          </w:p>
          <w:p>
            <w:pPr>
              <w:keepNext w:val="0"/>
              <w:widowControl/>
              <w:spacing w:before="0" w:after="40" w:line="293" w:lineRule="exact"/>
              <w:snapToGrid w:val="0"/>
            </w:pPr>
            <w:r>
              <w:rPr>
                <w:rFonts w:ascii="Noto Sans CJK SC" w:hAnsi="Noto Sans CJK SC" w:eastAsia="Noto Sans CJK SC"/>
                <w:b w:val="0"/>
                <w:color w:val="60798C"/>
                <w:sz w:val="16"/>
              </w:rPr>
              <w:t>苏宁区域彩电首年营收增长</w:t>
            </w:r>
          </w:p>
        </w:tc>
      </w:tr>
    </w:tbl>
    <w:p>
      <w:pPr>
        <w:keepNext/>
        <w:widowControl/>
        <w:spacing w:before="80" w:after="0" w:line="271" w:lineRule="exact"/>
        <w:snapToGrid w:val="0"/>
      </w:pPr>
      <w:r>
        <w:rPr>
          <w:rFonts w:ascii="Noto Sans CJK SC" w:hAnsi="Noto Sans CJK SC" w:eastAsia="Noto Sans CJK SC"/>
          <w:b/>
          <w:color w:val="165A91"/>
          <w:sz w:val="23"/>
        </w:rPr>
        <w:t>工作经历</w:t>
      </w:r>
    </w:p>
    <w:p>
      <w:pPr>
        <w:keepNext/>
        <w:widowControl/>
        <w:spacing w:before="80" w:after="20" w:line="293" w:lineRule="exact"/>
        <w:tabs>
          <w:tab w:pos="10772" w:val="right"/>
        </w:tabs>
        <w:snapToGrid w:val="0"/>
      </w:pPr>
      <w:r>
        <w:rPr>
          <w:rFonts w:ascii="Noto Sans CJK SC" w:hAnsi="Noto Sans CJK SC" w:eastAsia="Noto Sans CJK SC"/>
          <w:b/>
          <w:color w:val="143752"/>
          <w:sz w:val="21"/>
        </w:rPr>
        <w:t>法国嘉兰医疗科技有限公司</w:t>
      </w:r>
      <w:r>
        <w:rPr>
          <w:rFonts w:ascii="Noto Sans CJK SC" w:hAnsi="Noto Sans CJK SC" w:eastAsia="Noto Sans CJK SC"/>
          <w:b w:val="0"/>
          <w:color w:val="60798C"/>
          <w:sz w:val="15"/>
        </w:rPr>
        <w:tab/>
        <w:t xml:space="preserve">香港/衡阳 ｜ </w:t>
      </w:r>
      <w:r>
        <w:rPr>
          <w:rFonts w:ascii="Noto Sans CJK SC" w:hAnsi="Noto Sans CJK SC" w:eastAsia="Noto Sans CJK SC"/>
          <w:b w:val="0"/>
          <w:color w:val="60798C"/>
          <w:sz w:val="17"/>
        </w:rPr>
        <w:t>2023.09 - 2026.06</w:t>
      </w:r>
    </w:p>
    <w:p>
      <w:pPr>
        <w:keepNext/>
        <w:widowControl/>
        <w:spacing w:before="0" w:after="40" w:line="293" w:lineRule="exact"/>
        <w:snapToGrid w:val="0"/>
      </w:pPr>
      <w:r>
        <w:rPr>
          <w:rFonts w:ascii="Noto Sans CJK SC" w:hAnsi="Noto Sans CJK SC" w:eastAsia="Noto Sans CJK SC"/>
          <w:b/>
          <w:color w:val="165A91"/>
          <w:sz w:val="19"/>
        </w:rPr>
        <w:t>联合创始人</w:t>
      </w:r>
      <w:r>
        <w:rPr>
          <w:rFonts w:ascii="Noto Sans CJK SC" w:hAnsi="Noto Sans CJK SC" w:eastAsia="Noto Sans CJK SC"/>
          <w:b w:val="0"/>
          <w:color w:val="60798C"/>
          <w:sz w:val="16"/>
        </w:rPr>
        <w:t xml:space="preserve"> / Galanmakiir · 产研销统筹与全渠道增长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千万级营收突破：</w:t>
      </w:r>
      <w:r>
        <w:rPr>
          <w:rFonts w:ascii="Noto Sans CJK SC" w:hAnsi="Noto Sans CJK SC" w:eastAsia="Noto Sans CJK SC"/>
          <w:b w:val="0"/>
          <w:color w:val="18344D"/>
          <w:sz w:val="20"/>
        </w:rPr>
        <w:t>主导品牌从 0 到 1 的业务搭建，统筹产品、生产、销售及营销，将年收入从 0 做到 1,000 万元，形成产品供给与渠道销售协同的经营体系。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产研销一体化：</w:t>
      </w:r>
      <w:r>
        <w:rPr>
          <w:rFonts w:ascii="Noto Sans CJK SC" w:hAnsi="Noto Sans CJK SC" w:eastAsia="Noto Sans CJK SC"/>
          <w:b w:val="0"/>
          <w:color w:val="18344D"/>
          <w:sz w:val="20"/>
        </w:rPr>
        <w:t>负责生产前期市场调研、产品筛选与定品，并统筹生产组织；把市场需求、产品组合及销售反馈连接起来，推进从产品规划到生产、上市销售的完整业务流程。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产品与品牌策略：</w:t>
      </w:r>
      <w:r>
        <w:rPr>
          <w:rFonts w:ascii="Noto Sans CJK SC" w:hAnsi="Noto Sans CJK SC" w:eastAsia="Noto Sans CJK SC"/>
          <w:b w:val="0"/>
          <w:color w:val="18344D"/>
          <w:sz w:val="20"/>
        </w:rPr>
        <w:t>围绕获客与成交设计低价入口产品及组合销售方案，将自有品牌与菲洛嘉等高端品牌产品搭配销售，以价格入口吸引客户，再通过产品组合承接需求。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全渠道体系搭建：</w:t>
      </w:r>
      <w:r>
        <w:rPr>
          <w:rFonts w:ascii="Noto Sans CJK SC" w:hAnsi="Noto Sans CJK SC" w:eastAsia="Noto Sans CJK SC"/>
          <w:b w:val="0"/>
          <w:color w:val="18344D"/>
          <w:sz w:val="20"/>
        </w:rPr>
        <w:t>从零搭建医美内容矩阵、淘宝店与私域／微商销售体系，统筹不同渠道的获客与承接，形成公域内容触达、客户咨询、私域运营及成交转化的完整链路。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矩阵账号变现：</w:t>
      </w:r>
      <w:r>
        <w:rPr>
          <w:rFonts w:ascii="Noto Sans CJK SC" w:hAnsi="Noto Sans CJK SC" w:eastAsia="Noto Sans CJK SC"/>
          <w:b w:val="0"/>
          <w:color w:val="18344D"/>
          <w:sz w:val="20"/>
        </w:rPr>
        <w:t>结合医美客群需求开展内容运营与销售转化，将账号运营与实际成交连接；沉淀多个百粉级账号实现数万元收入的案例，验证低粉丝体量下的商业转化能力。</w:t>
      </w:r>
    </w:p>
    <w:p>
      <w:pPr>
        <w:keepNext/>
        <w:widowControl/>
        <w:spacing w:before="80" w:after="20" w:line="293" w:lineRule="exact"/>
        <w:tabs>
          <w:tab w:pos="10772" w:val="right"/>
        </w:tabs>
        <w:snapToGrid w:val="0"/>
      </w:pPr>
      <w:r>
        <w:rPr>
          <w:rFonts w:ascii="Noto Sans CJK SC" w:hAnsi="Noto Sans CJK SC" w:eastAsia="Noto Sans CJK SC"/>
          <w:b/>
          <w:color w:val="143752"/>
          <w:sz w:val="21"/>
        </w:rPr>
        <w:t>回收宝科技有限公司</w:t>
      </w:r>
      <w:r>
        <w:rPr>
          <w:rFonts w:ascii="Noto Sans CJK SC" w:hAnsi="Noto Sans CJK SC" w:eastAsia="Noto Sans CJK SC"/>
          <w:b w:val="0"/>
          <w:color w:val="60798C"/>
          <w:sz w:val="15"/>
        </w:rPr>
        <w:tab/>
        <w:t xml:space="preserve">深圳 ｜ </w:t>
      </w:r>
      <w:r>
        <w:rPr>
          <w:rFonts w:ascii="Noto Sans CJK SC" w:hAnsi="Noto Sans CJK SC" w:eastAsia="Noto Sans CJK SC"/>
          <w:b w:val="0"/>
          <w:color w:val="60798C"/>
          <w:sz w:val="17"/>
        </w:rPr>
        <w:t>2021.06 - 2023.09</w:t>
      </w:r>
    </w:p>
    <w:p>
      <w:pPr>
        <w:keepNext/>
        <w:widowControl/>
        <w:spacing w:before="0" w:after="40" w:line="293" w:lineRule="exact"/>
        <w:snapToGrid w:val="0"/>
      </w:pPr>
      <w:r>
        <w:rPr>
          <w:rFonts w:ascii="Noto Sans CJK SC" w:hAnsi="Noto Sans CJK SC" w:eastAsia="Noto Sans CJK SC"/>
          <w:b/>
          <w:color w:val="165A91"/>
          <w:sz w:val="19"/>
        </w:rPr>
        <w:t>门店运营副总监</w:t>
      </w:r>
      <w:r>
        <w:rPr>
          <w:rFonts w:ascii="Noto Sans CJK SC" w:hAnsi="Noto Sans CJK SC" w:eastAsia="Noto Sans CJK SC"/>
          <w:b w:val="0"/>
          <w:color w:val="60798C"/>
          <w:sz w:val="16"/>
        </w:rPr>
        <w:t xml:space="preserve"> / 获阿里巴巴战略投资 · 全国连锁门店运营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全国运营统筹：</w:t>
      </w:r>
      <w:r>
        <w:rPr>
          <w:rFonts w:ascii="Noto Sans CJK SC" w:hAnsi="Noto Sans CJK SC" w:eastAsia="Noto Sans CJK SC"/>
          <w:b w:val="0"/>
          <w:color w:val="18344D"/>
          <w:sz w:val="20"/>
        </w:rPr>
        <w:t>负责全国 600 余家门店运营，管理约 50-60 位 BC 渠道经理；通过全国渠道会议统筹经营目标、重点任务与区域执行，衔接总部经营安排和一线门店运营。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SaaS 系统升级：</w:t>
      </w:r>
      <w:r>
        <w:rPr>
          <w:rFonts w:ascii="Noto Sans CJK SC" w:hAnsi="Noto Sans CJK SC" w:eastAsia="Noto Sans CJK SC"/>
          <w:b w:val="0"/>
          <w:color w:val="18344D"/>
          <w:sz w:val="20"/>
        </w:rPr>
        <w:t>主导全国门店由原有自建系统向 SaaS 系统升级，围绕门店运营与销售场景梳理系统需求，推进 600 余家门店系统升级落地，支撑全国门店的统一运营。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OEM 品牌孵化：</w:t>
      </w:r>
      <w:r>
        <w:rPr>
          <w:rFonts w:ascii="Noto Sans CJK SC" w:hAnsi="Noto Sans CJK SC" w:eastAsia="Noto Sans CJK SC"/>
          <w:b w:val="0"/>
          <w:color w:val="18344D"/>
          <w:sz w:val="20"/>
        </w:rPr>
        <w:t>全面负责“回收豹”手机贴膜 OEM 品牌，约 3 个月完成从 0 到 1 的启动，推动年销售额达到约 100 万元，积累新品孵化、门店渠道联动及投入产出评估经验。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获客与成交联动：</w:t>
      </w:r>
      <w:r>
        <w:rPr>
          <w:rFonts w:ascii="Noto Sans CJK SC" w:hAnsi="Noto Sans CJK SC" w:eastAsia="Noto Sans CJK SC"/>
          <w:b w:val="0"/>
          <w:color w:val="18344D"/>
          <w:sz w:val="20"/>
        </w:rPr>
        <w:t>将低价贴膜作为门店拉新入口，联动进店后的客户承接与成交转化，把新品销售与门店运营结合；在品牌项目中验证引流路径，并结合投入产出复盘经营方案。</w:t>
      </w:r>
    </w:p>
    <w:p>
      <w:pPr>
        <w:keepNext/>
        <w:widowControl/>
        <w:spacing w:before="80" w:after="20" w:line="293" w:lineRule="exact"/>
        <w:tabs>
          <w:tab w:pos="10772" w:val="right"/>
        </w:tabs>
        <w:snapToGrid w:val="0"/>
      </w:pPr>
      <w:r>
        <w:rPr>
          <w:rFonts w:ascii="Noto Sans CJK SC" w:hAnsi="Noto Sans CJK SC" w:eastAsia="Noto Sans CJK SC"/>
          <w:b/>
          <w:color w:val="143752"/>
          <w:sz w:val="21"/>
        </w:rPr>
        <w:t>联合利华</w:t>
      </w:r>
      <w:r>
        <w:rPr>
          <w:rFonts w:ascii="Noto Sans CJK SC" w:hAnsi="Noto Sans CJK SC" w:eastAsia="Noto Sans CJK SC"/>
          <w:b w:val="0"/>
          <w:color w:val="60798C"/>
          <w:sz w:val="15"/>
        </w:rPr>
        <w:tab/>
        <w:t xml:space="preserve">深圳 ｜ </w:t>
      </w:r>
      <w:r>
        <w:rPr>
          <w:rFonts w:ascii="Noto Sans CJK SC" w:hAnsi="Noto Sans CJK SC" w:eastAsia="Noto Sans CJK SC"/>
          <w:b w:val="0"/>
          <w:color w:val="60798C"/>
          <w:sz w:val="17"/>
        </w:rPr>
        <w:t>2019.12 - 2021.06</w:t>
      </w:r>
    </w:p>
    <w:p>
      <w:pPr>
        <w:keepNext/>
        <w:widowControl/>
        <w:spacing w:before="0" w:after="40" w:line="293" w:lineRule="exact"/>
        <w:snapToGrid w:val="0"/>
      </w:pPr>
      <w:r>
        <w:rPr>
          <w:rFonts w:ascii="Noto Sans CJK SC" w:hAnsi="Noto Sans CJK SC" w:eastAsia="Noto Sans CJK SC"/>
          <w:b/>
          <w:color w:val="165A91"/>
          <w:sz w:val="19"/>
        </w:rPr>
        <w:t>区域 BC 渠道经理</w:t>
      </w:r>
      <w:r>
        <w:rPr>
          <w:rFonts w:ascii="Noto Sans CJK SC" w:hAnsi="Noto Sans CJK SC" w:eastAsia="Noto Sans CJK SC"/>
          <w:b w:val="0"/>
          <w:color w:val="60798C"/>
          <w:sz w:val="16"/>
        </w:rPr>
        <w:t xml:space="preserve"> / 个人护理与家庭清洁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区域与团队管理：</w:t>
      </w:r>
      <w:r>
        <w:rPr>
          <w:rFonts w:ascii="Noto Sans CJK SC" w:hAnsi="Noto Sans CJK SC" w:eastAsia="Noto Sans CJK SC"/>
          <w:b w:val="0"/>
          <w:color w:val="18344D"/>
          <w:sz w:val="20"/>
        </w:rPr>
        <w:t>职责由龙华单区扩展至龙华、龙岗两区，管理约 50 人销售团队，覆盖约 350 家终端；统筹两区线下渠道业务，合计年销售额维持在约 800 万-1,000 万元。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重点卖场突破：</w:t>
      </w:r>
      <w:r>
        <w:rPr>
          <w:rFonts w:ascii="Noto Sans CJK SC" w:hAnsi="Noto Sans CJK SC" w:eastAsia="Noto Sans CJK SC"/>
          <w:b w:val="0"/>
          <w:color w:val="18344D"/>
          <w:sz w:val="20"/>
        </w:rPr>
        <w:t>聚焦六大重点卖场开展渠道推广，约半年将所负责品类销售份额由三成多提升至五成多，在与主要竞品的终端竞争中实现份额反超。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终端渠道运营：</w:t>
      </w:r>
      <w:r>
        <w:rPr>
          <w:rFonts w:ascii="Noto Sans CJK SC" w:hAnsi="Noto Sans CJK SC" w:eastAsia="Noto Sans CJK SC"/>
          <w:b w:val="0"/>
          <w:color w:val="18344D"/>
          <w:sz w:val="20"/>
        </w:rPr>
        <w:t>负责超市、小型卖场及便利店等 BC 终端的产品铺货与渠道推广，覆盖洗发水、沐浴露、洗面奶及洗衣清洁等品类，协调销售团队推进两个区域的终端业务。</w:t>
      </w:r>
    </w:p>
    <w:p>
      <w:pPr>
        <w:keepNext/>
        <w:widowControl/>
        <w:spacing w:before="80" w:after="20" w:line="293" w:lineRule="exact"/>
        <w:tabs>
          <w:tab w:pos="10772" w:val="right"/>
        </w:tabs>
        <w:snapToGrid w:val="0"/>
      </w:pPr>
      <w:r>
        <w:rPr>
          <w:rFonts w:ascii="Noto Sans CJK SC" w:hAnsi="Noto Sans CJK SC" w:eastAsia="Noto Sans CJK SC"/>
          <w:b/>
          <w:color w:val="143752"/>
          <w:sz w:val="21"/>
        </w:rPr>
        <w:t>苏宁电器</w:t>
      </w:r>
      <w:r>
        <w:rPr>
          <w:rFonts w:ascii="Noto Sans CJK SC" w:hAnsi="Noto Sans CJK SC" w:eastAsia="Noto Sans CJK SC"/>
          <w:b w:val="0"/>
          <w:color w:val="60798C"/>
          <w:sz w:val="15"/>
        </w:rPr>
        <w:tab/>
        <w:t xml:space="preserve">衡阳 ｜ </w:t>
      </w:r>
      <w:r>
        <w:rPr>
          <w:rFonts w:ascii="Noto Sans CJK SC" w:hAnsi="Noto Sans CJK SC" w:eastAsia="Noto Sans CJK SC"/>
          <w:b w:val="0"/>
          <w:color w:val="60798C"/>
          <w:sz w:val="17"/>
        </w:rPr>
        <w:t>2017.06 - 2019.12</w:t>
      </w:r>
    </w:p>
    <w:p>
      <w:pPr>
        <w:keepNext/>
        <w:widowControl/>
        <w:spacing w:before="0" w:after="40" w:line="293" w:lineRule="exact"/>
        <w:snapToGrid w:val="0"/>
      </w:pPr>
      <w:r>
        <w:rPr>
          <w:rFonts w:ascii="Noto Sans CJK SC" w:hAnsi="Noto Sans CJK SC" w:eastAsia="Noto Sans CJK SC"/>
          <w:b/>
          <w:color w:val="165A91"/>
          <w:sz w:val="19"/>
        </w:rPr>
        <w:t>区域彩电销售负责人</w:t>
      </w:r>
      <w:r>
        <w:rPr>
          <w:rFonts w:ascii="Noto Sans CJK SC" w:hAnsi="Noto Sans CJK SC" w:eastAsia="Noto Sans CJK SC"/>
          <w:b w:val="0"/>
          <w:color w:val="60798C"/>
          <w:sz w:val="16"/>
        </w:rPr>
        <w:t xml:space="preserve"> / 实习后负责区域销售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逆势营收增长：</w:t>
      </w:r>
      <w:r>
        <w:rPr>
          <w:rFonts w:ascii="Noto Sans CJK SC" w:hAnsi="Noto Sans CJK SC" w:eastAsia="Noto Sans CJK SC"/>
          <w:b w:val="0"/>
          <w:color w:val="18344D"/>
          <w:sz w:val="20"/>
        </w:rPr>
        <w:t>在家装家电市场下行背景下，首年将所负责区域彩电业务营收由 2,000 万元提升至 2,200 万元（+10%）；次年继续保持营收不倒退，稳定区域销售基本盘。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团队与销售管理：</w:t>
      </w:r>
      <w:r>
        <w:rPr>
          <w:rFonts w:ascii="Noto Sans CJK SC" w:hAnsi="Noto Sans CJK SC" w:eastAsia="Noto Sans CJK SC"/>
          <w:b w:val="0"/>
          <w:color w:val="18344D"/>
          <w:sz w:val="20"/>
        </w:rPr>
        <w:t>管理约 30 名促销员，优化销售团队工作流程与早会机制；统筹索尼、三星、夏普、LG、TCL、创维、康佳及长虹等国内外品牌的区域彩电销售。</w:t>
      </w:r>
    </w:p>
    <w:p>
      <w:pPr>
        <w:keepNext w:val="0"/>
        <w:widowControl/>
        <w:spacing w:before="0" w:after="30" w:line="293" w:lineRule="exact"/>
        <w:snapToGrid w:val="0"/>
        <w:ind w:left="181" w:hanging="181"/>
      </w:pPr>
      <w:r>
        <w:rPr>
          <w:rFonts w:ascii="Noto Sans CJK SC" w:hAnsi="Noto Sans CJK SC" w:eastAsia="Noto Sans CJK SC"/>
          <w:b w:val="0"/>
          <w:color w:val="165A91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18456A"/>
          <w:sz w:val="20"/>
        </w:rPr>
        <w:t>家装与社区获客：</w:t>
      </w:r>
      <w:r>
        <w:rPr>
          <w:rFonts w:ascii="Noto Sans CJK SC" w:hAnsi="Noto Sans CJK SC" w:eastAsia="Noto Sans CJK SC"/>
          <w:b w:val="0"/>
          <w:color w:val="18344D"/>
          <w:sz w:val="20"/>
        </w:rPr>
        <w:t>通过装修公司合作触达家装购机客户，联动小区活动开展销售策划，把家装需求与彩电产品推荐结合，拓展门店之外的获客渠道，支撑区域销售增长。</w:t>
      </w:r>
    </w:p>
    <w:p>
      <w:pPr>
        <w:keepNext/>
        <w:widowControl/>
        <w:spacing w:before="80" w:after="40" w:line="271" w:lineRule="exact"/>
        <w:snapToGrid w:val="0"/>
      </w:pPr>
      <w:r>
        <w:rPr>
          <w:rFonts w:ascii="Noto Sans CJK SC" w:hAnsi="Noto Sans CJK SC" w:eastAsia="Noto Sans CJK SC"/>
          <w:b/>
          <w:color w:val="165A91"/>
          <w:sz w:val="23"/>
        </w:rPr>
        <w:t>教育经历</w:t>
      </w:r>
    </w:p>
    <w:p>
      <w:pPr>
        <w:keepNext w:val="0"/>
        <w:widowControl/>
        <w:spacing w:before="0" w:after="0" w:line="293" w:lineRule="exact"/>
        <w:snapToGrid w:val="0"/>
      </w:pPr>
      <w:r>
        <w:rPr>
          <w:rFonts w:ascii="Noto Sans CJK SC" w:hAnsi="Noto Sans CJK SC" w:eastAsia="Noto Sans CJK SC"/>
          <w:b/>
          <w:color w:val="18344D"/>
          <w:sz w:val="19"/>
        </w:rPr>
        <w:t>湖南电子科技职业学院</w:t>
      </w:r>
      <w:r>
        <w:rPr>
          <w:rFonts w:ascii="Noto Sans CJK SC" w:hAnsi="Noto Sans CJK SC" w:eastAsia="Noto Sans CJK SC"/>
          <w:b w:val="0"/>
          <w:color w:val="18344D"/>
          <w:sz w:val="19"/>
        </w:rPr>
        <w:t xml:space="preserve">  /  营销与策划  /  大专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834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44D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李振文 品牌与运营总监 一页简历</dc:title>
  <dc:subject/>
  <dc:creator>李振文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