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Arial" w:hAnsi="Arial" w:eastAsia="微软雅黑"/>
          <w:b/>
          <w:i w:val="0"/>
          <w:sz w:val="36"/>
        </w:rPr>
        <w:t>PIAP 平台角色分工改进方案</w:t>
      </w:r>
    </w:p>
    <w:p>
      <w:pPr>
        <w:jc w:val="center"/>
      </w:pPr>
      <w:r>
        <w:rPr>
          <w:rFonts w:ascii="Arial" w:hAnsi="Arial" w:eastAsia="微软雅黑"/>
          <w:b w:val="0"/>
          <w:i/>
          <w:color w:val="606060"/>
          <w:sz w:val="21"/>
        </w:rPr>
        <w:t>用于角色划分、职责边界与权限设计梳理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>
        <w:trPr>
          <w:jc w:val="center"/>
        </w:trPr>
        <w:tc>
          <w:tcPr>
            <w:tcW w:w="9518" w:type="dxa"/>
            <w:shd w:val="clear" w:color="auto" w:fill="F2F6FC"/>
            <w:vAlign w:val="center"/>
          </w:tcPr>
          <w:p>
            <w:r>
              <w:rPr>
                <w:rFonts w:ascii="Arial" w:hAnsi="Arial" w:eastAsia="微软雅黑"/>
                <w:b w:val="0"/>
                <w:i w:val="0"/>
                <w:sz w:val="21"/>
              </w:rPr>
              <w:t>改进原则：将“岗位角色”“职责域”“能力等级”拆开设计。一级角色只定义谁在使用平台；二级职责域描述该角色负责什么；终端用户中的“标准用户/专业用户”属于使用深度划分，不与岗位角色并列。这样更适合后续做 RBAC 权限矩阵、角色工作台设计和产品汇报。</w:t>
            </w:r>
          </w:p>
        </w:tc>
      </w:tr>
    </w:tbl>
    <w:p/>
    <w:p>
      <w:pPr>
        <w:pStyle w:val="3"/>
      </w:pPr>
      <w:r>
        <w:rPr>
          <w:rFonts w:ascii="Arial" w:hAnsi="Arial" w:eastAsia="微软雅黑"/>
          <w:b/>
          <w:i w:val="0"/>
          <w:color w:val="2F5597"/>
          <w:sz w:val="28"/>
        </w:rPr>
        <w:t>一、推荐的角色体系</w:t>
      </w:r>
    </w:p>
    <w:p>
      <w:pPr>
        <w:pStyle w:val="14"/>
      </w:pPr>
      <w:r>
        <w:rPr>
          <w:rFonts w:ascii="Arial" w:hAnsi="Arial" w:eastAsia="微软雅黑"/>
          <w:b/>
          <w:i w:val="0"/>
          <w:sz w:val="21"/>
        </w:rPr>
        <w:t>系统管理员：</w:t>
      </w:r>
      <w:r>
        <w:rPr>
          <w:rFonts w:ascii="Arial" w:hAnsi="Arial" w:eastAsia="微软雅黑"/>
          <w:b w:val="0"/>
          <w:i w:val="0"/>
          <w:sz w:val="21"/>
        </w:rPr>
        <w:t>负责系统级治理、安全、权限和资源配置。</w:t>
      </w:r>
    </w:p>
    <w:p>
      <w:pPr>
        <w:pStyle w:val="14"/>
      </w:pPr>
      <w:r>
        <w:rPr>
          <w:rFonts w:ascii="Arial" w:hAnsi="Arial" w:eastAsia="微软雅黑"/>
          <w:b/>
          <w:i w:val="0"/>
          <w:sz w:val="21"/>
        </w:rPr>
        <w:t>平台运营：</w:t>
      </w:r>
      <w:r>
        <w:rPr>
          <w:rFonts w:ascii="Arial" w:hAnsi="Arial" w:eastAsia="微软雅黑"/>
          <w:b w:val="0"/>
          <w:i w:val="0"/>
          <w:sz w:val="21"/>
        </w:rPr>
        <w:t>负责应用、模型、数据和运营分析等平台层运营工作。</w:t>
      </w:r>
    </w:p>
    <w:p>
      <w:pPr>
        <w:pStyle w:val="14"/>
      </w:pPr>
      <w:r>
        <w:rPr>
          <w:rFonts w:ascii="Arial" w:hAnsi="Arial" w:eastAsia="微软雅黑"/>
          <w:b/>
          <w:i w:val="0"/>
          <w:sz w:val="21"/>
        </w:rPr>
        <w:t>应用开发者：</w:t>
      </w:r>
      <w:r>
        <w:rPr>
          <w:rFonts w:ascii="Arial" w:hAnsi="Arial" w:eastAsia="微软雅黑"/>
          <w:b w:val="0"/>
          <w:i w:val="0"/>
          <w:sz w:val="21"/>
        </w:rPr>
        <w:t>负责 Agent、Prompt、RAG、工作流与应用发布。</w:t>
      </w:r>
    </w:p>
    <w:p>
      <w:pPr>
        <w:pStyle w:val="14"/>
      </w:pPr>
      <w:r>
        <w:rPr>
          <w:rFonts w:ascii="Arial" w:hAnsi="Arial" w:eastAsia="微软雅黑"/>
          <w:b/>
          <w:i w:val="0"/>
          <w:sz w:val="21"/>
        </w:rPr>
        <w:t>算法工程师：</w:t>
      </w:r>
      <w:r>
        <w:rPr>
          <w:rFonts w:ascii="Arial" w:hAnsi="Arial" w:eastAsia="微软雅黑"/>
          <w:b w:val="0"/>
          <w:i w:val="0"/>
          <w:sz w:val="21"/>
        </w:rPr>
        <w:t>负责数据、训练、评测、实验追踪和模型部署。</w:t>
      </w:r>
    </w:p>
    <w:p>
      <w:pPr>
        <w:pStyle w:val="14"/>
      </w:pPr>
      <w:r>
        <w:rPr>
          <w:rFonts w:ascii="Arial" w:hAnsi="Arial" w:eastAsia="微软雅黑"/>
          <w:b/>
          <w:i w:val="0"/>
          <w:sz w:val="21"/>
        </w:rPr>
        <w:t>终端用户：</w:t>
      </w:r>
      <w:r>
        <w:rPr>
          <w:rFonts w:ascii="Arial" w:hAnsi="Arial" w:eastAsia="微软雅黑"/>
          <w:b w:val="0"/>
          <w:i w:val="0"/>
          <w:sz w:val="21"/>
        </w:rPr>
        <w:t>负责消费平台能力完成具体业务任务，可再区分为标准用户与专业用户。</w:t>
      </w:r>
    </w:p>
    <w:p>
      <w:pPr>
        <w:pStyle w:val="3"/>
      </w:pPr>
      <w:r>
        <w:rPr>
          <w:rFonts w:ascii="Arial" w:hAnsi="Arial" w:eastAsia="微软雅黑"/>
          <w:b/>
          <w:i w:val="0"/>
          <w:color w:val="2F5597"/>
          <w:sz w:val="28"/>
        </w:rPr>
        <w:t>二、为什么这样划分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避免把“岗位角色”和“运营职能”混在一起，例如模型运营、数据运营更适合作为平台运营下的职责域。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避免把“用户等级”与“岗位角色”并列，例如普通用户/高级用户更适合作为终端用户的使用深度类型。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便于设计角色化工作台：终端用户工作台、应用开发工作台、算法实验工作台、平台运营工作台、系统管理工作台。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便于后续补充 RBAC：菜单权限、操作权限、数据权限、资源配额可以围绕一级角色统一收敛。</w:t>
      </w:r>
    </w:p>
    <w:p>
      <w:pPr>
        <w:pStyle w:val="3"/>
      </w:pPr>
      <w:r>
        <w:rPr>
          <w:rFonts w:ascii="Arial" w:hAnsi="Arial" w:eastAsia="微软雅黑"/>
          <w:b/>
          <w:i w:val="0"/>
          <w:color w:val="2F5597"/>
          <w:sz w:val="28"/>
        </w:rPr>
        <w:t>三、改进后的角色—职责表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5216"/>
      </w:tblGrid>
      <w:tr>
        <w:trPr>
          <w:jc w:val="center"/>
        </w:trPr>
        <w:tc>
          <w:tcPr>
            <w:tcW w:w="3173" w:type="dxa"/>
            <w:shd w:val="clear" w:color="auto" w:fill="2F559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一级角色</w:t>
            </w:r>
          </w:p>
        </w:tc>
        <w:tc>
          <w:tcPr>
            <w:tcW w:w="3173" w:type="dxa"/>
            <w:shd w:val="clear" w:color="auto" w:fill="2F559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二级职责域/类型</w:t>
            </w:r>
          </w:p>
        </w:tc>
        <w:tc>
          <w:tcPr>
            <w:tcW w:w="3173" w:type="dxa"/>
            <w:shd w:val="clear" w:color="auto" w:fill="2F559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主要职责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系统管理员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权限管理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管理用户、角色、菜单权限、数据权限、组织与租户。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系统管理员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安全审计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管理登录审计、操作审计、安全策略与合规检查。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系统管理员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平台配置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管理模型接入、存储配置、系统参数与基础设施配置。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系统管理员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成本治理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管理 Token 配额、GPU 配额、调用限流与成本监控。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平台运营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应用运营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 Agent/应用模板审核、推荐、上下架与反馈分析。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平台运营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模型运营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负责模型版本管理、灰度发布、效果监控与调用统计。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平台运营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数据运营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负责数据集质量监控、标注任务管理、数据审核与更新。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平台运营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运营分析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负责用户行为、留存转化、业务报表与成本分析。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应用开发者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Agent 编排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创建 Agent、设计工具链、配置调用流程。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应用开发者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Prompt 工程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设计提示词模板、变量参数与输出约束。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应用开发者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RAG 配置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配置知识库、召回策略、分段策略与引用范围。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应用开发者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工作流设计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配置意图路由、多步骤流程与异常兜底逻辑。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应用开发者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应用发布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测试应用、发布版本、灰度迭代并查看效果反馈。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算法工程师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数据工程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负责数据上传、清洗、标注、切分与版本控制。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算法工程师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模型训练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负责训练、微调、超参设置与任务调度。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算法工程师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模型评测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负责基准测试、A/B 测试、离线评估与线上验证。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算法工程师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实验追踪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记录实验过程、参数、指标与版本对比。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算法工程师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模型部署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部署模型服务并监控性能、稳定性与弹性扩缩容。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终端用户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标准用户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使用应用、上传文件问答、查看结果与导出内容。</w:t>
            </w:r>
          </w:p>
        </w:tc>
      </w:tr>
      <w:tr>
        <w:trPr>
          <w:jc w:val="center"/>
        </w:trPr>
        <w:tc>
          <w:tcPr>
            <w:tcW w:w="1814" w:type="dxa"/>
            <w:shd w:val="clear" w:color="auto" w:fill="EAF0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终端用户</w:t>
            </w:r>
          </w:p>
        </w:tc>
        <w:tc>
          <w:tcPr>
            <w:tcW w:w="2381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专业用户</w:t>
            </w:r>
          </w:p>
        </w:tc>
        <w:tc>
          <w:tcPr>
            <w:tcW w:w="52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sz w:val="20"/>
              </w:rPr>
              <w:t>可自定义 Prompt、选择知识库并控制 RAG/CoT 开关。</w:t>
            </w:r>
          </w:p>
        </w:tc>
      </w:tr>
    </w:tbl>
    <w:p/>
    <w:p>
      <w:pPr>
        <w:pStyle w:val="3"/>
      </w:pPr>
      <w:r>
        <w:rPr>
          <w:rFonts w:ascii="Arial" w:hAnsi="Arial" w:eastAsia="微软雅黑"/>
          <w:b/>
          <w:i w:val="0"/>
          <w:color w:val="2F5597"/>
          <w:sz w:val="28"/>
        </w:rPr>
        <w:t>四、补充建议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在角色表之外，再单独补一张“权限矩阵表”，区分菜单权限、操作权限、数据权限、资源配额。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系统管理员不一定默认拥有全部业务明文数据权限，敏感数据建议额外做审批或脱敏。</w:t>
      </w:r>
    </w:p>
    <w:p>
      <w:pPr>
        <w:pStyle w:val="16"/>
      </w:pPr>
      <w:r>
        <w:rPr>
          <w:rFonts w:ascii="Arial" w:hAnsi="Arial" w:eastAsia="微软雅黑"/>
          <w:b w:val="0"/>
          <w:i w:val="0"/>
          <w:sz w:val="21"/>
        </w:rPr>
        <w:t>应用开发者与算法工程师的边界要明确：前者偏应用编排，后者偏模型生命周期。</w:t>
      </w:r>
    </w:p>
    <w:p>
      <w:pPr>
        <w:pStyle w:val="16"/>
        <w:rPr>
          <w:rFonts w:hint="default"/>
        </w:rPr>
      </w:pPr>
      <w:r>
        <w:rPr>
          <w:rFonts w:ascii="Arial" w:hAnsi="Arial" w:eastAsia="微软雅黑"/>
          <w:b w:val="0"/>
          <w:i w:val="0"/>
          <w:sz w:val="21"/>
        </w:rPr>
        <w:t>平台运营应站在平台视角做审核、推荐、统计与增长分析，而不是直接承担模型研发职责。</w:t>
      </w:r>
      <w:bookmarkStart w:id="0" w:name="_GoBack"/>
      <w:bookmarkEnd w:id="0"/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BE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Office_5.3.0.7863_F1E327BC-269C-435d-A152-05C5408002CA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徐航</cp:lastModifiedBy>
  <dcterms:modified xsi:type="dcterms:W3CDTF">2026-04-07T16:48:43Z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2052-5.3.0.7863</vt:lpwstr>
  </property>
  <property fmtid="{D5CDD505-2E9C-101B-9397-08002B2CF9AE}" pid="3" name="ICV">
    <vt:lpwstr>B48E9507D54F6777EBC4D469F0879368_42</vt:lpwstr>
  </property>
</Properties>
</file>