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  <w:jc w:val="center"/>
      </w:pPr>
      <w:r>
        <w:rPr>
          <w:rFonts w:ascii="Noto Serif CJK SC" w:hAnsi="Noto Serif CJK SC" w:eastAsia="Noto Serif CJK SC"/>
          <w:b/>
          <w:i w:val="0"/>
          <w:color w:val="123B5A"/>
          <w:sz w:val="48"/>
        </w:rPr>
        <w:t>产品智能检测 Agent 平台</w:t>
      </w:r>
    </w:p>
    <w:p>
      <w:pPr>
        <w:spacing w:before="0" w:after="120" w:line="264" w:lineRule="auto"/>
        <w:jc w:val="center"/>
      </w:pPr>
      <w:r>
        <w:rPr>
          <w:rFonts w:ascii="Noto Serif CJK SC" w:hAnsi="Noto Serif CJK SC" w:eastAsia="Noto Serif CJK SC"/>
          <w:b/>
          <w:i w:val="0"/>
          <w:color w:val="1B5E7A"/>
          <w:sz w:val="44"/>
        </w:rPr>
        <w:t>统一开发文档</w:t>
      </w:r>
    </w:p>
    <w:p>
      <w:pPr>
        <w:spacing w:before="0" w:after="80" w:line="288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4F6B80"/>
          <w:sz w:val="22"/>
        </w:rPr>
        <w:t>Unified Development Specification · v1.1.0</w:t>
      </w:r>
    </w:p>
    <w:p>
      <w:pPr>
        <w:spacing w:before="0" w:after="80" w:line="288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4F6B80"/>
          <w:sz w:val="22"/>
        </w:rPr>
        <w:t>整合 SDD-001 / SYS-002 / BAD-003 / FED-004 / GOV-005 / CHG-006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474"/>
            <w:shd w:fill="D7E7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文档编号</w:t>
            </w:r>
          </w:p>
        </w:tc>
        <w:tc>
          <w:tcPr>
            <w:tcW w:type="dxa" w:w="3402"/>
            <w:shd w:fill="D7E7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PIAP-DEV-007</w:t>
            </w:r>
          </w:p>
        </w:tc>
        <w:tc>
          <w:tcPr>
            <w:tcW w:type="dxa" w:w="1474"/>
            <w:shd w:fill="D7E7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3005"/>
            <w:shd w:fill="D7E7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v1.1.0（Unified Edition）</w:t>
            </w:r>
          </w:p>
        </w:tc>
      </w:tr>
      <w:tr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文档名称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产品智能检测 Agent 平台统一开发文档</w:t>
            </w:r>
          </w:p>
        </w:tc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发布日期</w:t>
            </w:r>
          </w:p>
        </w:tc>
        <w:tc>
          <w:tcPr>
            <w:tcW w:type="dxa" w:w="300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2026-03-23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适用对象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架构师 / 后端 / 前端 / DBA / LLMOps / QA / SRE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密级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内部使用</w:t>
            </w:r>
          </w:p>
        </w:tc>
      </w:tr>
      <w:tr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整合来源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SDD-001 / SYS-002 / BAD-003 / FED-004 / GOV-005 / CHG-006</w:t>
            </w:r>
          </w:p>
        </w:tc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效力说明</w:t>
            </w:r>
          </w:p>
        </w:tc>
        <w:tc>
          <w:tcPr>
            <w:tcW w:type="dxa" w:w="300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本文件为 v1.1 主实施基线，优先于分散原文档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D7E7F5"/>
            <w:tcMar>
              <w:top w:w="90" w:type="dxa"/>
              <w:start w:w="140" w:type="dxa"/>
              <w:bottom w:w="90" w:type="dxa"/>
              <w:end w:w="140" w:type="dxa"/>
            </w:tcMar>
            <w:tcBorders>
              <w:left w:val="single" w:sz="12" w:color="8DB4D6"/>
              <w:top w:val="single" w:sz="12" w:color="8DB4D6"/>
              <w:right w:val="single" w:sz="12" w:color="8DB4D6"/>
              <w:bottom w:val="single" w:sz="12" w:color="8DB4D6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6334C"/>
                <w:sz w:val="20"/>
              </w:rPr>
              <w:t>执行摘要</w:t>
            </w:r>
          </w:p>
        </w:tc>
      </w:tr>
      <w:tr>
        <w:tc>
          <w:tcPr>
            <w:tcW w:type="dxa" w:w="9752"/>
            <w:shd w:fill="EAF2F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left w:val="single" w:sz="12" w:color="8DB4D6"/>
              <w:top w:val="single" w:sz="12" w:color="8DB4D6"/>
              <w:right w:val="single" w:sz="12" w:color="8DB4D6"/>
              <w:bottom w:val="single" w:sz="12" w:color="8DB4D6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本文件将六份分散文档与治理变更集收敛为一套可直接实施的 v1.1 主基线。统一后的核心结论是：主存储统一为 MySQL；实时链路统一以 SSE 为准；权限模型统一为 7 个控制台角色 + 1 个服务主体；治理层从“可观测”升级为“可控制”，必须覆盖模型发布、灰度回滚、预算熔断、Langfuse 追踪与反馈闭环。</w:t>
            </w:r>
          </w:p>
        </w:tc>
      </w:tr>
    </w:tbl>
    <w:p/>
    <w:p>
      <w:pPr>
        <w:spacing w:before="200" w:after="0" w:line="24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B7083"/>
          <w:sz w:val="19"/>
        </w:rPr>
        <w:t>产品智能检测 Agent 平台项目组  ·  内部使用  ·  2026-03-23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Noto Serif CJK SC" w:hAnsi="Noto Serif CJK SC" w:eastAsia="Noto Serif CJK SC"/>
          <w:b/>
          <w:i w:val="0"/>
          <w:color w:val="123B5A"/>
          <w:sz w:val="31"/>
        </w:rPr>
        <w:t>目录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为避免 Word 域更新差异，本版采用静态目录；后续若转为正式版模板，可替换为自动目录字段。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247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章节</w:t>
            </w:r>
          </w:p>
        </w:tc>
        <w:tc>
          <w:tcPr>
            <w:tcW w:type="dxa" w:w="7370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1</w:t>
            </w:r>
          </w:p>
        </w:tc>
        <w:tc>
          <w:tcPr>
            <w:tcW w:type="dxa" w:w="737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文档定位与统一原则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2</w:t>
            </w:r>
          </w:p>
        </w:tc>
        <w:tc>
          <w:tcPr>
            <w:tcW w:type="dxa" w:w="737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项目目标与业务范围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3</w:t>
            </w:r>
          </w:p>
        </w:tc>
        <w:tc>
          <w:tcPr>
            <w:tcW w:type="dxa" w:w="737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统一决策（冲突消解与新增约束）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4</w:t>
            </w:r>
          </w:p>
        </w:tc>
        <w:tc>
          <w:tcPr>
            <w:tcW w:type="dxa" w:w="737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角色与权限模型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5</w:t>
            </w:r>
          </w:p>
        </w:tc>
        <w:tc>
          <w:tcPr>
            <w:tcW w:type="dxa" w:w="737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系统总体架构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6</w:t>
            </w:r>
          </w:p>
        </w:tc>
        <w:tc>
          <w:tcPr>
            <w:tcW w:type="dxa" w:w="737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后端工程架构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7</w:t>
            </w:r>
          </w:p>
        </w:tc>
        <w:tc>
          <w:tcPr>
            <w:tcW w:type="dxa" w:w="737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前端工程架构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8</w:t>
            </w:r>
          </w:p>
        </w:tc>
        <w:tc>
          <w:tcPr>
            <w:tcW w:type="dxa" w:w="737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数据架构与关键实体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9</w:t>
            </w:r>
          </w:p>
        </w:tc>
        <w:tc>
          <w:tcPr>
            <w:tcW w:type="dxa" w:w="737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Agent 编排、多模型网关与发布治理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10</w:t>
            </w:r>
          </w:p>
        </w:tc>
        <w:tc>
          <w:tcPr>
            <w:tcW w:type="dxa" w:w="737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AI 质量、Langfuse 与反馈闭环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11</w:t>
            </w:r>
          </w:p>
        </w:tc>
        <w:tc>
          <w:tcPr>
            <w:tcW w:type="dxa" w:w="737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API、事件与集成规范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12</w:t>
            </w:r>
          </w:p>
        </w:tc>
        <w:tc>
          <w:tcPr>
            <w:tcW w:type="dxa" w:w="737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安全、合规与可观测性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13</w:t>
            </w:r>
          </w:p>
        </w:tc>
        <w:tc>
          <w:tcPr>
            <w:tcW w:type="dxa" w:w="737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部署、配置与运维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14</w:t>
            </w:r>
          </w:p>
        </w:tc>
        <w:tc>
          <w:tcPr>
            <w:tcW w:type="dxa" w:w="737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测试、发布与回滚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15</w:t>
            </w:r>
          </w:p>
        </w:tc>
        <w:tc>
          <w:tcPr>
            <w:tcW w:type="dxa" w:w="737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里程碑、风险与后续工作</w:t>
            </w:r>
          </w:p>
        </w:tc>
      </w:tr>
    </w:tbl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Noto Serif CJK SC" w:hAnsi="Noto Serif CJK SC" w:eastAsia="Noto Serif CJK SC"/>
          <w:b/>
          <w:i w:val="0"/>
          <w:color w:val="123B5A"/>
          <w:sz w:val="31"/>
        </w:rPr>
        <w:t>1. 文档定位与统一原则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本文件是产品智能检测 Agent 平台 v1.1 的统一开发文档。它不是对六份原文档的简单拼接，而是在吸收原始规范、系统设计、后端/前端架构、治理文档与变更集之后，重新形成的一份主实施基线。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自本版起，架构评审、数据库迁移、后端目录实现、前端路由开发、治理功能接入、测试验收与运维交接，均应优先以本文件为准。若本文件与历史文档存在冲突，以本文件为准；若未来有新增架构决策，则以正式 ADR 为增量补充。</w:t>
      </w:r>
    </w:p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1.1 整合来源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3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来源文档</w:t>
            </w:r>
          </w:p>
        </w:tc>
        <w:tc>
          <w:tcPr>
            <w:tcW w:type="dxa" w:w="1928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定位</w:t>
            </w:r>
          </w:p>
        </w:tc>
        <w:tc>
          <w:tcPr>
            <w:tcW w:type="dxa" w:w="5669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吸收范围</w:t>
            </w:r>
          </w:p>
        </w:tc>
      </w:tr>
      <w:tr>
        <w:tc>
          <w:tcPr>
            <w:tcW w:type="dxa" w:w="153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PIAP-SDD-001</w:t>
            </w:r>
          </w:p>
        </w:tc>
        <w:tc>
          <w:tcPr>
            <w:tcW w:type="dxa" w:w="192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软件开发技术规范</w:t>
            </w:r>
          </w:p>
        </w:tc>
        <w:tc>
          <w:tcPr>
            <w:tcW w:type="dxa" w:w="566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总体架构、RBAC、AI 质量指标、API 基线、部署与测试策略</w:t>
            </w:r>
          </w:p>
        </w:tc>
      </w:tr>
      <w:tr>
        <w:tc>
          <w:tcPr>
            <w:tcW w:type="dxa" w:w="153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PIAP-SYS-002</w:t>
            </w:r>
          </w:p>
        </w:tc>
        <w:tc>
          <w:tcPr>
            <w:tcW w:type="dxa" w:w="192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系统设计（MySQL Edition）</w:t>
            </w:r>
          </w:p>
        </w:tc>
        <w:tc>
          <w:tcPr>
            <w:tcW w:type="dxa" w:w="566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MySQL 选型、表结构、事务、HA、备份与数据库监控</w:t>
            </w:r>
          </w:p>
        </w:tc>
      </w:tr>
      <w:tr>
        <w:tc>
          <w:tcPr>
            <w:tcW w:type="dxa" w:w="153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PIAP-BAD-003</w:t>
            </w:r>
          </w:p>
        </w:tc>
        <w:tc>
          <w:tcPr>
            <w:tcW w:type="dxa" w:w="192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后端工程架构</w:t>
            </w:r>
          </w:p>
        </w:tc>
        <w:tc>
          <w:tcPr>
            <w:tcW w:type="dxa" w:w="566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目录结构、模块职责、依赖规则、Agent 图与测试骨架</w:t>
            </w:r>
          </w:p>
        </w:tc>
      </w:tr>
      <w:tr>
        <w:tc>
          <w:tcPr>
            <w:tcW w:type="dxa" w:w="153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PIAP-FED-004</w:t>
            </w:r>
          </w:p>
        </w:tc>
        <w:tc>
          <w:tcPr>
            <w:tcW w:type="dxa" w:w="192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前端架构设计</w:t>
            </w:r>
          </w:p>
        </w:tc>
        <w:tc>
          <w:tcPr>
            <w:tcW w:type="dxa" w:w="566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技术栈、路由、Store、组件规范、SSE 集成与部署</w:t>
            </w:r>
          </w:p>
        </w:tc>
      </w:tr>
      <w:tr>
        <w:tc>
          <w:tcPr>
            <w:tcW w:type="dxa" w:w="153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PIAP-GOV-005</w:t>
            </w:r>
          </w:p>
        </w:tc>
        <w:tc>
          <w:tcPr>
            <w:tcW w:type="dxa" w:w="192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系统治理与质量监管</w:t>
            </w:r>
          </w:p>
        </w:tc>
        <w:tc>
          <w:tcPr>
            <w:tcW w:type="dxa" w:w="566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Platform Admin、AI Quality、Langfuse、反馈与治理视图</w:t>
            </w:r>
          </w:p>
        </w:tc>
      </w:tr>
      <w:tr>
        <w:tc>
          <w:tcPr>
            <w:tcW w:type="dxa" w:w="153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PIAP-CHG-006</w:t>
            </w:r>
          </w:p>
        </w:tc>
        <w:tc>
          <w:tcPr>
            <w:tcW w:type="dxa" w:w="192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变更集</w:t>
            </w:r>
          </w:p>
        </w:tc>
        <w:tc>
          <w:tcPr>
            <w:tcW w:type="dxa" w:w="566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v1.0 → v1.1 的文件级增量、接口增量与治理层接入范围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1.2 统一原则</w:t>
      </w:r>
    </w:p>
    <w:p>
      <w:pPr>
        <w:pStyle w:val="ListBullet"/>
        <w:spacing w:before="0" w:after="60" w:line="300" w:lineRule="auto"/>
        <w:ind w:left="283" w:firstLine="0"/>
      </w:pPr>
      <w:r>
        <w:rPr>
          <w:rFonts w:ascii="Noto Sans CJK SC" w:hAnsi="Noto Sans CJK SC" w:eastAsia="Noto Sans CJK SC"/>
          <w:b w:val="0"/>
          <w:i w:val="0"/>
          <w:sz w:val="20"/>
        </w:rPr>
        <w:t>以“可实施”为第一原则：凡是会直接影响代码、表结构、路由、权限、部署与验收的口径，必须在本版中收敛为唯一结论。</w:t>
      </w:r>
    </w:p>
    <w:p>
      <w:pPr>
        <w:pStyle w:val="ListBullet"/>
        <w:spacing w:before="0" w:after="60" w:line="300" w:lineRule="auto"/>
        <w:ind w:left="283" w:firstLine="0"/>
      </w:pPr>
      <w:r>
        <w:rPr>
          <w:rFonts w:ascii="Noto Sans CJK SC" w:hAnsi="Noto Sans CJK SC" w:eastAsia="Noto Sans CJK SC"/>
          <w:b w:val="0"/>
          <w:i w:val="0"/>
          <w:sz w:val="20"/>
        </w:rPr>
        <w:t>以“控制面完整”为第二原则：治理层不仅提供看板，还要提供发布、预算、熔断、回滚、审计等可执行控制能力。</w:t>
      </w:r>
    </w:p>
    <w:p>
      <w:pPr>
        <w:pStyle w:val="ListBullet"/>
        <w:spacing w:before="0" w:after="60" w:line="300" w:lineRule="auto"/>
        <w:ind w:left="283" w:firstLine="0"/>
      </w:pPr>
      <w:r>
        <w:rPr>
          <w:rFonts w:ascii="Noto Sans CJK SC" w:hAnsi="Noto Sans CJK SC" w:eastAsia="Noto Sans CJK SC"/>
          <w:b w:val="0"/>
          <w:i w:val="0"/>
          <w:sz w:val="20"/>
        </w:rPr>
        <w:t>以“最小权限与可追责”为第三原则：角色边界、租户边界、导出与追踪可见性必须成文，并能通过测试验证。</w:t>
      </w:r>
    </w:p>
    <w:p>
      <w:pPr>
        <w:pStyle w:val="ListBullet"/>
        <w:spacing w:before="0" w:after="60" w:line="300" w:lineRule="auto"/>
        <w:ind w:left="283" w:firstLine="0"/>
      </w:pPr>
      <w:r>
        <w:rPr>
          <w:rFonts w:ascii="Noto Sans CJK SC" w:hAnsi="Noto Sans CJK SC" w:eastAsia="Noto Sans CJK SC"/>
          <w:b w:val="0"/>
          <w:i w:val="0"/>
          <w:sz w:val="20"/>
        </w:rPr>
        <w:t>以“业务与治理闭环” 为第四原则：检测结论、稳定性报告、Langfuse 追踪、用户反馈、质量门禁和发布流程必须串成一条闭环。</w:t>
      </w:r>
    </w:p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1.3 适用范围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70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范围域</w:t>
            </w:r>
          </w:p>
        </w:tc>
        <w:tc>
          <w:tcPr>
            <w:tcW w:type="dxa" w:w="7143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纳入内容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租户与身份</w:t>
            </w:r>
          </w:p>
        </w:tc>
        <w:tc>
          <w:tcPr>
            <w:tcW w:type="dxa" w:w="7143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组织、用户、SSO、MFA、API Key、角色与权限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检测业务</w:t>
            </w:r>
          </w:p>
        </w:tc>
        <w:tc>
          <w:tcPr>
            <w:tcW w:type="dxa" w:w="7143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任务创建、图像上传、Agent 编排、结论生成、人工复核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质量与预警</w:t>
            </w:r>
          </w:p>
        </w:tc>
        <w:tc>
          <w:tcPr>
            <w:tcW w:type="dxa" w:w="7143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稳定性评分、风险分级、告警事件、根因分析、质量报告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平台治理</w:t>
            </w:r>
          </w:p>
        </w:tc>
        <w:tc>
          <w:tcPr>
            <w:tcW w:type="dxa" w:w="7143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多模型路由、Token 成本、GPU 监控、发布灰度、预算与熔断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LLMOps</w:t>
            </w:r>
          </w:p>
        </w:tc>
        <w:tc>
          <w:tcPr>
            <w:tcW w:type="dxa" w:w="7143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Langfuse Trace/Span/Generation/Score、反馈闭环、Hard Case 入库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分析审计</w:t>
            </w:r>
          </w:p>
        </w:tc>
        <w:tc>
          <w:tcPr>
            <w:tcW w:type="dxa" w:w="7143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统计分析、导出、审计日志、可观测栈、运维监控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1.4 非目标</w:t>
      </w:r>
    </w:p>
    <w:p>
      <w:pPr>
        <w:pStyle w:val="ListBullet"/>
        <w:spacing w:before="0" w:after="60" w:line="300" w:lineRule="auto"/>
        <w:ind w:left="283" w:firstLine="0"/>
      </w:pPr>
      <w:r>
        <w:rPr>
          <w:rFonts w:ascii="Noto Sans CJK SC" w:hAnsi="Noto Sans CJK SC" w:eastAsia="Noto Sans CJK SC"/>
          <w:b w:val="0"/>
          <w:i w:val="0"/>
          <w:sz w:val="20"/>
        </w:rPr>
        <w:t>不在 MySQL 中存储向量嵌入；向量检索仍由 Milvus 负责。</w:t>
      </w:r>
    </w:p>
    <w:p>
      <w:pPr>
        <w:pStyle w:val="ListBullet"/>
        <w:spacing w:before="0" w:after="60" w:line="300" w:lineRule="auto"/>
        <w:ind w:left="283" w:firstLine="0"/>
      </w:pPr>
      <w:r>
        <w:rPr>
          <w:rFonts w:ascii="Noto Sans CJK SC" w:hAnsi="Noto Sans CJK SC" w:eastAsia="Noto Sans CJK SC"/>
          <w:b w:val="0"/>
          <w:i w:val="0"/>
          <w:sz w:val="20"/>
        </w:rPr>
        <w:t>v1.1 不以 WebSocket 作为主实时协议；统一以 SSE 为准，WebSocket 作为后续选项。</w:t>
      </w:r>
    </w:p>
    <w:p>
      <w:pPr>
        <w:pStyle w:val="ListBullet"/>
        <w:spacing w:before="0" w:after="60" w:line="300" w:lineRule="auto"/>
        <w:ind w:left="283" w:firstLine="0"/>
      </w:pPr>
      <w:r>
        <w:rPr>
          <w:rFonts w:ascii="Noto Sans CJK SC" w:hAnsi="Noto Sans CJK SC" w:eastAsia="Noto Sans CJK SC"/>
          <w:b w:val="0"/>
          <w:i w:val="0"/>
          <w:sz w:val="20"/>
        </w:rPr>
        <w:t>平台不承担基础模型训练职责，仅治理推理调用、提示词、工作流与评估闭环。</w:t>
      </w:r>
    </w:p>
    <w:p>
      <w:pPr>
        <w:pStyle w:val="ListBullet"/>
        <w:spacing w:before="0" w:after="60" w:line="300" w:lineRule="auto"/>
        <w:ind w:left="283" w:firstLine="0"/>
      </w:pPr>
      <w:r>
        <w:rPr>
          <w:rFonts w:ascii="Noto Sans CJK SC" w:hAnsi="Noto Sans CJK SC" w:eastAsia="Noto Sans CJK SC"/>
          <w:b w:val="0"/>
          <w:i w:val="0"/>
          <w:sz w:val="20"/>
        </w:rPr>
        <w:t>生产环境不允许无租户过滤的直接 Langfuse UI 暴露；必须通过代理、SSO 与脱敏策略访问。</w:t>
      </w:r>
    </w:p>
    <w:p>
      <w:pPr>
        <w:pStyle w:val="Heading1"/>
        <w:spacing w:before="240" w:after="120" w:line="276" w:lineRule="auto"/>
      </w:pPr>
      <w:r>
        <w:rPr>
          <w:rFonts w:ascii="Noto Serif CJK SC" w:hAnsi="Noto Serif CJK SC" w:eastAsia="Noto Serif CJK SC"/>
          <w:b/>
          <w:i w:val="0"/>
          <w:color w:val="123B5A"/>
          <w:sz w:val="31"/>
        </w:rPr>
        <w:t>2. 项目目标与业务范围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平台面向制造业质检场景，目标是把多模态模型、检索式知识库、工具调用与人工复核能力组织成一条可观测、可干预、可审计、可治理的智能检测链路。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从业务视角看，平台要完成“任务接入 → Agent 检测 → 结论输出 → 风险评估 → 预警处置 → 人工反馈 → 质量复盘 → 模型治理”的全流程。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D7E7F5"/>
            <w:tcMar>
              <w:top w:w="90" w:type="dxa"/>
              <w:start w:w="140" w:type="dxa"/>
              <w:bottom w:w="90" w:type="dxa"/>
              <w:end w:w="140" w:type="dxa"/>
            </w:tcMar>
            <w:tcBorders>
              <w:left w:val="single" w:sz="12" w:color="8AB661"/>
              <w:top w:val="single" w:sz="12" w:color="8AB661"/>
              <w:right w:val="single" w:sz="12" w:color="8AB661"/>
              <w:bottom w:val="single" w:sz="12" w:color="8AB661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6334C"/>
                <w:sz w:val="20"/>
              </w:rPr>
              <w:t>本版目标边界</w:t>
            </w:r>
          </w:p>
        </w:tc>
      </w:tr>
      <w:tr>
        <w:tc>
          <w:tcPr>
            <w:tcW w:type="dxa" w:w="9752"/>
            <w:shd w:fill="F4F9F2"/>
            <w:tcMar>
              <w:top w:w="90" w:type="dxa"/>
              <w:start w:w="140" w:type="dxa"/>
              <w:bottom w:w="90" w:type="dxa"/>
              <w:end w:w="140" w:type="dxa"/>
            </w:tcMar>
            <w:tcBorders>
              <w:left w:val="single" w:sz="12" w:color="8AB661"/>
              <w:top w:val="single" w:sz="12" w:color="8AB661"/>
              <w:right w:val="single" w:sz="12" w:color="8AB661"/>
              <w:bottom w:val="single" w:sz="12" w:color="8AB661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v1.1 既要让业务检测可用，也要让治理与 LLMOps 可落地。检测能力、稳定性评分、追踪链路、成本账单、质量门禁和回滚路径，缺一不可。</w:t>
            </w:r>
          </w:p>
        </w:tc>
      </w:tr>
    </w:tbl>
    <w:p>
      <w:pPr>
        <w:pStyle w:val="Heading1"/>
        <w:spacing w:before="240" w:after="120" w:line="276" w:lineRule="auto"/>
      </w:pPr>
      <w:r>
        <w:rPr>
          <w:rFonts w:ascii="Noto Serif CJK SC" w:hAnsi="Noto Serif CJK SC" w:eastAsia="Noto Serif CJK SC"/>
          <w:b/>
          <w:i w:val="0"/>
          <w:color w:val="123B5A"/>
          <w:sz w:val="31"/>
        </w:rPr>
        <w:t>3. 统一决策（冲突消解与新增约束）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原始文档之间存在若干会直接影响实施的硬冲突，例如 PostgreSQL 与 MySQL 的混用、RLS 与 Service 层隔离的冲突、SSE 与 WebSocket 的边界不清、角色数量与治理权限矩阵不一致等。本节给出统一决策。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850"/>
            <w:shd w:fill="123B5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835"/>
            <w:shd w:fill="123B5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统一决策</w:t>
            </w:r>
          </w:p>
        </w:tc>
        <w:tc>
          <w:tcPr>
            <w:tcW w:type="dxa" w:w="5726"/>
            <w:shd w:fill="123B5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影响与执行要求</w:t>
            </w:r>
          </w:p>
        </w:tc>
      </w:tr>
      <w:tr>
        <w:tc>
          <w:tcPr>
            <w:tcW w:type="dxa" w:w="85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U-01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关系型主存储统一为 MySQL 8.0.35 LTS / 8.4 LTS</w:t>
            </w:r>
          </w:p>
        </w:tc>
        <w:tc>
          <w:tcPr>
            <w:tcW w:type="dxa" w:w="572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废止任何 PostgreSQL/RLS 假设；相关描述全部以 SYS-002 的 MySQL 口径为准。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U-02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多租户隔离采用 Service 层注入 org_id + DB 视图二次保障</w:t>
            </w:r>
          </w:p>
        </w:tc>
        <w:tc>
          <w:tcPr>
            <w:tcW w:type="dxa" w:w="572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所有业务表强制包含 org_id；禁止遗漏租户过滤的 Repository 查询。</w:t>
            </w:r>
          </w:p>
        </w:tc>
      </w:tr>
      <w:tr>
        <w:tc>
          <w:tcPr>
            <w:tcW w:type="dxa" w:w="85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U-03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主键与时间统一为 UUIDv7(BINARY(16)) + DATETIME(3) UTC</w:t>
            </w:r>
          </w:p>
        </w:tc>
        <w:tc>
          <w:tcPr>
            <w:tcW w:type="dxa" w:w="572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API 层输出字符串 UUID；日志、审计、账单、Trace 均使用统一主键链。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U-04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实时协议统一为 SSE</w:t>
            </w:r>
          </w:p>
        </w:tc>
        <w:tc>
          <w:tcPr>
            <w:tcW w:type="dxa" w:w="572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任务进度、节点时间线、增量状态推送均走 SSE；WebSocket 不作为本版实现基线。</w:t>
            </w:r>
          </w:p>
        </w:tc>
      </w:tr>
      <w:tr>
        <w:tc>
          <w:tcPr>
            <w:tcW w:type="dxa" w:w="85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U-05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SSE 鉴权禁止 Bearer Token 出现在 URL</w:t>
            </w:r>
          </w:p>
        </w:tc>
        <w:tc>
          <w:tcPr>
            <w:tcW w:type="dxa" w:w="572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改为短期 stream token 或 HttpOnly Cookie；前端 useSSE 先申请会话再建立 EventSource。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U-06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权限模型统一为“7 个控制台角色 + 1 个服务主体 api_service”</w:t>
            </w:r>
          </w:p>
        </w:tc>
        <w:tc>
          <w:tcPr>
            <w:tcW w:type="dxa" w:w="572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api_service 只用于机器对机器接口，不参与控制台路由和治理页授权。</w:t>
            </w:r>
          </w:p>
        </w:tc>
      </w:tr>
      <w:tr>
        <w:tc>
          <w:tcPr>
            <w:tcW w:type="dxa" w:w="85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U-07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platform_admin 只读系统/治理日志，不读取完整业务审计语料</w:t>
            </w:r>
          </w:p>
        </w:tc>
        <w:tc>
          <w:tcPr>
            <w:tcW w:type="dxa" w:w="572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完整审计日志的最终查看权保留给 auditor 与 super_admin，解决原文档边界冲突。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U-08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ModelGateway 查询默认模型时必须使用 (org_id IS NULL OR org_id = ?)</w:t>
            </w:r>
          </w:p>
        </w:tc>
        <w:tc>
          <w:tcPr>
            <w:tcW w:type="dxa" w:w="572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修正原变更集中 org_id IN (NULL, ?) 的 MySQL 语义错误。</w:t>
            </w:r>
          </w:p>
        </w:tc>
      </w:tr>
      <w:tr>
        <w:tc>
          <w:tcPr>
            <w:tcW w:type="dxa" w:w="85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U-09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token_usage_ledger 必须具备分区自动维护与幂等写入机制</w:t>
            </w:r>
          </w:p>
        </w:tc>
        <w:tc>
          <w:tcPr>
            <w:tcW w:type="dxa" w:w="572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增加 idempotency_key / source_call_id 语义，避免重试导致重复计费。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U-10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治理层必须升级为控制面：发布审批、灰度、回滚、预算、熔断</w:t>
            </w:r>
          </w:p>
        </w:tc>
        <w:tc>
          <w:tcPr>
            <w:tcW w:type="dxa" w:w="572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model_configs 仅为运行配置，不足以支撑生产发布治理，需新增发布实体。</w:t>
            </w:r>
          </w:p>
        </w:tc>
      </w:tr>
      <w:tr>
        <w:tc>
          <w:tcPr>
            <w:tcW w:type="dxa" w:w="85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U-11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Langfuse 生产环境默认私有化部署</w:t>
            </w:r>
          </w:p>
        </w:tc>
        <w:tc>
          <w:tcPr>
            <w:tcW w:type="dxa" w:w="572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仅开发/测试可使用 Cloud；Trace 导出与原文查看必须经过脱敏与审计。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U-12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“物理幻觉”纳入领域化分类与门禁</w:t>
            </w:r>
          </w:p>
        </w:tc>
        <w:tc>
          <w:tcPr>
            <w:tcW w:type="dxa" w:w="572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新增尺寸/公差、单位换算、材料属性、工艺顺序、标准误引、视觉误检/漏检等标签。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D7E7F5"/>
            <w:tcMar>
              <w:top w:w="90" w:type="dxa"/>
              <w:start w:w="140" w:type="dxa"/>
              <w:bottom w:w="90" w:type="dxa"/>
              <w:end w:w="140" w:type="dxa"/>
            </w:tcMar>
            <w:tcBorders>
              <w:left w:val="single" w:sz="12" w:color="E6A23C"/>
              <w:top w:val="single" w:sz="12" w:color="E6A23C"/>
              <w:right w:val="single" w:sz="12" w:color="E6A23C"/>
              <w:bottom w:val="single" w:sz="12" w:color="E6A23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6334C"/>
                <w:sz w:val="20"/>
              </w:rPr>
              <w:t>必须执行</w:t>
            </w:r>
          </w:p>
        </w:tc>
      </w:tr>
      <w:tr>
        <w:tc>
          <w:tcPr>
            <w:tcW w:type="dxa" w:w="9752"/>
            <w:shd w:fill="FFF5E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left w:val="single" w:sz="12" w:color="E6A23C"/>
              <w:top w:val="single" w:sz="12" w:color="E6A23C"/>
              <w:right w:val="single" w:sz="12" w:color="E6A23C"/>
              <w:bottom w:val="single" w:sz="12" w:color="E6A23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实现、测试、评审与上线流程必须以本节决策为前置条件。任何与这些决策相抵触的代码、DDL、路由配置或页面权限，均视为不符合 v1.1 基线。</w:t>
            </w:r>
          </w:p>
        </w:tc>
      </w:tr>
    </w:tbl>
    <w:p>
      <w:pPr>
        <w:pStyle w:val="Heading1"/>
        <w:spacing w:before="240" w:after="120" w:line="276" w:lineRule="auto"/>
      </w:pPr>
      <w:r>
        <w:rPr>
          <w:rFonts w:ascii="Noto Serif CJK SC" w:hAnsi="Noto Serif CJK SC" w:eastAsia="Noto Serif CJK SC"/>
          <w:b/>
          <w:i w:val="0"/>
          <w:color w:val="123B5A"/>
          <w:sz w:val="31"/>
        </w:rPr>
        <w:t>4. 角色与权限模型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权限模型统一为“7 个控制台角色 + 1 个服务主体 api_service”。其中，api_service 是服务身份，不属于人工控制台角色，也不参与治理页面授权。</w:t>
      </w:r>
    </w:p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4.1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304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标识符</w:t>
            </w:r>
          </w:p>
        </w:tc>
        <w:tc>
          <w:tcPr>
            <w:tcW w:type="dxa" w:w="119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36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作用域</w:t>
            </w:r>
          </w:p>
        </w:tc>
        <w:tc>
          <w:tcPr>
            <w:tcW w:type="dxa" w:w="1020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控制台登录</w:t>
            </w:r>
          </w:p>
        </w:tc>
        <w:tc>
          <w:tcPr>
            <w:tcW w:type="dxa" w:w="4535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30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super_admin</w:t>
            </w:r>
          </w:p>
        </w:tc>
        <w:tc>
          <w:tcPr>
            <w:tcW w:type="dxa" w:w="119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人工角色</w:t>
            </w:r>
          </w:p>
        </w:tc>
        <w:tc>
          <w:tcPr>
            <w:tcW w:type="dxa" w:w="136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全平台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45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系统最高权限；含全局配置、审计、治理与发布兜底。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platform_admin</w:t>
            </w:r>
          </w:p>
        </w:tc>
        <w:tc>
          <w:tcPr>
            <w:tcW w:type="dxa" w:w="119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人工角色</w:t>
            </w:r>
          </w:p>
        </w:tc>
        <w:tc>
          <w:tcPr>
            <w:tcW w:type="dxa" w:w="136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跨租户治理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45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管理模型配置、Token 成本、GPU 与发布控制面；不读取用户与结论明文。</w:t>
            </w:r>
          </w:p>
        </w:tc>
      </w:tr>
      <w:tr>
        <w:tc>
          <w:tcPr>
            <w:tcW w:type="dxa" w:w="130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org_admin</w:t>
            </w:r>
          </w:p>
        </w:tc>
        <w:tc>
          <w:tcPr>
            <w:tcW w:type="dxa" w:w="119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人工角色</w:t>
            </w:r>
          </w:p>
        </w:tc>
        <w:tc>
          <w:tcPr>
            <w:tcW w:type="dxa" w:w="136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租户内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45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租户用户、任务、组织设置、租户级账单只读。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inspector</w:t>
            </w:r>
          </w:p>
        </w:tc>
        <w:tc>
          <w:tcPr>
            <w:tcW w:type="dxa" w:w="119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人工角色</w:t>
            </w:r>
          </w:p>
        </w:tc>
        <w:tc>
          <w:tcPr>
            <w:tcW w:type="dxa" w:w="136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租户内/自有任务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45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提交检测、查看结论、处理自有关联预警、提交反馈。</w:t>
            </w:r>
          </w:p>
        </w:tc>
      </w:tr>
      <w:tr>
        <w:tc>
          <w:tcPr>
            <w:tcW w:type="dxa" w:w="130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ai_quality</w:t>
            </w:r>
          </w:p>
        </w:tc>
        <w:tc>
          <w:tcPr>
            <w:tcW w:type="dxa" w:w="119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人工角色</w:t>
            </w:r>
          </w:p>
        </w:tc>
        <w:tc>
          <w:tcPr>
            <w:tcW w:type="dxa" w:w="136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租户内质量域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45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查看 Trace、管理反馈、生成质量报告、触发质量门禁。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analyst</w:t>
            </w:r>
          </w:p>
        </w:tc>
        <w:tc>
          <w:tcPr>
            <w:tcW w:type="dxa" w:w="119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人工角色</w:t>
            </w:r>
          </w:p>
        </w:tc>
        <w:tc>
          <w:tcPr>
            <w:tcW w:type="dxa" w:w="136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租户内分析域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45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只读趋势分析、报表、质量摘要。</w:t>
            </w:r>
          </w:p>
        </w:tc>
      </w:tr>
      <w:tr>
        <w:tc>
          <w:tcPr>
            <w:tcW w:type="dxa" w:w="130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119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人工角色</w:t>
            </w:r>
          </w:p>
        </w:tc>
        <w:tc>
          <w:tcPr>
            <w:tcW w:type="dxa" w:w="136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审计域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45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只读审计日志与关键治理报告；不可变更任何运行配置。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api_service</w:t>
            </w:r>
          </w:p>
        </w:tc>
        <w:tc>
          <w:tcPr>
            <w:tcW w:type="dxa" w:w="119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服务主体</w:t>
            </w:r>
          </w:p>
        </w:tc>
        <w:tc>
          <w:tcPr>
            <w:tcW w:type="dxa" w:w="136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按签发组织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45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通过 API Key 调用受限开放接口，具备独立配额、审计与吊销机制。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4.2 业务资源权限矩阵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标记说明：CRUD=可创建/读取/更新/删除；RU=只读+更新；R=只读；“本租”=租户范围；“自有”=资源 owner 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rPr>
          <w:tblHeader w:val="true"/>
        </w:trPr>
        <w:tc>
          <w:tcPr>
            <w:tcW w:type="dxa" w:w="1304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资源</w:t>
            </w:r>
          </w:p>
        </w:tc>
        <w:tc>
          <w:tcPr>
            <w:tcW w:type="dxa" w:w="1020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super_admin</w:t>
            </w:r>
          </w:p>
        </w:tc>
        <w:tc>
          <w:tcPr>
            <w:tcW w:type="dxa" w:w="1077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platform_admin</w:t>
            </w:r>
          </w:p>
        </w:tc>
        <w:tc>
          <w:tcPr>
            <w:tcW w:type="dxa" w:w="1077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org_admin</w:t>
            </w:r>
          </w:p>
        </w:tc>
        <w:tc>
          <w:tcPr>
            <w:tcW w:type="dxa" w:w="1077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inspector</w:t>
            </w:r>
          </w:p>
        </w:tc>
        <w:tc>
          <w:tcPr>
            <w:tcW w:type="dxa" w:w="1077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ai_quality</w:t>
            </w:r>
          </w:p>
        </w:tc>
        <w:tc>
          <w:tcPr>
            <w:tcW w:type="dxa" w:w="1020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analyst</w:t>
            </w:r>
          </w:p>
        </w:tc>
        <w:tc>
          <w:tcPr>
            <w:tcW w:type="dxa" w:w="1020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auditor</w:t>
            </w:r>
          </w:p>
        </w:tc>
      </w:tr>
      <w:tr>
        <w:tc>
          <w:tcPr>
            <w:tcW w:type="dxa" w:w="130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用户管理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CRUD（本租）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仅自身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R（审计）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检测任务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CRUD（自有）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</w:tr>
      <w:tr>
        <w:tc>
          <w:tcPr>
            <w:tcW w:type="dxa" w:w="130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检测结论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RU（自有）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稳定性报告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R（本租）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R（自有）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</w:tr>
      <w:tr>
        <w:tc>
          <w:tcPr>
            <w:tcW w:type="dxa" w:w="130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预警事件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CRUD（本租）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工具注册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R/激活（本租）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</w:tr>
      <w:tr>
        <w:tc>
          <w:tcPr>
            <w:tcW w:type="dxa" w:w="130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统计分析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R（平台态）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R（本租）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审计日志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R（系统/治理切片）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R（本租关键事件）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R（质量切片）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R（全量）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4.3 治理资源权限矩阵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rPr>
          <w:tblHeader w:val="true"/>
        </w:trPr>
        <w:tc>
          <w:tcPr>
            <w:tcW w:type="dxa" w:w="1304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资源</w:t>
            </w:r>
          </w:p>
        </w:tc>
        <w:tc>
          <w:tcPr>
            <w:tcW w:type="dxa" w:w="1020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super_admin</w:t>
            </w:r>
          </w:p>
        </w:tc>
        <w:tc>
          <w:tcPr>
            <w:tcW w:type="dxa" w:w="1077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platform_admin</w:t>
            </w:r>
          </w:p>
        </w:tc>
        <w:tc>
          <w:tcPr>
            <w:tcW w:type="dxa" w:w="1077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org_admin</w:t>
            </w:r>
          </w:p>
        </w:tc>
        <w:tc>
          <w:tcPr>
            <w:tcW w:type="dxa" w:w="1077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inspector</w:t>
            </w:r>
          </w:p>
        </w:tc>
        <w:tc>
          <w:tcPr>
            <w:tcW w:type="dxa" w:w="1077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ai_quality</w:t>
            </w:r>
          </w:p>
        </w:tc>
        <w:tc>
          <w:tcPr>
            <w:tcW w:type="dxa" w:w="1020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analyst</w:t>
            </w:r>
          </w:p>
        </w:tc>
        <w:tc>
          <w:tcPr>
            <w:tcW w:type="dxa" w:w="1020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auditor</w:t>
            </w:r>
          </w:p>
        </w:tc>
      </w:tr>
      <w:tr>
        <w:tc>
          <w:tcPr>
            <w:tcW w:type="dxa" w:w="130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模型配置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R（本租可见）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模型发布单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R（本租）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R（评审）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</w:tr>
      <w:tr>
        <w:tc>
          <w:tcPr>
            <w:tcW w:type="dxa" w:w="130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Token 台账 / 账单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R（本租）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R（质量分析）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GPU 监控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30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用户反馈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R（本租汇总）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CRUD（自有）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Langfuse 追踪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R（平台摘要）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R（本租摘要）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R（自有只读）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R（审计只读）</w:t>
            </w:r>
          </w:p>
        </w:tc>
      </w:tr>
      <w:tr>
        <w:tc>
          <w:tcPr>
            <w:tcW w:type="dxa" w:w="130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质量报告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R（本租）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7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预算/熔断策略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CRUD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R（本租）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7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4.4 服务主体（api_service）权限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417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type="dxa" w:w="2324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接口范围</w:t>
            </w:r>
          </w:p>
        </w:tc>
        <w:tc>
          <w:tcPr>
            <w:tcW w:type="dxa" w:w="1020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是否允许</w:t>
            </w:r>
          </w:p>
        </w:tc>
        <w:tc>
          <w:tcPr>
            <w:tcW w:type="dxa" w:w="4535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执行要求</w:t>
            </w:r>
          </w:p>
        </w:tc>
      </w:tr>
      <w:tr>
        <w:tc>
          <w:tcPr>
            <w:tcW w:type="dxa" w:w="141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任务提交</w:t>
            </w:r>
          </w:p>
        </w:tc>
        <w:tc>
          <w:tcPr>
            <w:tcW w:type="dxa" w:w="232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POST /api/v1/tasks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允许</w:t>
            </w:r>
          </w:p>
        </w:tc>
        <w:tc>
          <w:tcPr>
            <w:tcW w:type="dxa" w:w="45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按 API Key 绑定 org_id 与配额；不允许跨租户。</w:t>
            </w:r>
          </w:p>
        </w:tc>
      </w:tr>
      <w:tr>
        <w:tc>
          <w:tcPr>
            <w:tcW w:type="dxa" w:w="141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任务状态查询</w:t>
            </w:r>
          </w:p>
        </w:tc>
        <w:tc>
          <w:tcPr>
            <w:tcW w:type="dxa" w:w="232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 /api/v1/tasks/{id}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允许</w:t>
            </w:r>
          </w:p>
        </w:tc>
        <w:tc>
          <w:tcPr>
            <w:tcW w:type="dxa" w:w="45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仅可访问本 API Key 创建或授权范围内的任务。</w:t>
            </w:r>
          </w:p>
        </w:tc>
      </w:tr>
      <w:tr>
        <w:tc>
          <w:tcPr>
            <w:tcW w:type="dxa" w:w="141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结果查询</w:t>
            </w:r>
          </w:p>
        </w:tc>
        <w:tc>
          <w:tcPr>
            <w:tcW w:type="dxa" w:w="232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GET /api/v1/results/{id}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允许</w:t>
            </w:r>
          </w:p>
        </w:tc>
        <w:tc>
          <w:tcPr>
            <w:tcW w:type="dxa" w:w="45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按资源授权控制；默认只读。</w:t>
            </w:r>
          </w:p>
        </w:tc>
      </w:tr>
      <w:tr>
        <w:tc>
          <w:tcPr>
            <w:tcW w:type="dxa" w:w="141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治理控制台</w:t>
            </w:r>
          </w:p>
        </w:tc>
        <w:tc>
          <w:tcPr>
            <w:tcW w:type="dxa" w:w="232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UI / 管理路由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禁止</w:t>
            </w:r>
          </w:p>
        </w:tc>
        <w:tc>
          <w:tcPr>
            <w:tcW w:type="dxa" w:w="45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api_service 无控制台登录能力。</w:t>
            </w:r>
          </w:p>
        </w:tc>
      </w:tr>
      <w:tr>
        <w:tc>
          <w:tcPr>
            <w:tcW w:type="dxa" w:w="141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模型配置与账单</w:t>
            </w:r>
          </w:p>
        </w:tc>
        <w:tc>
          <w:tcPr>
            <w:tcW w:type="dxa" w:w="232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治理 API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禁止</w:t>
            </w:r>
          </w:p>
        </w:tc>
        <w:tc>
          <w:tcPr>
            <w:tcW w:type="dxa" w:w="45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仅人工治理角色可访问。</w:t>
            </w:r>
          </w:p>
        </w:tc>
      </w:tr>
    </w:tbl>
    <w:p>
      <w:pPr>
        <w:pStyle w:val="Heading1"/>
        <w:spacing w:before="240" w:after="120" w:line="276" w:lineRule="auto"/>
      </w:pPr>
      <w:r>
        <w:rPr>
          <w:rFonts w:ascii="Noto Serif CJK SC" w:hAnsi="Noto Serif CJK SC" w:eastAsia="Noto Serif CJK SC"/>
          <w:b/>
          <w:i w:val="0"/>
          <w:color w:val="123B5A"/>
          <w:sz w:val="31"/>
        </w:rPr>
        <w:t>5. 系统总体架构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平台采用五层解耦架构，但在 v1.1 中对 L2/L1 补入治理控制面，使平台既能完成检测业务，也能完成模型治理、成本归因与质量监管。</w:t>
      </w:r>
    </w:p>
    <w:p>
      <w:r>
        <w:drawing>
          <wp:inline xmlns:a="http://schemas.openxmlformats.org/drawingml/2006/main" xmlns:pic="http://schemas.openxmlformats.org/drawingml/2006/picture">
            <wp:extent cx="5940000" cy="408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unifi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Noto Serif CJK SC" w:hAnsi="Noto Serif CJK SC" w:eastAsia="Noto Serif CJK SC"/>
          <w:b w:val="0"/>
          <w:i/>
          <w:color w:val="506580"/>
          <w:sz w:val="18"/>
        </w:rPr>
        <w:t>图 1  统一架构总览</w:t>
      </w:r>
    </w:p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5.1 分层架构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737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153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名称</w:t>
            </w:r>
          </w:p>
        </w:tc>
        <w:tc>
          <w:tcPr>
            <w:tcW w:type="dxa" w:w="3402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核心组件</w:t>
            </w:r>
          </w:p>
        </w:tc>
        <w:tc>
          <w:tcPr>
            <w:tcW w:type="dxa" w:w="3969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73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L5</w:t>
            </w:r>
          </w:p>
        </w:tc>
        <w:tc>
          <w:tcPr>
            <w:tcW w:type="dxa" w:w="153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呈现层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Vue 3 SPA、业务页、治理页、质量页</w:t>
            </w:r>
          </w:p>
        </w:tc>
        <w:tc>
          <w:tcPr>
            <w:tcW w:type="dxa" w:w="396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提供业务操作、可视化、反馈与治理控制台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L4</w:t>
            </w:r>
          </w:p>
        </w:tc>
        <w:tc>
          <w:tcPr>
            <w:tcW w:type="dxa" w:w="153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API 网关层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FastAPI、JWT/RBAC、限流器、SSE、Langfuse Proxy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统一鉴权、路由分发、标准响应、流式事件出口</w:t>
            </w:r>
          </w:p>
        </w:tc>
      </w:tr>
      <w:tr>
        <w:tc>
          <w:tcPr>
            <w:tcW w:type="dxa" w:w="73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L3</w:t>
            </w:r>
          </w:p>
        </w:tc>
        <w:tc>
          <w:tcPr>
            <w:tcW w:type="dxa" w:w="153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业务编排层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LangGraph、Session、Workflow Versioning、任务服务</w:t>
            </w:r>
          </w:p>
        </w:tc>
        <w:tc>
          <w:tcPr>
            <w:tcW w:type="dxa" w:w="396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组织节点执行、持久化状态、协调工具调用与治理决策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L2</w:t>
            </w:r>
          </w:p>
        </w:tc>
        <w:tc>
          <w:tcPr>
            <w:tcW w:type="dxa" w:w="153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能力服务层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LLM/VLM、RAG、稳定性分析器、ModelGateway、LangfuseTracer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完成推理、检索、评分、计费、质量追踪</w:t>
            </w:r>
          </w:p>
        </w:tc>
      </w:tr>
      <w:tr>
        <w:tc>
          <w:tcPr>
            <w:tcW w:type="dxa" w:w="73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L1</w:t>
            </w:r>
          </w:p>
        </w:tc>
        <w:tc>
          <w:tcPr>
            <w:tcW w:type="dxa" w:w="153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数据与控制层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MySQL、piap_audit、Milvus、MinIO、Redis、Prometheus/Loki/Tempo/Langfuse</w:t>
            </w:r>
          </w:p>
        </w:tc>
        <w:tc>
          <w:tcPr>
            <w:tcW w:type="dxa" w:w="396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提供权威数据、缓存、对象存储、追踪与运维控制面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5.2 核心数据流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680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type="dxa" w:w="170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7257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68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前端提交检测任务</w:t>
            </w:r>
          </w:p>
        </w:tc>
        <w:tc>
          <w:tcPr>
            <w:tcW w:type="dxa" w:w="725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创建 inspection_tasks，写入 org_id / created_by / metadata，返回 task_id + request_id。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编排层拉起 LangGraph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planner → vision → knowledge → reasoning → finalizer，节点级 Span 全量追踪。</w:t>
            </w:r>
          </w:p>
        </w:tc>
      </w:tr>
      <w:tr>
        <w:tc>
          <w:tcPr>
            <w:tcW w:type="dxa" w:w="68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ModelGateway 选择模型</w:t>
            </w:r>
          </w:p>
        </w:tc>
        <w:tc>
          <w:tcPr>
            <w:tcW w:type="dxa" w:w="725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优先租户私有配置，再回落全局配置；检查 priority、rpm/tpm、health_status、预算策略。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生成结果并回写数据库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写入 inspection_results 与 tool_executions；必要时追加 review 阶段。</w:t>
            </w:r>
          </w:p>
        </w:tc>
      </w:tr>
      <w:tr>
        <w:tc>
          <w:tcPr>
            <w:tcW w:type="dxa" w:w="68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稳定性分析与告警</w:t>
            </w:r>
          </w:p>
        </w:tc>
        <w:tc>
          <w:tcPr>
            <w:tcW w:type="dxa" w:w="725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生成 stability_reports，达到阈值则创建 alert_events 并触发通知。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Token 与成本落账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写入 token_usage_ledger，并与 Langfuse Generation / Trace 建立关联。</w:t>
            </w:r>
          </w:p>
        </w:tc>
      </w:tr>
      <w:tr>
        <w:tc>
          <w:tcPr>
            <w:tcW w:type="dxa" w:w="68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用户反馈闭环</w:t>
            </w:r>
          </w:p>
        </w:tc>
        <w:tc>
          <w:tcPr>
            <w:tcW w:type="dxa" w:w="725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ResultDetailView 内嵌 FeedbackWidget → result_feedbacks → Langfuse Score → 质量报表。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报表与门禁</w:t>
            </w:r>
          </w:p>
        </w:tc>
        <w:tc>
          <w:tcPr>
            <w:tcW w:type="dxa" w:w="725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QualityReport 汇总 Accuracy / Hallucination / Faithfulness / 点踩率，驱动发布门禁与回滚。</w:t>
            </w:r>
          </w:p>
        </w:tc>
      </w:tr>
    </w:tbl>
    <w:p>
      <w:pPr>
        <w:pStyle w:val="Heading1"/>
        <w:spacing w:before="240" w:after="120" w:line="276" w:lineRule="auto"/>
      </w:pPr>
      <w:r>
        <w:rPr>
          <w:rFonts w:ascii="Noto Serif CJK SC" w:hAnsi="Noto Serif CJK SC" w:eastAsia="Noto Serif CJK SC"/>
          <w:b/>
          <w:i w:val="0"/>
          <w:color w:val="123B5A"/>
          <w:sz w:val="31"/>
        </w:rPr>
        <w:t>6. 后端工程架构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后端以 Python + FastAPI 为核心，采用 DDD 分层组织：路由层只负责编排 HTTP 契约，业务逻辑集中在 Service，数据访问集中在 Repository，Agent 运行时通过独立图层管理。</w:t>
      </w:r>
    </w:p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6.1 顶层目录与职责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顶层目录</w:t>
            </w:r>
          </w:p>
        </w:tc>
        <w:tc>
          <w:tcPr>
            <w:tcW w:type="dxa" w:w="170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领域</w:t>
            </w:r>
          </w:p>
        </w:tc>
        <w:tc>
          <w:tcPr>
            <w:tcW w:type="dxa" w:w="5556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核心内容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app/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应用主体</w:t>
            </w:r>
          </w:p>
        </w:tc>
        <w:tc>
          <w:tcPr>
            <w:tcW w:type="dxa" w:w="555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API 路由、Schema、服务、Repository、权限、业务基类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infra/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基础设施</w:t>
            </w:r>
          </w:p>
        </w:tc>
        <w:tc>
          <w:tcPr>
            <w:tcW w:type="dxa" w:w="555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数据库、缓存、对象存储、消息队列、Prometheus/监控客户端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agent/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Agent 系统</w:t>
            </w:r>
          </w:p>
        </w:tc>
        <w:tc>
          <w:tcPr>
            <w:tcW w:type="dxa" w:w="555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LangGraph、工具注册、RAG、LLM、稳定性分析、Langfuse 追踪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worker/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异步任务</w:t>
            </w:r>
          </w:p>
        </w:tc>
        <w:tc>
          <w:tcPr>
            <w:tcW w:type="dxa" w:w="555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健康探活、补录任务、Outbox、告警分发、定时作业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tests/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测试体系</w:t>
            </w:r>
          </w:p>
        </w:tc>
        <w:tc>
          <w:tcPr>
            <w:tcW w:type="dxa" w:w="555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单元、集成、E2E、AI 质量与治理专项测试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ops/ &amp; scripts/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运维工具</w:t>
            </w:r>
          </w:p>
        </w:tc>
        <w:tc>
          <w:tcPr>
            <w:tcW w:type="dxa" w:w="555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Alembic、K8s、监控规则、回滚脚本、分区维护任务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6.2 依赖规则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55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依赖规则</w:t>
            </w:r>
          </w:p>
        </w:tc>
        <w:tc>
          <w:tcPr>
            <w:tcW w:type="dxa" w:w="6406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约束说明</w:t>
            </w:r>
          </w:p>
        </w:tc>
      </w:tr>
      <w:tr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app/api → app/services</w:t>
            </w:r>
          </w:p>
        </w:tc>
        <w:tc>
          <w:tcPr>
            <w:tcW w:type="dxa" w:w="640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路由层只调用 Service，不直接访问 ORM / Repository。</w:t>
            </w:r>
          </w:p>
        </w:tc>
      </w:tr>
      <w:tr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app/services → app/repositories / infra</w:t>
            </w:r>
          </w:p>
        </w:tc>
        <w:tc>
          <w:tcPr>
            <w:tcW w:type="dxa" w:w="640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业务逻辑集中在 Service；租户过滤与事务边界在 Service 内可见。</w:t>
            </w:r>
          </w:p>
        </w:tc>
      </w:tr>
      <w:tr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app/repositories → app/models</w:t>
            </w:r>
          </w:p>
        </w:tc>
        <w:tc>
          <w:tcPr>
            <w:tcW w:type="dxa" w:w="640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Repository 只做数据访问与查询拼装，不承载业务决策。</w:t>
            </w:r>
          </w:p>
        </w:tc>
      </w:tr>
      <w:tr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agent/graph → agent/tools / agent/llm / agent/rag</w:t>
            </w:r>
          </w:p>
        </w:tc>
        <w:tc>
          <w:tcPr>
            <w:tcW w:type="dxa" w:w="640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图节点通过统一工具/模型抽象层访问外部能力。</w:t>
            </w:r>
          </w:p>
        </w:tc>
      </w:tr>
      <w:tr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worker/tasks → app/services / agent</w:t>
            </w:r>
          </w:p>
        </w:tc>
        <w:tc>
          <w:tcPr>
            <w:tcW w:type="dxa" w:w="640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后台任务负责补录、探活、对账、批量质量作业，不重复实现业务规则。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6.3 关键治理增量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948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文件/模块</w:t>
            </w:r>
          </w:p>
        </w:tc>
        <w:tc>
          <w:tcPr>
            <w:tcW w:type="dxa" w:w="6009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94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agent/llm/client_legacy.py</w:t>
            </w:r>
          </w:p>
        </w:tc>
        <w:tc>
          <w:tcPr>
            <w:tcW w:type="dxa" w:w="600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保留旧单模型客户端用于回滚窗口，不再作为默认入口。</w:t>
            </w:r>
          </w:p>
        </w:tc>
      </w:tr>
      <w:tr>
        <w:tc>
          <w:tcPr>
            <w:tcW w:type="dxa" w:w="294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agent/llm/gateway.py</w:t>
            </w:r>
          </w:p>
        </w:tc>
        <w:tc>
          <w:tcPr>
            <w:tcW w:type="dxa" w:w="600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统一模型路由、计费落账、Generation 追踪与降级切流。</w:t>
            </w:r>
          </w:p>
        </w:tc>
      </w:tr>
      <w:tr>
        <w:tc>
          <w:tcPr>
            <w:tcW w:type="dxa" w:w="294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agent/llm/model_selector.py</w:t>
            </w:r>
          </w:p>
        </w:tc>
        <w:tc>
          <w:tcPr>
            <w:tcW w:type="dxa" w:w="600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实现 priority + rate limit + health + budget 的选模策略。</w:t>
            </w:r>
          </w:p>
        </w:tc>
      </w:tr>
      <w:tr>
        <w:tc>
          <w:tcPr>
            <w:tcW w:type="dxa" w:w="294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agent/llm/health_checker.py</w:t>
            </w:r>
          </w:p>
        </w:tc>
        <w:tc>
          <w:tcPr>
            <w:tcW w:type="dxa" w:w="600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定时探活模型 API，回写 model_configs.health_status。</w:t>
            </w:r>
          </w:p>
        </w:tc>
      </w:tr>
      <w:tr>
        <w:tc>
          <w:tcPr>
            <w:tcW w:type="dxa" w:w="294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agent/llm/langfuse_tracer.py</w:t>
            </w:r>
          </w:p>
        </w:tc>
        <w:tc>
          <w:tcPr>
            <w:tcW w:type="dxa" w:w="600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注入 Trace / Span / Score 工厂与上下文更新。</w:t>
            </w:r>
          </w:p>
        </w:tc>
      </w:tr>
      <w:tr>
        <w:tc>
          <w:tcPr>
            <w:tcW w:type="dxa" w:w="294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app/services/model_release_service.py（新增）</w:t>
            </w:r>
          </w:p>
        </w:tc>
        <w:tc>
          <w:tcPr>
            <w:tcW w:type="dxa" w:w="600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负责发布单、灰度策略、审批流、自动回滚执行。</w:t>
            </w:r>
          </w:p>
        </w:tc>
      </w:tr>
      <w:tr>
        <w:tc>
          <w:tcPr>
            <w:tcW w:type="dxa" w:w="294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app/services/budget_policy_service.py（新增）</w:t>
            </w:r>
          </w:p>
        </w:tc>
        <w:tc>
          <w:tcPr>
            <w:tcW w:type="dxa" w:w="600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负责租户预算、模型预算、超额熔断与通知。</w:t>
            </w:r>
          </w:p>
        </w:tc>
      </w:tr>
      <w:tr>
        <w:tc>
          <w:tcPr>
            <w:tcW w:type="dxa" w:w="294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worker/tasks/langfuse_sync_task.py</w:t>
            </w:r>
          </w:p>
        </w:tc>
        <w:tc>
          <w:tcPr>
            <w:tcW w:type="dxa" w:w="600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补录 Langfuse Score / Span，保障追踪一致性。</w:t>
            </w:r>
          </w:p>
        </w:tc>
      </w:tr>
      <w:tr>
        <w:tc>
          <w:tcPr>
            <w:tcW w:type="dxa" w:w="294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worker/tasks/health_check_task.py</w:t>
            </w:r>
          </w:p>
        </w:tc>
        <w:tc>
          <w:tcPr>
            <w:tcW w:type="dxa" w:w="600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调度模型探活与 GPU 队列采样。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D7E7F5"/>
            <w:tcMar>
              <w:top w:w="90" w:type="dxa"/>
              <w:start w:w="140" w:type="dxa"/>
              <w:bottom w:w="90" w:type="dxa"/>
              <w:end w:w="140" w:type="dxa"/>
            </w:tcMar>
            <w:tcBorders>
              <w:left w:val="single" w:sz="12" w:color="A571BE"/>
              <w:top w:val="single" w:sz="12" w:color="A571BE"/>
              <w:right w:val="single" w:sz="12" w:color="A571BE"/>
              <w:bottom w:val="single" w:sz="12" w:color="A571BE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6334C"/>
                <w:sz w:val="20"/>
              </w:rPr>
              <w:t>实施注意</w:t>
            </w:r>
          </w:p>
        </w:tc>
      </w:tr>
      <w:tr>
        <w:tc>
          <w:tcPr>
            <w:tcW w:type="dxa" w:w="9752"/>
            <w:shd w:fill="F8F5FF"/>
            <w:tcMar>
              <w:top w:w="90" w:type="dxa"/>
              <w:start w:w="140" w:type="dxa"/>
              <w:bottom w:w="90" w:type="dxa"/>
              <w:end w:w="140" w:type="dxa"/>
            </w:tcMar>
            <w:tcBorders>
              <w:left w:val="single" w:sz="12" w:color="A571BE"/>
              <w:top w:val="single" w:sz="12" w:color="A571BE"/>
              <w:right w:val="single" w:sz="12" w:color="A571BE"/>
              <w:bottom w:val="single" w:sz="12" w:color="A571BE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client_legacy.py 仅用于回滚窗口；默认路径必须全部走 ModelGateway。所有治理类新增服务必须接入统一 request_id / task_id / trace_id 链路，并写入审计。</w:t>
            </w:r>
          </w:p>
        </w:tc>
      </w:tr>
    </w:tbl>
    <w:p>
      <w:pPr>
        <w:pStyle w:val="Heading1"/>
        <w:spacing w:before="240" w:after="120" w:line="276" w:lineRule="auto"/>
      </w:pPr>
      <w:r>
        <w:rPr>
          <w:rFonts w:ascii="Noto Serif CJK SC" w:hAnsi="Noto Serif CJK SC" w:eastAsia="Noto Serif CJK SC"/>
          <w:b/>
          <w:i w:val="0"/>
          <w:color w:val="123B5A"/>
          <w:sz w:val="31"/>
        </w:rPr>
        <w:t>7. 前端工程架构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前端采用 Vue 3 + Vite + Pinia + Element Plus + Tailwind CSS。业务域、平台治理域与质量治理域通过统一路由守卫与侧边菜单分组管理。</w:t>
      </w:r>
    </w:p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7.1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3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分类</w:t>
            </w:r>
          </w:p>
        </w:tc>
        <w:tc>
          <w:tcPr>
            <w:tcW w:type="dxa" w:w="255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选型</w:t>
            </w:r>
          </w:p>
        </w:tc>
        <w:tc>
          <w:tcPr>
            <w:tcW w:type="dxa" w:w="5216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53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框架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Vue 3 / Composition API</w:t>
            </w:r>
          </w:p>
        </w:tc>
        <w:tc>
          <w:tcPr>
            <w:tcW w:type="dxa" w:w="521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页面级组件、响应式状态与组合式逻辑复用</w:t>
            </w:r>
          </w:p>
        </w:tc>
      </w:tr>
      <w:tr>
        <w:tc>
          <w:tcPr>
            <w:tcW w:type="dxa" w:w="153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构建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Vite 5.x</w:t>
            </w:r>
          </w:p>
        </w:tc>
        <w:tc>
          <w:tcPr>
            <w:tcW w:type="dxa" w:w="521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快速构建与模块热更新</w:t>
            </w:r>
          </w:p>
        </w:tc>
      </w:tr>
      <w:tr>
        <w:tc>
          <w:tcPr>
            <w:tcW w:type="dxa" w:w="153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状态管理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Pinia</w:t>
            </w:r>
          </w:p>
        </w:tc>
        <w:tc>
          <w:tcPr>
            <w:tcW w:type="dxa" w:w="521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按业务域拆分 Store，治理域单独 Store</w:t>
            </w:r>
          </w:p>
        </w:tc>
      </w:tr>
      <w:tr>
        <w:tc>
          <w:tcPr>
            <w:tcW w:type="dxa" w:w="153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路由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Vue Router 4</w:t>
            </w:r>
          </w:p>
        </w:tc>
        <w:tc>
          <w:tcPr>
            <w:tcW w:type="dxa" w:w="521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基于 meta.roles 的权限守卫</w:t>
            </w:r>
          </w:p>
        </w:tc>
      </w:tr>
      <w:tr>
        <w:tc>
          <w:tcPr>
            <w:tcW w:type="dxa" w:w="153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UI / 样式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Element Plus + Tailwind CSS</w:t>
            </w:r>
          </w:p>
        </w:tc>
        <w:tc>
          <w:tcPr>
            <w:tcW w:type="dxa" w:w="521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企业级组件 + 原子化布局</w:t>
            </w:r>
          </w:p>
        </w:tc>
      </w:tr>
      <w:tr>
        <w:tc>
          <w:tcPr>
            <w:tcW w:type="dxa" w:w="153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图表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ECharts</w:t>
            </w:r>
          </w:p>
        </w:tc>
        <w:tc>
          <w:tcPr>
            <w:tcW w:type="dxa" w:w="521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质量趋势、账单、GPU 曲线与仪表盘</w:t>
            </w:r>
          </w:p>
        </w:tc>
      </w:tr>
      <w:tr>
        <w:tc>
          <w:tcPr>
            <w:tcW w:type="dxa" w:w="153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测试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Vitest + Playwright</w:t>
            </w:r>
          </w:p>
        </w:tc>
        <w:tc>
          <w:tcPr>
            <w:tcW w:type="dxa" w:w="521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组件测试与关键用户流程回归</w:t>
            </w:r>
          </w:p>
        </w:tc>
      </w:tr>
      <w:tr>
        <w:tc>
          <w:tcPr>
            <w:tcW w:type="dxa" w:w="153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实时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EventSource（SSE）</w:t>
            </w:r>
          </w:p>
        </w:tc>
        <w:tc>
          <w:tcPr>
            <w:tcW w:type="dxa" w:w="521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任务进度与节点时间线推送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7.2 路由分区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417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路由域</w:t>
            </w:r>
          </w:p>
        </w:tc>
        <w:tc>
          <w:tcPr>
            <w:tcW w:type="dxa" w:w="3402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代表路径</w:t>
            </w:r>
          </w:p>
        </w:tc>
        <w:tc>
          <w:tcPr>
            <w:tcW w:type="dxa" w:w="170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最低权限</w:t>
            </w:r>
          </w:p>
        </w:tc>
        <w:tc>
          <w:tcPr>
            <w:tcW w:type="dxa" w:w="272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业务域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 /tasks /results /stability /alerts /analytics /tools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inspector / analyst / org_admin</w:t>
            </w:r>
          </w:p>
        </w:tc>
        <w:tc>
          <w:tcPr>
            <w:tcW w:type="dxa" w:w="272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完成任务处理、结论查看、稳定性与统计分析。</w:t>
            </w:r>
          </w:p>
        </w:tc>
      </w:tr>
      <w:tr>
        <w:tc>
          <w:tcPr>
            <w:tcW w:type="dxa" w:w="141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平台治理域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/admin/models /admin/billing /admin/gpu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platform_admin；billing 对 org_admin 只读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管理模型、成本与 GPU 监控。</w:t>
            </w:r>
          </w:p>
        </w:tc>
      </w:tr>
      <w:tr>
        <w:tc>
          <w:tcPr>
            <w:tcW w:type="dxa" w:w="141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质量治理域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/quality/traces /quality/report /quality/feedbacks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ai_quality</w:t>
            </w:r>
          </w:p>
        </w:tc>
        <w:tc>
          <w:tcPr>
            <w:tcW w:type="dxa" w:w="272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查看 Trace、反馈流水与质量周报。</w:t>
            </w:r>
          </w:p>
        </w:tc>
      </w:tr>
      <w:tr>
        <w:tc>
          <w:tcPr>
            <w:tcW w:type="dxa" w:w="141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安全与个人域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/login /login/mfa /profile /settings/*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公开或按角色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完成认证、MFA 与个人/组织配置。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7.3 状态管理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Store</w:t>
            </w:r>
          </w:p>
        </w:tc>
        <w:tc>
          <w:tcPr>
            <w:tcW w:type="dxa" w:w="255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核心 State</w:t>
            </w:r>
          </w:p>
        </w:tc>
        <w:tc>
          <w:tcPr>
            <w:tcW w:type="dxa" w:w="4876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181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auth.store.ts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user / role / orgId / token</w:t>
            </w:r>
          </w:p>
        </w:tc>
        <w:tc>
          <w:tcPr>
            <w:tcW w:type="dxa" w:w="487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登录、刷新令牌、权限判断、发起 stream session。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task.store.ts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tasks / currentTask / sseConn</w:t>
            </w:r>
          </w:p>
        </w:tc>
        <w:tc>
          <w:tcPr>
            <w:tcW w:type="dxa" w:w="487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提交任务、查询详情、建立和断开 SSE。</w:t>
            </w:r>
          </w:p>
        </w:tc>
      </w:tr>
      <w:tr>
        <w:tc>
          <w:tcPr>
            <w:tcW w:type="dxa" w:w="181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model_config.store.ts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modelConfigs / healthMap</w:t>
            </w:r>
          </w:p>
        </w:tc>
        <w:tc>
          <w:tcPr>
            <w:tcW w:type="dxa" w:w="487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模型配置列表、健康状态、CRUD。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billing.store.ts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series / detail / dimension</w:t>
            </w:r>
          </w:p>
        </w:tc>
        <w:tc>
          <w:tcPr>
            <w:tcW w:type="dxa" w:w="487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按租户/模型/日期聚合账单。</w:t>
            </w:r>
          </w:p>
        </w:tc>
      </w:tr>
      <w:tr>
        <w:tc>
          <w:tcPr>
            <w:tcW w:type="dxa" w:w="181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feedback.store.ts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submitState / dedupe</w:t>
            </w:r>
          </w:p>
        </w:tc>
        <w:tc>
          <w:tcPr>
            <w:tcW w:type="dxa" w:w="487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点赞点踩防重复与提交锁定。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quality.store.ts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qualityReport / traceFilters</w:t>
            </w:r>
          </w:p>
        </w:tc>
        <w:tc>
          <w:tcPr>
            <w:tcW w:type="dxa" w:w="487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质量趋势、反馈占比、Trace 过滤。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7.4 前端统一规则</w:t>
      </w:r>
    </w:p>
    <w:p>
      <w:pPr>
        <w:pStyle w:val="ListBullet"/>
        <w:spacing w:before="0" w:after="60" w:line="300" w:lineRule="auto"/>
        <w:ind w:left="283" w:firstLine="0"/>
      </w:pPr>
      <w:r>
        <w:rPr>
          <w:rFonts w:ascii="Noto Sans CJK SC" w:hAnsi="Noto Sans CJK SC" w:eastAsia="Noto Sans CJK SC"/>
          <w:b w:val="0"/>
          <w:i w:val="0"/>
          <w:sz w:val="20"/>
        </w:rPr>
        <w:t>TaskDetailView 的实时链路、QualityTracingView 的追踪查询、TokenBillingView 的图表过滤均通过 Store 发起，不允许页面直接拼接敏感 URL。</w:t>
      </w:r>
    </w:p>
    <w:p>
      <w:pPr>
        <w:pStyle w:val="ListBullet"/>
        <w:spacing w:before="0" w:after="60" w:line="300" w:lineRule="auto"/>
        <w:ind w:left="283" w:firstLine="0"/>
      </w:pPr>
      <w:r>
        <w:rPr>
          <w:rFonts w:ascii="Noto Sans CJK SC" w:hAnsi="Noto Sans CJK SC" w:eastAsia="Noto Sans CJK SC"/>
          <w:b w:val="0"/>
          <w:i w:val="0"/>
          <w:sz w:val="20"/>
        </w:rPr>
        <w:t>AppSidebar 新增“平台管理”和“AI 质量”分组，菜单显隐完全由 meta.roles 与 auth.store.checkPermission 决定。</w:t>
      </w:r>
    </w:p>
    <w:p>
      <w:pPr>
        <w:pStyle w:val="ListBullet"/>
        <w:spacing w:before="0" w:after="60" w:line="300" w:lineRule="auto"/>
        <w:ind w:left="283" w:firstLine="0"/>
      </w:pPr>
      <w:r>
        <w:rPr>
          <w:rFonts w:ascii="Noto Sans CJK SC" w:hAnsi="Noto Sans CJK SC" w:eastAsia="Noto Sans CJK SC"/>
          <w:b w:val="0"/>
          <w:i w:val="0"/>
          <w:sz w:val="20"/>
        </w:rPr>
        <w:t>ResultDetailView 必须嵌入 FeedbackWidget，并在反馈成功后即时更新本地状态与禁用提交控件。</w:t>
      </w:r>
    </w:p>
    <w:p>
      <w:pPr>
        <w:pStyle w:val="ListBullet"/>
        <w:spacing w:before="0" w:after="60" w:line="300" w:lineRule="auto"/>
        <w:ind w:left="283" w:firstLine="0"/>
      </w:pPr>
      <w:r>
        <w:rPr>
          <w:rFonts w:ascii="Noto Sans CJK SC" w:hAnsi="Noto Sans CJK SC" w:eastAsia="Noto Sans CJK SC"/>
          <w:b w:val="0"/>
          <w:i w:val="0"/>
          <w:sz w:val="20"/>
        </w:rPr>
        <w:t>useSSE 统一先向 /api/v1/streams/session 申请短期 token，再创建 EventSource；旧的 URL Bearer Token 方案禁止保留。</w:t>
      </w:r>
    </w:p>
    <w:p>
      <w:pPr>
        <w:pStyle w:val="Heading1"/>
        <w:spacing w:before="240" w:after="120" w:line="276" w:lineRule="auto"/>
      </w:pPr>
      <w:r>
        <w:rPr>
          <w:rFonts w:ascii="Noto Serif CJK SC" w:hAnsi="Noto Serif CJK SC" w:eastAsia="Noto Serif CJK SC"/>
          <w:b/>
          <w:i w:val="0"/>
          <w:color w:val="123B5A"/>
          <w:sz w:val="31"/>
        </w:rPr>
        <w:t>8. 数据架构与关键实体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数据底座采用“主业务库 + 审计库 + 向量库 + 对象存储 + 缓存 + LLMOps 追踪”的组合式架构。MySQL 是权威关系型存储，Langfuse 是 LLMOps 追踪平面，而不是业务主存储。</w:t>
      </w:r>
    </w:p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8.1 存储域划分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28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存储组件</w:t>
            </w:r>
          </w:p>
        </w:tc>
        <w:tc>
          <w:tcPr>
            <w:tcW w:type="dxa" w:w="187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定位</w:t>
            </w:r>
          </w:p>
        </w:tc>
        <w:tc>
          <w:tcPr>
            <w:tcW w:type="dxa" w:w="5443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存储内容</w:t>
            </w:r>
          </w:p>
        </w:tc>
      </w:tr>
      <w:tr>
        <w:tc>
          <w:tcPr>
            <w:tcW w:type="dxa" w:w="192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MySQL（piap_main）</w:t>
            </w:r>
          </w:p>
        </w:tc>
        <w:tc>
          <w:tcPr>
            <w:tcW w:type="dxa" w:w="187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权威业务数据</w:t>
            </w:r>
          </w:p>
        </w:tc>
        <w:tc>
          <w:tcPr>
            <w:tcW w:type="dxa" w:w="5443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用户、任务、结果、稳定性、告警、工具、治理表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MySQL（piap_audit）</w:t>
            </w:r>
          </w:p>
        </w:tc>
        <w:tc>
          <w:tcPr>
            <w:tcW w:type="dxa" w:w="187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审计域</w:t>
            </w:r>
          </w:p>
        </w:tc>
        <w:tc>
          <w:tcPr>
            <w:tcW w:type="dxa" w:w="5443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不可篡改 audit_logs 与导出审计记录</w:t>
            </w:r>
          </w:p>
        </w:tc>
      </w:tr>
      <w:tr>
        <w:tc>
          <w:tcPr>
            <w:tcW w:type="dxa" w:w="192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Milvus</w:t>
            </w:r>
          </w:p>
        </w:tc>
        <w:tc>
          <w:tcPr>
            <w:tcW w:type="dxa" w:w="187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向量检索</w:t>
            </w:r>
          </w:p>
        </w:tc>
        <w:tc>
          <w:tcPr>
            <w:tcW w:type="dxa" w:w="5443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RAG 检索文档向量，按 org_id/collection 隔离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MinIO</w:t>
            </w:r>
          </w:p>
        </w:tc>
        <w:tc>
          <w:tcPr>
            <w:tcW w:type="dxa" w:w="187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对象存储</w:t>
            </w:r>
          </w:p>
        </w:tc>
        <w:tc>
          <w:tcPr>
            <w:tcW w:type="dxa" w:w="5443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图像、导出文件、备份文件、附件</w:t>
            </w:r>
          </w:p>
        </w:tc>
      </w:tr>
      <w:tr>
        <w:tc>
          <w:tcPr>
            <w:tcW w:type="dxa" w:w="192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Redis</w:t>
            </w:r>
          </w:p>
        </w:tc>
        <w:tc>
          <w:tcPr>
            <w:tcW w:type="dxa" w:w="187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缓存与异步协调</w:t>
            </w:r>
          </w:p>
        </w:tc>
        <w:tc>
          <w:tcPr>
            <w:tcW w:type="dxa" w:w="5443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刷新令牌黑名单、短期 stream token、任务队列状态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Langfuse</w:t>
            </w:r>
          </w:p>
        </w:tc>
        <w:tc>
          <w:tcPr>
            <w:tcW w:type="dxa" w:w="187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LLMOps 追踪</w:t>
            </w:r>
          </w:p>
        </w:tc>
        <w:tc>
          <w:tcPr>
            <w:tcW w:type="dxa" w:w="5443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Trace / Span / Generation / Score 与治理报表数据源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8.2 统一数据库约定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约定项</w:t>
            </w:r>
          </w:p>
        </w:tc>
        <w:tc>
          <w:tcPr>
            <w:tcW w:type="dxa" w:w="6973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规范</w:t>
            </w:r>
          </w:p>
        </w:tc>
      </w:tr>
      <w:tr>
        <w:tc>
          <w:tcPr>
            <w:tcW w:type="dxa" w:w="226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主键类型</w:t>
            </w:r>
          </w:p>
        </w:tc>
        <w:tc>
          <w:tcPr>
            <w:tcW w:type="dxa" w:w="6973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BINARY(16) 存储 UUIDv7；应用层做 UUID_TO_BIN/BIN_TO_UUID 转换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时间字段</w:t>
            </w:r>
          </w:p>
        </w:tc>
        <w:tc>
          <w:tcPr>
            <w:tcW w:type="dxa" w:w="6973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统一 DATETIME(3) UTC；API 输出 ISO-8601 字符串</w:t>
            </w:r>
          </w:p>
        </w:tc>
      </w:tr>
      <w:tr>
        <w:tc>
          <w:tcPr>
            <w:tcW w:type="dxa" w:w="226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软删除</w:t>
            </w:r>
          </w:p>
        </w:tc>
        <w:tc>
          <w:tcPr>
            <w:tcW w:type="dxa" w:w="6973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deleted_at DATETIME(3) NULL；默认查询不返回已删除数据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租户隔离</w:t>
            </w:r>
          </w:p>
        </w:tc>
        <w:tc>
          <w:tcPr>
            <w:tcW w:type="dxa" w:w="6973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所有业务表包含 org_id；Service 层统一注入 WHERE org_id = ?</w:t>
            </w:r>
          </w:p>
        </w:tc>
      </w:tr>
      <w:tr>
        <w:tc>
          <w:tcPr>
            <w:tcW w:type="dxa" w:w="226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枚举值</w:t>
            </w:r>
          </w:p>
        </w:tc>
        <w:tc>
          <w:tcPr>
            <w:tcW w:type="dxa" w:w="6973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不用 MySQL ENUM；统一 VARCHAR(32) + 应用层约束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JSON 列</w:t>
            </w:r>
          </w:p>
        </w:tc>
        <w:tc>
          <w:tcPr>
            <w:tcW w:type="dxa" w:w="6973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用于缺陷、引用、维度明细等非结构化数据，配合生成列和函数索引</w:t>
            </w:r>
          </w:p>
        </w:tc>
      </w:tr>
      <w:tr>
        <w:tc>
          <w:tcPr>
            <w:tcW w:type="dxa" w:w="226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字符集</w:t>
            </w:r>
          </w:p>
        </w:tc>
        <w:tc>
          <w:tcPr>
            <w:tcW w:type="dxa" w:w="6973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全库 utf8mb4 / utf8mb4_unicode_ci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8.3 核心业务实体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587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表</w:t>
            </w:r>
          </w:p>
        </w:tc>
        <w:tc>
          <w:tcPr>
            <w:tcW w:type="dxa" w:w="1701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定位</w:t>
            </w:r>
          </w:p>
        </w:tc>
        <w:tc>
          <w:tcPr>
            <w:tcW w:type="dxa" w:w="3402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关键字段</w:t>
            </w:r>
          </w:p>
        </w:tc>
        <w:tc>
          <w:tcPr>
            <w:tcW w:type="dxa" w:w="2551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索引 / 保留策略</w:t>
            </w:r>
          </w:p>
        </w:tc>
      </w:tr>
      <w:tr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organizations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租户主表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name / slug / plan / settings / is_active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按 slug 与活跃状态建索引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users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用户与身份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org_id / username / email / role / MFA / SSO / last_login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uk_org_username、SSO 组合索引</w:t>
            </w:r>
          </w:p>
        </w:tc>
      </w:tr>
      <w:tr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inspection_tasks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检测任务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product_id / spec_id / image_urls / status / priority / metadata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idx_org_status_created、按 product_line 生成列过滤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inspection_results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检测结论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verdict / overall_score / defects / citations / llm_model / prompt_version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task_id 唯一、verdict 聚合索引</w:t>
            </w:r>
          </w:p>
        </w:tc>
      </w:tr>
      <w:tr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stability_reports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稳定性分析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五维得分 / risk_score / risk_level / dimension_detail / root_cause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按 org 与 risk_level 高效查询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alert_events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预警事件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alert_type / severity / detail / status / ack/resolved 信息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idx_org_status_created、idx_org_severity</w:t>
            </w:r>
          </w:p>
        </w:tc>
      </w:tr>
      <w:tr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tool_registry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工具注册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name / endpoint / parameters_schema / access_roles / timeout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uk_name、按 org/active 查询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tool_executions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工具执行日志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task_id / tool_name / input_hash / status / latency_ms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idx_task_tool、idx_org_tool_stat；90 天前归档</w:t>
            </w:r>
          </w:p>
        </w:tc>
      </w:tr>
      <w:tr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audit_logs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审计日志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actor_id / actor_role / resource_type / action / request_id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写入独立库 piap_audit；只读导出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8.4 治理实体（含补充设计）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01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表</w:t>
            </w:r>
          </w:p>
        </w:tc>
        <w:tc>
          <w:tcPr>
            <w:tcW w:type="dxa" w:w="1701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定位</w:t>
            </w:r>
          </w:p>
        </w:tc>
        <w:tc>
          <w:tcPr>
            <w:tcW w:type="dxa" w:w="3402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关键字段</w:t>
            </w:r>
          </w:p>
        </w:tc>
        <w:tc>
          <w:tcPr>
            <w:tcW w:type="dxa" w:w="2438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索引 / 保留策略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model_configs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运行时模型配置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provider / model_name / endpoint / encrypted api key / rpm/tpm / cost / health</w:t>
            </w:r>
          </w:p>
        </w:tc>
        <w:tc>
          <w:tcPr>
            <w:tcW w:type="dxa" w:w="243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idx_org_active_priority；默认查询需支持 org fallback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token_usage_ledger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Token 成本台账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org_id / task_id / trace_id / model_name / input/output tokens / cost_usd / called_at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按月分区；idx_org_date / idx_model_date；要求幂等写入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result_feedbacks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结论反馈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result_id / actor_id / score / feedback_type / comment / langfuse ids</w:t>
            </w:r>
          </w:p>
        </w:tc>
        <w:tc>
          <w:tcPr>
            <w:tcW w:type="dxa" w:w="243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uk_actor_result 去重；idx_org_type_date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model_releases（新增）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模型发布单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release_id / scope / model_config_id / prompt_version / workflow_version / rollout_strategy / status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支撑审批、灰度、回滚与审计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budget_policies（新增）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预算与熔断策略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scope(org/model) / daily_budget / monthly_budget / warn_threshold / hard_limit_action</w:t>
            </w:r>
          </w:p>
        </w:tc>
        <w:tc>
          <w:tcPr>
            <w:tcW w:type="dxa" w:w="243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支撑预算告警、阻断与降级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gpu_runtime_snapshots（新增）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GPU 运行快照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cluster / node / gpu_id / utilization / mem_used / queue_depth / sampled_at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为 GpuMonitorView 与容量规划提供时序来源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8.5 统一主键链路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type="dxa" w:w="238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主键/关联键</w:t>
            </w:r>
          </w:p>
        </w:tc>
        <w:tc>
          <w:tcPr>
            <w:tcW w:type="dxa" w:w="5046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HTTP 请求</w:t>
            </w:r>
          </w:p>
        </w:tc>
        <w:tc>
          <w:tcPr>
            <w:tcW w:type="dxa" w:w="238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request_id</w:t>
            </w:r>
          </w:p>
        </w:tc>
        <w:tc>
          <w:tcPr>
            <w:tcW w:type="dxa" w:w="504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API 入口生成，写入响应 envelope、结构化日志、审计日志。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检测任务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task_id</w:t>
            </w:r>
          </w:p>
        </w:tc>
        <w:tc>
          <w:tcPr>
            <w:tcW w:type="dxa" w:w="504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业务主键；Trace 主关联键；前端详情页与治理页统一跳转主索引。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Langfuse 追踪</w:t>
            </w:r>
          </w:p>
        </w:tc>
        <w:tc>
          <w:tcPr>
            <w:tcW w:type="dxa" w:w="238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trace_id / span_id / observation_id</w:t>
            </w:r>
          </w:p>
        </w:tc>
        <w:tc>
          <w:tcPr>
            <w:tcW w:type="dxa" w:w="504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贯穿图节点与 LLM 调用；记录耗时、输入输出、成本。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计费流水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ledger_id + idempotency_key</w:t>
            </w:r>
          </w:p>
        </w:tc>
        <w:tc>
          <w:tcPr>
            <w:tcW w:type="dxa" w:w="504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确保重试不重复记账；可从 trace_id / task_id 回溯。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反馈闭环</w:t>
            </w:r>
          </w:p>
        </w:tc>
        <w:tc>
          <w:tcPr>
            <w:tcW w:type="dxa" w:w="238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feedback_id / langfuse_score_id</w:t>
            </w:r>
          </w:p>
        </w:tc>
        <w:tc>
          <w:tcPr>
            <w:tcW w:type="dxa" w:w="504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将人工反馈与对应 Trace/Result 强绑定。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审计域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audit_id</w:t>
            </w:r>
          </w:p>
        </w:tc>
        <w:tc>
          <w:tcPr>
            <w:tcW w:type="dxa" w:w="504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记录高敏读写与导出行为；支持 request_id 反查。</w:t>
            </w:r>
          </w:p>
        </w:tc>
      </w:tr>
    </w:tbl>
    <w:p>
      <w:pPr>
        <w:pStyle w:val="Heading1"/>
        <w:spacing w:before="240" w:after="120" w:line="276" w:lineRule="auto"/>
      </w:pPr>
      <w:r>
        <w:rPr>
          <w:rFonts w:ascii="Noto Serif CJK SC" w:hAnsi="Noto Serif CJK SC" w:eastAsia="Noto Serif CJK SC"/>
          <w:b/>
          <w:i w:val="0"/>
          <w:color w:val="123B5A"/>
          <w:sz w:val="31"/>
        </w:rPr>
        <w:t>9. Agent 编排、多模型网关与发布治理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Agent 执行链路采用 LangGraph 状态图组织。v1.1 在原图基础上，明确将 ModelGateway、成本台账、发布单与回滚机制纳入生产必备能力。</w:t>
      </w:r>
    </w:p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9.1 LangGraph 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74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type="dxa" w:w="2948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职责</w:t>
            </w:r>
          </w:p>
        </w:tc>
        <w:tc>
          <w:tcPr>
            <w:tcW w:type="dxa" w:w="4762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planner</w:t>
            </w:r>
          </w:p>
        </w:tc>
        <w:tc>
          <w:tcPr>
            <w:tcW w:type="dxa" w:w="294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解析任务意图、策略与工具组合</w:t>
            </w:r>
          </w:p>
        </w:tc>
        <w:tc>
          <w:tcPr>
            <w:tcW w:type="dxa" w:w="476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输出执行计划、目标缺陷类型、后续节点条件。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vision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调用视觉检测/VLM 工具</w:t>
            </w:r>
          </w:p>
        </w:tc>
        <w:tc>
          <w:tcPr>
            <w:tcW w:type="dxa" w:w="476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生成 defects 候选、图像区域、初步置信度。</w:t>
            </w:r>
          </w:p>
        </w:tc>
      </w:tr>
      <w:tr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knowledge</w:t>
            </w:r>
          </w:p>
        </w:tc>
        <w:tc>
          <w:tcPr>
            <w:tcW w:type="dxa" w:w="294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执行 RAG 检索与标准比对</w:t>
            </w:r>
          </w:p>
        </w:tc>
        <w:tc>
          <w:tcPr>
            <w:tcW w:type="dxa" w:w="476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输出引用片段、召回分数、标准条款映射。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reasoning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融合多源信息产出结论</w:t>
            </w:r>
          </w:p>
        </w:tc>
        <w:tc>
          <w:tcPr>
            <w:tcW w:type="dxa" w:w="476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形成 verdict、explanation、引用与一致性校验结果。</w:t>
            </w:r>
          </w:p>
        </w:tc>
      </w:tr>
      <w:tr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finalizer</w:t>
            </w:r>
          </w:p>
        </w:tc>
        <w:tc>
          <w:tcPr>
            <w:tcW w:type="dxa" w:w="294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写结果并触发稳定性分析</w:t>
            </w:r>
          </w:p>
        </w:tc>
        <w:tc>
          <w:tcPr>
            <w:tcW w:type="dxa" w:w="476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生成 inspection_results、stability_reports、必要时 alert_events。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9.2 ModelGateway 选路策略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控制项</w:t>
            </w:r>
          </w:p>
        </w:tc>
        <w:tc>
          <w:tcPr>
            <w:tcW w:type="dxa" w:w="2835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4649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选模优先级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先租户私有配置，后全局默认配置</w:t>
            </w:r>
          </w:p>
        </w:tc>
        <w:tc>
          <w:tcPr>
            <w:tcW w:type="dxa" w:w="464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支持企业租户定制模型，同时保留平台兜底能力。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容量检查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校验 max_rpm / max_tpm 窗口是否超限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避免局部模型被打穿，引发 429 或成本飙升。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健康状态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过滤 degraded/down 模型</w:t>
            </w:r>
          </w:p>
        </w:tc>
        <w:tc>
          <w:tcPr>
            <w:tcW w:type="dxa" w:w="464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由 health_checker 周期探活维护。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预算控制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校验 org/model 预算剩余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超阈值时降级、阻断或转人工审批。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回退策略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优先切换同能力备选模型，其次回退 client_legacy</w:t>
            </w:r>
          </w:p>
        </w:tc>
        <w:tc>
          <w:tcPr>
            <w:tcW w:type="dxa" w:w="464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保证服务连续性并缩小故障面。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0000" cy="185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5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Noto Serif CJK SC" w:hAnsi="Noto Serif CJK SC" w:eastAsia="Noto Serif CJK SC"/>
          <w:b w:val="0"/>
          <w:i/>
          <w:color w:val="506580"/>
          <w:sz w:val="18"/>
        </w:rPr>
        <w:t>图 2  模型发布与回滚流程</w:t>
      </w:r>
    </w:p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9.3 发布单与灰度流程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74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3969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说明</w:t>
            </w:r>
          </w:p>
        </w:tc>
        <w:tc>
          <w:tcPr>
            <w:tcW w:type="dxa" w:w="3742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退出条件</w:t>
            </w:r>
          </w:p>
        </w:tc>
      </w:tr>
      <w:tr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396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platform_admin 创建发布单，关联 model_config / prompt_version / workflow_version。</w:t>
            </w:r>
          </w:p>
        </w:tc>
        <w:tc>
          <w:tcPr>
            <w:tcW w:type="dxa" w:w="374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元数据完整、回滚目标明确、风险评估已填写。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Review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ai_quality 审核质量门槛与样本对比，必要时 super_admin 参与。</w:t>
            </w:r>
          </w:p>
        </w:tc>
        <w:tc>
          <w:tcPr>
            <w:tcW w:type="dxa" w:w="374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黄金集、RAGAS、点踩率预测、延迟与成本回归均通过。</w:t>
            </w:r>
          </w:p>
        </w:tc>
      </w:tr>
      <w:tr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Approved</w:t>
            </w:r>
          </w:p>
        </w:tc>
        <w:tc>
          <w:tcPr>
            <w:tcW w:type="dxa" w:w="396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生成 release_id，锁定配置快照，准备灰度。</w:t>
            </w:r>
          </w:p>
        </w:tc>
        <w:tc>
          <w:tcPr>
            <w:tcW w:type="dxa" w:w="374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审批记录、审批人、时间与工单号齐备。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Shadow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影子流量旁路，不影响正式结果。</w:t>
            </w:r>
          </w:p>
        </w:tc>
        <w:tc>
          <w:tcPr>
            <w:tcW w:type="dxa" w:w="374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确认可观测性、账单、Trace、队列指标正常。</w:t>
            </w:r>
          </w:p>
        </w:tc>
      </w:tr>
      <w:tr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Canary 5% / 25%</w:t>
            </w:r>
          </w:p>
        </w:tc>
        <w:tc>
          <w:tcPr>
            <w:tcW w:type="dxa" w:w="396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按租户、产品线或流量比例灰度。</w:t>
            </w:r>
          </w:p>
        </w:tc>
        <w:tc>
          <w:tcPr>
            <w:tcW w:type="dxa" w:w="374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若任何回滚阈值触发，则立即回滚并冻结发布单。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Full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全量发布并保留观察窗口。</w:t>
            </w:r>
          </w:p>
        </w:tc>
        <w:tc>
          <w:tcPr>
            <w:tcW w:type="dxa" w:w="374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连续两个观察窗口通过，才允许删除回滚准备。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9.4 平台控制面要求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控制项</w:t>
            </w:r>
          </w:p>
        </w:tc>
        <w:tc>
          <w:tcPr>
            <w:tcW w:type="dxa" w:w="3402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机制</w:t>
            </w:r>
          </w:p>
        </w:tc>
        <w:tc>
          <w:tcPr>
            <w:tcW w:type="dxa" w:w="4082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默认动作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租户预算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daily_budget / monthly_budget + 80%/95% 两级预警</w:t>
            </w:r>
          </w:p>
        </w:tc>
        <w:tc>
          <w:tcPr>
            <w:tcW w:type="dxa" w:w="408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到 95% 触发人工确认；到 100% 按策略降级或阻断。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模型预算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按 model_name 维度设硬阈值</w:t>
            </w:r>
          </w:p>
        </w:tc>
        <w:tc>
          <w:tcPr>
            <w:tcW w:type="dxa" w:w="408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避免某个高价模型异常消耗。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GPU 配额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按租户 / 工作流限制并发与排队优先级</w:t>
            </w:r>
          </w:p>
        </w:tc>
        <w:tc>
          <w:tcPr>
            <w:tcW w:type="dxa" w:w="408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队列过深时降级到 API 模型或低配模型。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供应商熔断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基于错误率、429、健康探测结果自动开关</w:t>
            </w:r>
          </w:p>
        </w:tc>
        <w:tc>
          <w:tcPr>
            <w:tcW w:type="dxa" w:w="408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保护调用链，避免全平台雪崩。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自动回滚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质量/延迟/成本/错误率触发</w:t>
            </w:r>
          </w:p>
        </w:tc>
        <w:tc>
          <w:tcPr>
            <w:tcW w:type="dxa" w:w="408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从发布单恢复到上一个已知健康版本。</w:t>
            </w:r>
          </w:p>
        </w:tc>
      </w:tr>
    </w:tbl>
    <w:p>
      <w:pPr>
        <w:pStyle w:val="Heading1"/>
        <w:spacing w:before="240" w:after="120" w:line="276" w:lineRule="auto"/>
      </w:pPr>
      <w:r>
        <w:rPr>
          <w:rFonts w:ascii="Noto Serif CJK SC" w:hAnsi="Noto Serif CJK SC" w:eastAsia="Noto Serif CJK SC"/>
          <w:b/>
          <w:i w:val="0"/>
          <w:color w:val="123B5A"/>
          <w:sz w:val="31"/>
        </w:rPr>
        <w:t>10. AI 质量、Langfuse 与反馈闭环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AI 质量治理由三条轨道共同组成：模型自评、人工反馈和过程追踪。三者都要服务于质量报告与发布门禁，而不是停留在只读观察层。</w:t>
      </w:r>
    </w:p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10.1 三轨质量闭环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轨道</w:t>
            </w:r>
          </w:p>
        </w:tc>
        <w:tc>
          <w:tcPr>
            <w:tcW w:type="dxa" w:w="255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实现载体</w:t>
            </w:r>
          </w:p>
        </w:tc>
        <w:tc>
          <w:tcPr>
            <w:tcW w:type="dxa" w:w="4932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轨道一：模型自评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稳定性分析器</w:t>
            </w:r>
          </w:p>
        </w:tc>
        <w:tc>
          <w:tcPr>
            <w:tcW w:type="dxa" w:w="493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Evidence / Consistency / Confidence / Traceability / Anomaly 五维度 + Risk Score。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轨道二：人工反馈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result_feedbacks + FeedbackWidget</w:t>
            </w:r>
          </w:p>
        </w:tc>
        <w:tc>
          <w:tcPr>
            <w:tcW w:type="dxa" w:w="493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点赞/点踩、类型标注、可选评论、Hard Case 入库。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轨道三：过程追踪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Langfuse Trace / Span / Generation / Score</w:t>
            </w:r>
          </w:p>
        </w:tc>
        <w:tc>
          <w:tcPr>
            <w:tcW w:type="dxa" w:w="493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识别哪一步耗时、哪次检索召回差、哪次生成成本高。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10.2 Langfuse 映射模型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Langfuse 层级</w:t>
            </w:r>
          </w:p>
        </w:tc>
        <w:tc>
          <w:tcPr>
            <w:tcW w:type="dxa" w:w="2268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对应平台概念</w:t>
            </w:r>
          </w:p>
        </w:tc>
        <w:tc>
          <w:tcPr>
            <w:tcW w:type="dxa" w:w="5102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记录内容</w:t>
            </w:r>
          </w:p>
        </w:tc>
      </w:tr>
      <w:tr>
        <w:tc>
          <w:tcPr>
            <w:tcW w:type="dxa" w:w="181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Trace</w:t>
            </w:r>
          </w:p>
        </w:tc>
        <w:tc>
          <w:tcPr>
            <w:tcW w:type="dxa" w:w="226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一次完整检测任务</w:t>
            </w:r>
          </w:p>
        </w:tc>
        <w:tc>
          <w:tcPr>
            <w:tcW w:type="dxa" w:w="51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task_id、org_id、product_id、总耗时、总 Token、总成本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Span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LangGraph 节点</w:t>
            </w:r>
          </w:p>
        </w:tc>
        <w:tc>
          <w:tcPr>
            <w:tcW w:type="dxa" w:w="51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节点名称、输入 state、输出增量、耗时、引用证据摘要</w:t>
            </w:r>
          </w:p>
        </w:tc>
      </w:tr>
      <w:tr>
        <w:tc>
          <w:tcPr>
            <w:tcW w:type="dxa" w:w="181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Generation</w:t>
            </w:r>
          </w:p>
        </w:tc>
        <w:tc>
          <w:tcPr>
            <w:tcW w:type="dxa" w:w="226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一次 LLM API 调用</w:t>
            </w:r>
          </w:p>
        </w:tc>
        <w:tc>
          <w:tcPr>
            <w:tcW w:type="dxa" w:w="51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prompt/completion、model、tokens、cost、latency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Score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自动或人工评分</w:t>
            </w:r>
          </w:p>
        </w:tc>
        <w:tc>
          <w:tcPr>
            <w:tcW w:type="dxa" w:w="51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Faithfulness、用户反馈、风险判定、回归实验分数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10.3 领域化“物理幻觉”分类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3458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3912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控制要求</w:t>
            </w:r>
          </w:p>
        </w:tc>
      </w:tr>
      <w:tr>
        <w:tc>
          <w:tcPr>
            <w:tcW w:type="dxa" w:w="181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尺寸 / 公差幻觉</w:t>
            </w:r>
          </w:p>
        </w:tc>
        <w:tc>
          <w:tcPr>
            <w:tcW w:type="dxa" w:w="345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将 mm、μm、公差带误判或编造不存在的尺寸偏差</w:t>
            </w:r>
          </w:p>
        </w:tc>
        <w:tc>
          <w:tcPr>
            <w:tcW w:type="dxa" w:w="391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必须引用标准条款与测量证据。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单位换算幻觉</w:t>
            </w:r>
          </w:p>
        </w:tc>
        <w:tc>
          <w:tcPr>
            <w:tcW w:type="dxa" w:w="345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cm↔mm、℃↔℉、重量体积换算错误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对单位转换结果做规则校验。</w:t>
            </w:r>
          </w:p>
        </w:tc>
      </w:tr>
      <w:tr>
        <w:tc>
          <w:tcPr>
            <w:tcW w:type="dxa" w:w="181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材料属性幻觉</w:t>
            </w:r>
          </w:p>
        </w:tc>
        <w:tc>
          <w:tcPr>
            <w:tcW w:type="dxa" w:w="345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将材质、硬度、涂层、耐温等级判断错误</w:t>
            </w:r>
          </w:p>
        </w:tc>
        <w:tc>
          <w:tcPr>
            <w:tcW w:type="dxa" w:w="391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要求知识库命中与证据绑定。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工艺顺序幻觉</w:t>
            </w:r>
          </w:p>
        </w:tc>
        <w:tc>
          <w:tcPr>
            <w:tcW w:type="dxa" w:w="345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将先后工序、检测顺序、工艺约束推断错误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结合工艺流程图或 SOP 检索。</w:t>
            </w:r>
          </w:p>
        </w:tc>
      </w:tr>
      <w:tr>
        <w:tc>
          <w:tcPr>
            <w:tcW w:type="dxa" w:w="181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标准误引幻觉</w:t>
            </w:r>
          </w:p>
        </w:tc>
        <w:tc>
          <w:tcPr>
            <w:tcW w:type="dxa" w:w="345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引用错误的规范、版本或条款</w:t>
            </w:r>
          </w:p>
        </w:tc>
        <w:tc>
          <w:tcPr>
            <w:tcW w:type="dxa" w:w="391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记录标准编号、版本、引用片段与生效日期。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视觉误检 / 漏检</w:t>
            </w:r>
          </w:p>
        </w:tc>
        <w:tc>
          <w:tcPr>
            <w:tcW w:type="dxa" w:w="345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局部划痕、污点、边缘缺陷识别错误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与 DefectAnnotator 与人工复核联动。</w:t>
            </w:r>
          </w:p>
        </w:tc>
      </w:tr>
      <w:tr>
        <w:tc>
          <w:tcPr>
            <w:tcW w:type="dxa" w:w="181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成本幻觉</w:t>
            </w:r>
          </w:p>
        </w:tc>
        <w:tc>
          <w:tcPr>
            <w:tcW w:type="dxa" w:w="345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错误夸大或低估 Token/调用成本</w:t>
            </w:r>
          </w:p>
        </w:tc>
        <w:tc>
          <w:tcPr>
            <w:tcW w:type="dxa" w:w="391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以 token_usage_ledger 与供应商回执为准。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10.4 质量门禁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01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1247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2494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来源</w:t>
            </w:r>
          </w:p>
        </w:tc>
        <w:tc>
          <w:tcPr>
            <w:tcW w:type="dxa" w:w="3742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动作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Accuracy</w:t>
            </w:r>
          </w:p>
        </w:tc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≥ 95%</w:t>
            </w:r>
          </w:p>
        </w:tc>
        <w:tc>
          <w:tcPr>
            <w:tcW w:type="dxa" w:w="249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模型评测 / 黄金集</w:t>
            </w:r>
          </w:p>
        </w:tc>
        <w:tc>
          <w:tcPr>
            <w:tcW w:type="dxa" w:w="374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低于阈值不得进入 Approved。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Hallucination Rate</w:t>
            </w:r>
          </w:p>
        </w:tc>
        <w:tc>
          <w:tcPr>
            <w:tcW w:type="dxa" w:w="124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≤ 2%</w:t>
            </w:r>
          </w:p>
        </w:tc>
        <w:tc>
          <w:tcPr>
            <w:tcW w:type="dxa" w:w="249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人工抽检 + Hard Case 复验</w:t>
            </w:r>
          </w:p>
        </w:tc>
        <w:tc>
          <w:tcPr>
            <w:tcW w:type="dxa" w:w="374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超过阈值触发冻结与回滚评估。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Faithfulness</w:t>
            </w:r>
          </w:p>
        </w:tc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≥ 0.85</w:t>
            </w:r>
          </w:p>
        </w:tc>
        <w:tc>
          <w:tcPr>
            <w:tcW w:type="dxa" w:w="249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RAGAS / Langfuse Score</w:t>
            </w:r>
          </w:p>
        </w:tc>
        <w:tc>
          <w:tcPr>
            <w:tcW w:type="dxa" w:w="374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低于阈值优先排查知识检索与引用链。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Answer Relevancy</w:t>
            </w:r>
          </w:p>
        </w:tc>
        <w:tc>
          <w:tcPr>
            <w:tcW w:type="dxa" w:w="124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≥ 0.80</w:t>
            </w:r>
          </w:p>
        </w:tc>
        <w:tc>
          <w:tcPr>
            <w:tcW w:type="dxa" w:w="249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RAGAS</w:t>
            </w:r>
          </w:p>
        </w:tc>
        <w:tc>
          <w:tcPr>
            <w:tcW w:type="dxa" w:w="374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连续下降触发灰度停止。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用户点踩率</w:t>
            </w:r>
          </w:p>
        </w:tc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≤ 5%</w:t>
            </w:r>
          </w:p>
        </w:tc>
        <w:tc>
          <w:tcPr>
            <w:tcW w:type="dxa" w:w="249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result_feedbacks 聚合</w:t>
            </w:r>
          </w:p>
        </w:tc>
        <w:tc>
          <w:tcPr>
            <w:tcW w:type="dxa" w:w="374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超过阈值触发质量告警，不直接并入 Risk Score。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P95 生成延迟回归</w:t>
            </w:r>
          </w:p>
        </w:tc>
        <w:tc>
          <w:tcPr>
            <w:tcW w:type="dxa" w:w="124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≤ 基线 +20%</w:t>
            </w:r>
          </w:p>
        </w:tc>
        <w:tc>
          <w:tcPr>
            <w:tcW w:type="dxa" w:w="249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Langfuse Generation latency</w:t>
            </w:r>
          </w:p>
        </w:tc>
        <w:tc>
          <w:tcPr>
            <w:tcW w:type="dxa" w:w="374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超限则回滚或切低成本备选模型。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错误率 / 429</w:t>
            </w:r>
          </w:p>
        </w:tc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连续 5 分钟低于阈值</w:t>
            </w:r>
          </w:p>
        </w:tc>
        <w:tc>
          <w:tcPr>
            <w:tcW w:type="dxa" w:w="249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Gateway + health checker</w:t>
            </w:r>
          </w:p>
        </w:tc>
        <w:tc>
          <w:tcPr>
            <w:tcW w:type="dxa" w:w="374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超限触发供应商熔断与切流。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10.5 反馈闭环与 Hard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87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55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实现</w:t>
            </w:r>
          </w:p>
        </w:tc>
        <w:tc>
          <w:tcPr>
            <w:tcW w:type="dxa" w:w="5046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结果页内提交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FeedbackWidget</w:t>
            </w:r>
          </w:p>
        </w:tc>
        <w:tc>
          <w:tcPr>
            <w:tcW w:type="dxa" w:w="504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用户对单条结果只可提交一次；提交后锁定并允许审计查看。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数据写入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result_feedbacks</w:t>
            </w:r>
          </w:p>
        </w:tc>
        <w:tc>
          <w:tcPr>
            <w:tcW w:type="dxa" w:w="504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写入 feedback_id、score、feedback_type、comment 与 langfuse_trace_id。</w:t>
            </w:r>
          </w:p>
        </w:tc>
      </w:tr>
      <w:tr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追踪回写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Langfuse Score</w:t>
            </w:r>
          </w:p>
        </w:tc>
        <w:tc>
          <w:tcPr>
            <w:tcW w:type="dxa" w:w="504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以 user_feedback 评分写入 Trace，支持后续按模型/租户聚合。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Hard Case 入库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quality_hardcase_job（建议新增）</w:t>
            </w:r>
          </w:p>
        </w:tc>
        <w:tc>
          <w:tcPr>
            <w:tcW w:type="dxa" w:w="504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将差评样本、错误引用与图像证据送入评测集。</w:t>
            </w:r>
          </w:p>
        </w:tc>
      </w:tr>
      <w:tr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质量报表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quality_report_service</w:t>
            </w:r>
          </w:p>
        </w:tc>
        <w:tc>
          <w:tcPr>
            <w:tcW w:type="dxa" w:w="504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输出点踩率趋势、各类型占比、模型版本对比、问题 Top N。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D7E7F5"/>
            <w:tcMar>
              <w:top w:w="90" w:type="dxa"/>
              <w:start w:w="140" w:type="dxa"/>
              <w:bottom w:w="90" w:type="dxa"/>
              <w:end w:w="140" w:type="dxa"/>
            </w:tcMar>
            <w:tcBorders>
              <w:left w:val="single" w:sz="12" w:color="E6A23C"/>
              <w:top w:val="single" w:sz="12" w:color="E6A23C"/>
              <w:right w:val="single" w:sz="12" w:color="E6A23C"/>
              <w:bottom w:val="single" w:sz="12" w:color="E6A23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6334C"/>
                <w:sz w:val="20"/>
              </w:rPr>
              <w:t>统一要求</w:t>
            </w:r>
          </w:p>
        </w:tc>
      </w:tr>
      <w:tr>
        <w:tc>
          <w:tcPr>
            <w:tcW w:type="dxa" w:w="9752"/>
            <w:shd w:fill="FFF5E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left w:val="single" w:sz="12" w:color="E6A23C"/>
              <w:top w:val="single" w:sz="12" w:color="E6A23C"/>
              <w:right w:val="single" w:sz="12" w:color="E6A23C"/>
              <w:bottom w:val="single" w:sz="12" w:color="E6A23C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用户反馈仍保持与 Risk Score 解耦，不直接改变单次稳定性评分；但它必须成为发布门禁、质量报告和 Hard Case 数据集更新的强约束输入。</w:t>
            </w:r>
          </w:p>
        </w:tc>
      </w:tr>
    </w:tbl>
    <w:p>
      <w:pPr>
        <w:pStyle w:val="Heading1"/>
        <w:spacing w:before="240" w:after="120" w:line="276" w:lineRule="auto"/>
      </w:pPr>
      <w:r>
        <w:rPr>
          <w:rFonts w:ascii="Noto Serif CJK SC" w:hAnsi="Noto Serif CJK SC" w:eastAsia="Noto Serif CJK SC"/>
          <w:b/>
          <w:i w:val="0"/>
          <w:color w:val="123B5A"/>
          <w:sz w:val="31"/>
        </w:rPr>
        <w:t>11. API、事件与集成规范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所有后端接口统一使用 RESTful 风格，响应 envelope 中必须带 request_id。实时事件统一使用 SSE。Langfuse 访问通过服务端代理实现，不允许前端直接拼装跨租户查询。</w:t>
      </w:r>
    </w:p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11.1 核心接口分组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247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3742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代表接口</w:t>
            </w:r>
          </w:p>
        </w:tc>
        <w:tc>
          <w:tcPr>
            <w:tcW w:type="dxa" w:w="4535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认证</w:t>
            </w:r>
          </w:p>
        </w:tc>
        <w:tc>
          <w:tcPr>
            <w:tcW w:type="dxa" w:w="374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POST /api/v1/auth/token · /refresh</w:t>
            </w:r>
          </w:p>
        </w:tc>
        <w:tc>
          <w:tcPr>
            <w:tcW w:type="dxa" w:w="45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登录与令牌刷新；Access Token 15 分钟，Refresh Token 单次使用。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用户</w:t>
            </w:r>
          </w:p>
        </w:tc>
        <w:tc>
          <w:tcPr>
            <w:tcW w:type="dxa" w:w="374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GET/POST /api/v1/users · PATCH /{id}/role</w:t>
            </w:r>
          </w:p>
        </w:tc>
        <w:tc>
          <w:tcPr>
            <w:tcW w:type="dxa" w:w="45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用户列表、创建、角色变更、MFA 管理。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任务</w:t>
            </w:r>
          </w:p>
        </w:tc>
        <w:tc>
          <w:tcPr>
            <w:tcW w:type="dxa" w:w="374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POST /api/v1/tasks · GET /api/v1/tasks/{id}</w:t>
            </w:r>
          </w:p>
        </w:tc>
        <w:tc>
          <w:tcPr>
            <w:tcW w:type="dxa" w:w="45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创建任务、查询状态、分页列表。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结果</w:t>
            </w:r>
          </w:p>
        </w:tc>
        <w:tc>
          <w:tcPr>
            <w:tcW w:type="dxa" w:w="374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GET /api/v1/results/{id}</w:t>
            </w:r>
          </w:p>
        </w:tc>
        <w:tc>
          <w:tcPr>
            <w:tcW w:type="dxa" w:w="45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查看结论详情、复核信息、引用与反馈入口。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稳定性/预警</w:t>
            </w:r>
          </w:p>
        </w:tc>
        <w:tc>
          <w:tcPr>
            <w:tcW w:type="dxa" w:w="374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GET /api/v1/stability/{result_id} · GET/PATCH /alerts/*</w:t>
            </w:r>
          </w:p>
        </w:tc>
        <w:tc>
          <w:tcPr>
            <w:tcW w:type="dxa" w:w="45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查看评分、ACK、解决与压制预警。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工具</w:t>
            </w:r>
          </w:p>
        </w:tc>
        <w:tc>
          <w:tcPr>
            <w:tcW w:type="dxa" w:w="374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GET/POST /api/v1/tools</w:t>
            </w:r>
          </w:p>
        </w:tc>
        <w:tc>
          <w:tcPr>
            <w:tcW w:type="dxa" w:w="45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工具查询、注册、激活/停用。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统计</w:t>
            </w:r>
          </w:p>
        </w:tc>
        <w:tc>
          <w:tcPr>
            <w:tcW w:type="dxa" w:w="374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GET /api/v1/analytics/overview</w:t>
            </w:r>
          </w:p>
        </w:tc>
        <w:tc>
          <w:tcPr>
            <w:tcW w:type="dxa" w:w="45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平台总览、趋势与模型对比。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治理-模型</w:t>
            </w:r>
          </w:p>
        </w:tc>
        <w:tc>
          <w:tcPr>
            <w:tcW w:type="dxa" w:w="374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GET/POST/PATCH /api/v1/model-configs</w:t>
            </w:r>
          </w:p>
        </w:tc>
        <w:tc>
          <w:tcPr>
            <w:tcW w:type="dxa" w:w="45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平台运维管理模型配置与健康状态。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治理-计费</w:t>
            </w:r>
          </w:p>
        </w:tc>
        <w:tc>
          <w:tcPr>
            <w:tcW w:type="dxa" w:w="374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GET /api/v1/billing/usage</w:t>
            </w:r>
          </w:p>
        </w:tc>
        <w:tc>
          <w:tcPr>
            <w:tcW w:type="dxa" w:w="45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按租户/模型/日期维度查询成本与流水。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治理-反馈</w:t>
            </w:r>
          </w:p>
        </w:tc>
        <w:tc>
          <w:tcPr>
            <w:tcW w:type="dxa" w:w="374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POST /api/v1/feedbacks · GET /api/v1/feedbacks</w:t>
            </w:r>
          </w:p>
        </w:tc>
        <w:tc>
          <w:tcPr>
            <w:tcW w:type="dxa" w:w="45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提交反馈与治理侧聚合查询。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治理-质量</w:t>
            </w:r>
          </w:p>
        </w:tc>
        <w:tc>
          <w:tcPr>
            <w:tcW w:type="dxa" w:w="374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GET /api/v1/quality/report</w:t>
            </w:r>
          </w:p>
        </w:tc>
        <w:tc>
          <w:tcPr>
            <w:tcW w:type="dxa" w:w="45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质量周报、对比分析、回归摘要。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治理-追踪</w:t>
            </w:r>
          </w:p>
        </w:tc>
        <w:tc>
          <w:tcPr>
            <w:tcW w:type="dxa" w:w="374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GET /api/v1/langfuse/*（代理）</w:t>
            </w:r>
          </w:p>
        </w:tc>
        <w:tc>
          <w:tcPr>
            <w:tcW w:type="dxa" w:w="45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服务端代理 Langfuse 查询；统一附加租户过滤与导出审计。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实时</w:t>
            </w:r>
          </w:p>
        </w:tc>
        <w:tc>
          <w:tcPr>
            <w:tcW w:type="dxa" w:w="374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POST /api/v1/streams/session · GET /api/v1/tasks/{id}/stream</w:t>
            </w:r>
          </w:p>
        </w:tc>
        <w:tc>
          <w:tcPr>
            <w:tcW w:type="dxa" w:w="45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先获取短期 stream token，再通过 SSE 订阅事件。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审计</w:t>
            </w:r>
          </w:p>
        </w:tc>
        <w:tc>
          <w:tcPr>
            <w:tcW w:type="dxa" w:w="374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GET /api/v1/audit-logs</w:t>
            </w:r>
          </w:p>
        </w:tc>
        <w:tc>
          <w:tcPr>
            <w:tcW w:type="dxa" w:w="45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审计员与超级管理员查询高敏操作日志。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11.2 标准响应 Envelope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6F8FA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4292F"/>
                <w:sz w:val="18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"request_id": "req_01J...",</w:t>
              <w:br/>
              <w:t xml:space="preserve">  "data": {</w:t>
              <w:br/>
              <w:t xml:space="preserve">    "...": "..." </w:t>
              <w:br/>
              <w:t xml:space="preserve">  }</w:t>
              <w:br/>
              <w:t>}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11.3 SSE 事件规范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事件</w:t>
            </w:r>
          </w:p>
        </w:tc>
        <w:tc>
          <w:tcPr>
            <w:tcW w:type="dxa" w:w="2268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5556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建议字段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node_start</w:t>
            </w:r>
          </w:p>
        </w:tc>
        <w:tc>
          <w:tcPr>
            <w:tcW w:type="dxa" w:w="226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节点开始执行</w:t>
            </w:r>
          </w:p>
        </w:tc>
        <w:tc>
          <w:tcPr>
            <w:tcW w:type="dxa" w:w="555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node, task_id, trace_id, started_at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node_done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节点完成</w:t>
            </w:r>
          </w:p>
        </w:tc>
        <w:tc>
          <w:tcPr>
            <w:tcW w:type="dxa" w:w="555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node, task_id, span_id, latency_ms, status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complete</w:t>
            </w:r>
          </w:p>
        </w:tc>
        <w:tc>
          <w:tcPr>
            <w:tcW w:type="dxa" w:w="226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任务完成</w:t>
            </w:r>
          </w:p>
        </w:tc>
        <w:tc>
          <w:tcPr>
            <w:tcW w:type="dxa" w:w="555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task_id, result_id, verdict, risk_level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error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任务失败或节点异常</w:t>
            </w:r>
          </w:p>
        </w:tc>
        <w:tc>
          <w:tcPr>
            <w:tcW w:type="dxa" w:w="555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task_id, node, error_code, message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alert</w:t>
            </w:r>
          </w:p>
        </w:tc>
        <w:tc>
          <w:tcPr>
            <w:tcW w:type="dxa" w:w="226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高风险告警（可选）</w:t>
            </w:r>
          </w:p>
        </w:tc>
        <w:tc>
          <w:tcPr>
            <w:tcW w:type="dxa" w:w="555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task_id, alert_id, severity, title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6F8FA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4292F"/>
                <w:sz w:val="18"/>
              </w:rPr>
              <w:t>event: node_done</w:t>
              <w:br/>
              <w:t>data: {"task_id":"tsk_01J...","node":"reasoning","span_id":"spn_01J...","latency_ms":431,"status":"ok"}</w:t>
            </w:r>
          </w:p>
        </w:tc>
      </w:tr>
    </w:tbl>
    <w:p>
      <w:pPr>
        <w:pStyle w:val="Heading1"/>
        <w:spacing w:before="240" w:after="120" w:line="276" w:lineRule="auto"/>
      </w:pPr>
      <w:r>
        <w:rPr>
          <w:rFonts w:ascii="Noto Serif CJK SC" w:hAnsi="Noto Serif CJK SC" w:eastAsia="Noto Serif CJK SC"/>
          <w:b/>
          <w:i w:val="0"/>
          <w:color w:val="123B5A"/>
          <w:sz w:val="31"/>
        </w:rPr>
        <w:t>12. 安全、合规与可观测性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v1.1 不仅要完成传统安全控制，还要覆盖 LLMOps 场景下的追踪可见性、导出审计、Langfuse 私有化、SSE 安全和多租户越权防护。</w:t>
      </w:r>
    </w:p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12.1 安全与合规控制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87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控制域</w:t>
            </w:r>
          </w:p>
        </w:tc>
        <w:tc>
          <w:tcPr>
            <w:tcW w:type="dxa" w:w="2835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机制</w:t>
            </w:r>
          </w:p>
        </w:tc>
        <w:tc>
          <w:tcPr>
            <w:tcW w:type="dxa" w:w="4989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执行要求</w:t>
            </w:r>
          </w:p>
        </w:tc>
      </w:tr>
      <w:tr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身份认证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OAuth 2.0 / OIDC / SAML + JWT + TOTP</w:t>
            </w:r>
          </w:p>
        </w:tc>
        <w:tc>
          <w:tcPr>
            <w:tcW w:type="dxa" w:w="498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super_admin / org_admin 强制 MFA；api_service 使用 HMAC API Key。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权限控制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RBAC + ABAC</w:t>
            </w:r>
          </w:p>
        </w:tc>
        <w:tc>
          <w:tcPr>
            <w:tcW w:type="dxa" w:w="498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按 role + org_id + resource owner 做多维校验。</w:t>
            </w:r>
          </w:p>
        </w:tc>
      </w:tr>
      <w:tr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传输与存储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TLS 1.3 + AES-256-GCM</w:t>
            </w:r>
          </w:p>
        </w:tc>
        <w:tc>
          <w:tcPr>
            <w:tcW w:type="dxa" w:w="498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API Key、MFA Secret、外部凭据均加密存储，由 KMS/HSM 管理。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输入安全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Prompt Injection 防护、Schema 校验、文件白名单</w:t>
            </w:r>
          </w:p>
        </w:tc>
        <w:tc>
          <w:tcPr>
            <w:tcW w:type="dxa" w:w="498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工具调用前做参数验证与沙箱隔离。</w:t>
            </w:r>
          </w:p>
        </w:tc>
      </w:tr>
      <w:tr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追踪隐私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Trace 脱敏、导出审计、最小可见性</w:t>
            </w:r>
          </w:p>
        </w:tc>
        <w:tc>
          <w:tcPr>
            <w:tcW w:type="dxa" w:w="498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生产禁用直接原始 Prompt 外泄；敏感字段按规则掩码。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审计不可篡改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Outbox + piap_audit + Hash</w:t>
            </w:r>
          </w:p>
        </w:tc>
        <w:tc>
          <w:tcPr>
            <w:tcW w:type="dxa" w:w="498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高敏读写与导出均写审计日志。</w:t>
            </w:r>
          </w:p>
        </w:tc>
      </w:tr>
      <w:tr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SSE 安全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短期 stream token / Cookie</w:t>
            </w:r>
          </w:p>
        </w:tc>
        <w:tc>
          <w:tcPr>
            <w:tcW w:type="dxa" w:w="498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禁止 URL 长期令牌；连接断开自动清理。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12.2 可观测栈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87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域</w:t>
            </w:r>
          </w:p>
        </w:tc>
        <w:tc>
          <w:tcPr>
            <w:tcW w:type="dxa" w:w="2268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工具</w:t>
            </w:r>
          </w:p>
        </w:tc>
        <w:tc>
          <w:tcPr>
            <w:tcW w:type="dxa" w:w="5556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Metrics</w:t>
            </w:r>
          </w:p>
        </w:tc>
        <w:tc>
          <w:tcPr>
            <w:tcW w:type="dxa" w:w="226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Prometheus + Grafana</w:t>
            </w:r>
          </w:p>
        </w:tc>
        <w:tc>
          <w:tcPr>
            <w:tcW w:type="dxa" w:w="555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QPS、错误率、延迟、GPU 利用率、队列深度、预算燃尽率。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Logs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结构化 JSON + Loki</w:t>
            </w:r>
          </w:p>
        </w:tc>
        <w:tc>
          <w:tcPr>
            <w:tcW w:type="dxa" w:w="555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应用日志、系统日志、治理操作日志。</w:t>
            </w:r>
          </w:p>
        </w:tc>
      </w:tr>
      <w:tr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Traces</w:t>
            </w:r>
          </w:p>
        </w:tc>
        <w:tc>
          <w:tcPr>
            <w:tcW w:type="dxa" w:w="226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OpenTelemetry + Tempo</w:t>
            </w:r>
          </w:p>
        </w:tc>
        <w:tc>
          <w:tcPr>
            <w:tcW w:type="dxa" w:w="555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API、Worker、DB、外部调用的全链路追踪。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LLMOps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Langfuse</w:t>
            </w:r>
          </w:p>
        </w:tc>
        <w:tc>
          <w:tcPr>
            <w:tcW w:type="dxa" w:w="555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LLM 调用、节点跨度、质量评分、人工反馈。</w:t>
            </w:r>
          </w:p>
        </w:tc>
      </w:tr>
      <w:tr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Profiling</w:t>
            </w:r>
          </w:p>
        </w:tc>
        <w:tc>
          <w:tcPr>
            <w:tcW w:type="dxa" w:w="226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Pyroscope</w:t>
            </w:r>
          </w:p>
        </w:tc>
        <w:tc>
          <w:tcPr>
            <w:tcW w:type="dxa" w:w="555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CPU / 内存火焰图，定位慢节点与泄漏。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12.3 Langfuse Trace 隐私规则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84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可见性级别</w:t>
            </w:r>
          </w:p>
        </w:tc>
        <w:tc>
          <w:tcPr>
            <w:tcW w:type="dxa" w:w="7370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8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默认可见</w:t>
            </w:r>
          </w:p>
        </w:tc>
        <w:tc>
          <w:tcPr>
            <w:tcW w:type="dxa" w:w="737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task_id、节点名、耗时、token、成本、评分、脱敏后的输入摘要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受限可见</w:t>
            </w:r>
          </w:p>
        </w:tc>
        <w:tc>
          <w:tcPr>
            <w:tcW w:type="dxa" w:w="737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原始 prompt、原始 completion、用户评论明文、导出文件</w:t>
            </w:r>
          </w:p>
        </w:tc>
      </w:tr>
      <w:tr>
        <w:tc>
          <w:tcPr>
            <w:tcW w:type="dxa" w:w="198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生产要求</w:t>
            </w:r>
          </w:p>
        </w:tc>
        <w:tc>
          <w:tcPr>
            <w:tcW w:type="dxa" w:w="737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仅 ai_quality / super_admin 在合规场景下经审批查看；所有导出必须写 audit_logs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页面实现</w:t>
            </w:r>
          </w:p>
        </w:tc>
        <w:tc>
          <w:tcPr>
            <w:tcW w:type="dxa" w:w="737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QualityTracingView 默认使用服务端代理查询；iframe 只在私有化 + SSO + tenant filter 完成后可选开启</w:t>
            </w:r>
          </w:p>
        </w:tc>
      </w:tr>
    </w:tbl>
    <w:p>
      <w:pPr>
        <w:pStyle w:val="Heading1"/>
        <w:spacing w:before="240" w:after="120" w:line="276" w:lineRule="auto"/>
      </w:pPr>
      <w:r>
        <w:rPr>
          <w:rFonts w:ascii="Noto Serif CJK SC" w:hAnsi="Noto Serif CJK SC" w:eastAsia="Noto Serif CJK SC"/>
          <w:b/>
          <w:i w:val="0"/>
          <w:color w:val="123B5A"/>
          <w:sz w:val="31"/>
        </w:rPr>
        <w:t>13. 部署、配置与运维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部署设计采用分环境策略，开发与测试可适度简化，生产环境必须补齐私有化 Langfuse、数据库 HA、备份、熔断和容量监控。</w:t>
      </w:r>
    </w:p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13.1 环境分层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0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环境</w:t>
            </w:r>
          </w:p>
        </w:tc>
        <w:tc>
          <w:tcPr>
            <w:tcW w:type="dxa" w:w="204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2665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部署形式</w:t>
            </w:r>
          </w:p>
        </w:tc>
        <w:tc>
          <w:tcPr>
            <w:tcW w:type="dxa" w:w="306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LLM/LLMOps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Development</w:t>
            </w:r>
          </w:p>
        </w:tc>
        <w:tc>
          <w:tcPr>
            <w:tcW w:type="dxa" w:w="204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本地开发 / 单元测试</w:t>
            </w:r>
          </w:p>
        </w:tc>
        <w:tc>
          <w:tcPr>
            <w:tcW w:type="dxa" w:w="266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Docker Compose（单机）</w:t>
            </w:r>
          </w:p>
        </w:tc>
        <w:tc>
          <w:tcPr>
            <w:tcW w:type="dxa" w:w="306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本地 Ollama 或测试模型；Langfuse 可禁用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Staging</w:t>
            </w:r>
          </w:p>
        </w:tc>
        <w:tc>
          <w:tcPr>
            <w:tcW w:type="dxa" w:w="204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集成测试 / 验收</w:t>
            </w:r>
          </w:p>
        </w:tc>
        <w:tc>
          <w:tcPr>
            <w:tcW w:type="dxa" w:w="266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K8s 小规格集群（3 节点）</w:t>
            </w:r>
          </w:p>
        </w:tc>
        <w:tc>
          <w:tcPr>
            <w:tcW w:type="dxa" w:w="306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内网模型服务 + 私有 Langfuse 或测试 Cloud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Production</w:t>
            </w:r>
          </w:p>
        </w:tc>
        <w:tc>
          <w:tcPr>
            <w:tcW w:type="dxa" w:w="204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正式业务运行</w:t>
            </w:r>
          </w:p>
        </w:tc>
        <w:tc>
          <w:tcPr>
            <w:tcW w:type="dxa" w:w="266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K8s 高可用集群（≥5 节点）</w:t>
            </w:r>
          </w:p>
        </w:tc>
        <w:tc>
          <w:tcPr>
            <w:tcW w:type="dxa" w:w="306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企业级 API / 私有 GPU 集群；Langfuse 默认私有化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13.2 K8s 服务清单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2268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服务</w:t>
            </w:r>
          </w:p>
        </w:tc>
        <w:tc>
          <w:tcPr>
            <w:tcW w:type="dxa" w:w="1020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副本数</w:t>
            </w:r>
          </w:p>
        </w:tc>
        <w:tc>
          <w:tcPr>
            <w:tcW w:type="dxa" w:w="1587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CPU</w:t>
            </w:r>
          </w:p>
        </w:tc>
        <w:tc>
          <w:tcPr>
            <w:tcW w:type="dxa" w:w="1474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内存</w:t>
            </w:r>
          </w:p>
        </w:tc>
        <w:tc>
          <w:tcPr>
            <w:tcW w:type="dxa" w:w="3061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api-gateway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</w:t>
            </w:r>
          </w:p>
        </w:tc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500m / 1000m</w:t>
            </w:r>
          </w:p>
        </w:tc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512Mi / 1Gi</w:t>
            </w:r>
          </w:p>
        </w:tc>
        <w:tc>
          <w:tcPr>
            <w:tcW w:type="dxa" w:w="306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统一 API 入口、JWT、SSE、代理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orchestrator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</w:t>
            </w:r>
          </w:p>
        </w:tc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1000m / 2000m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1Gi / 2Gi</w:t>
            </w:r>
          </w:p>
        </w:tc>
        <w:tc>
          <w:tcPr>
            <w:tcW w:type="dxa" w:w="306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LangGraph 编排与任务调度</w:t>
            </w:r>
          </w:p>
        </w:tc>
      </w:tr>
      <w:tr>
        <w:tc>
          <w:tcPr>
            <w:tcW w:type="dxa" w:w="226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llm-proxy / model-gateway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500m / 1000m</w:t>
            </w:r>
          </w:p>
        </w:tc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512Mi / 1Gi</w:t>
            </w:r>
          </w:p>
        </w:tc>
        <w:tc>
          <w:tcPr>
            <w:tcW w:type="dxa" w:w="306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模型路由、重试、计费与限流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stability-analyzer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1000m / 2000m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2Gi / 4Gi</w:t>
            </w:r>
          </w:p>
        </w:tc>
        <w:tc>
          <w:tcPr>
            <w:tcW w:type="dxa" w:w="306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稳定性评分与预警生成</w:t>
            </w:r>
          </w:p>
        </w:tc>
      </w:tr>
      <w:tr>
        <w:tc>
          <w:tcPr>
            <w:tcW w:type="dxa" w:w="226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tool-executor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</w:t>
            </w:r>
          </w:p>
        </w:tc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500m / 2000m</w:t>
            </w:r>
          </w:p>
        </w:tc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512Mi / 2Gi</w:t>
            </w:r>
          </w:p>
        </w:tc>
        <w:tc>
          <w:tcPr>
            <w:tcW w:type="dxa" w:w="306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工具调用与沙箱执行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worker-alert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500m / 1000m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512Mi / 1Gi</w:t>
            </w:r>
          </w:p>
        </w:tc>
        <w:tc>
          <w:tcPr>
            <w:tcW w:type="dxa" w:w="306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告警分发与定时作业</w:t>
            </w:r>
          </w:p>
        </w:tc>
      </w:tr>
      <w:tr>
        <w:tc>
          <w:tcPr>
            <w:tcW w:type="dxa" w:w="226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model-health-checker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</w:t>
            </w:r>
          </w:p>
        </w:tc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200m</w:t>
            </w:r>
          </w:p>
        </w:tc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256Mi</w:t>
            </w:r>
          </w:p>
        </w:tc>
        <w:tc>
          <w:tcPr>
            <w:tcW w:type="dxa" w:w="306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定时探活模型 API，更新 health_status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langfuse-app（私有）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1000m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2Gi</w:t>
            </w:r>
          </w:p>
        </w:tc>
        <w:tc>
          <w:tcPr>
            <w:tcW w:type="dxa" w:w="306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Langfuse 主服务</w:t>
            </w:r>
          </w:p>
        </w:tc>
      </w:tr>
      <w:tr>
        <w:tc>
          <w:tcPr>
            <w:tcW w:type="dxa" w:w="226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langfuse-worker（私有）</w:t>
            </w:r>
          </w:p>
        </w:tc>
        <w:tc>
          <w:tcPr>
            <w:tcW w:type="dxa" w:w="1020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</w:t>
            </w:r>
          </w:p>
        </w:tc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500m</w:t>
            </w:r>
          </w:p>
        </w:tc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1Gi</w:t>
            </w:r>
          </w:p>
        </w:tc>
        <w:tc>
          <w:tcPr>
            <w:tcW w:type="dxa" w:w="306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Langfuse 异步处理 Worker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frontend</w:t>
            </w:r>
          </w:p>
        </w:tc>
        <w:tc>
          <w:tcPr>
            <w:tcW w:type="dxa" w:w="1020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200m / 500m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256Mi / 512Mi</w:t>
            </w:r>
          </w:p>
        </w:tc>
        <w:tc>
          <w:tcPr>
            <w:tcW w:type="dxa" w:w="306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Nginx 静态站点与 SPA 入口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13.3 MySQL 高可用与恢复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角色/组件</w:t>
            </w:r>
          </w:p>
        </w:tc>
        <w:tc>
          <w:tcPr>
            <w:tcW w:type="dxa" w:w="255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配置</w:t>
            </w:r>
          </w:p>
        </w:tc>
        <w:tc>
          <w:tcPr>
            <w:tcW w:type="dxa" w:w="5556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主库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 节点，8C/32G/NVMe</w:t>
            </w:r>
          </w:p>
        </w:tc>
        <w:tc>
          <w:tcPr>
            <w:tcW w:type="dxa" w:w="555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处理全部写入，半同步复制，VIP 漂移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从库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 节点，8C/32G/NVMe</w:t>
            </w:r>
          </w:p>
        </w:tc>
        <w:tc>
          <w:tcPr>
            <w:tcW w:type="dxa" w:w="555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承担读查询，其中 1 台延迟从库（1h）</w:t>
            </w:r>
          </w:p>
        </w:tc>
      </w:tr>
      <w:tr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VIP</w:t>
            </w:r>
          </w:p>
        </w:tc>
        <w:tc>
          <w:tcPr>
            <w:tcW w:type="dxa" w:w="255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HAProxy + Keepalived</w:t>
            </w:r>
          </w:p>
        </w:tc>
        <w:tc>
          <w:tcPr>
            <w:tcW w:type="dxa" w:w="555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主库故障时无感切换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监控 / 选主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Orchestrator</w:t>
            </w:r>
          </w:p>
        </w:tc>
        <w:tc>
          <w:tcPr>
            <w:tcW w:type="dxa" w:w="555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自动故障剔除与选主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928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备份类型</w:t>
            </w:r>
          </w:p>
        </w:tc>
        <w:tc>
          <w:tcPr>
            <w:tcW w:type="dxa" w:w="1928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工具</w:t>
            </w:r>
          </w:p>
        </w:tc>
        <w:tc>
          <w:tcPr>
            <w:tcW w:type="dxa" w:w="1417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频率</w:t>
            </w:r>
          </w:p>
        </w:tc>
        <w:tc>
          <w:tcPr>
            <w:tcW w:type="dxa" w:w="1417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保留周期</w:t>
            </w:r>
          </w:p>
        </w:tc>
        <w:tc>
          <w:tcPr>
            <w:tcW w:type="dxa" w:w="2721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存储位置</w:t>
            </w:r>
          </w:p>
        </w:tc>
      </w:tr>
      <w:tr>
        <w:tc>
          <w:tcPr>
            <w:tcW w:type="dxa" w:w="192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全量物理备份</w:t>
            </w:r>
          </w:p>
        </w:tc>
        <w:tc>
          <w:tcPr>
            <w:tcW w:type="dxa" w:w="192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Percona XtraBackup</w:t>
            </w:r>
          </w:p>
        </w:tc>
        <w:tc>
          <w:tcPr>
            <w:tcW w:type="dxa" w:w="141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每日 02:00</w:t>
            </w:r>
          </w:p>
        </w:tc>
        <w:tc>
          <w:tcPr>
            <w:tcW w:type="dxa" w:w="141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30 天</w:t>
            </w:r>
          </w:p>
        </w:tc>
        <w:tc>
          <w:tcPr>
            <w:tcW w:type="dxa" w:w="272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MinIO（异地存储）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增量备份</w:t>
            </w:r>
          </w:p>
        </w:tc>
        <w:tc>
          <w:tcPr>
            <w:tcW w:type="dxa" w:w="192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XtraBackup --incremental</w:t>
            </w:r>
          </w:p>
        </w:tc>
        <w:tc>
          <w:tcPr>
            <w:tcW w:type="dxa" w:w="141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每 6 小时</w:t>
            </w:r>
          </w:p>
        </w:tc>
        <w:tc>
          <w:tcPr>
            <w:tcW w:type="dxa" w:w="141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7 天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MinIO（本地+异地）</w:t>
            </w:r>
          </w:p>
        </w:tc>
      </w:tr>
      <w:tr>
        <w:tc>
          <w:tcPr>
            <w:tcW w:type="dxa" w:w="192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逻辑备份（审计库）</w:t>
            </w:r>
          </w:p>
        </w:tc>
        <w:tc>
          <w:tcPr>
            <w:tcW w:type="dxa" w:w="192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mysqldump + gzip</w:t>
            </w:r>
          </w:p>
        </w:tc>
        <w:tc>
          <w:tcPr>
            <w:tcW w:type="dxa" w:w="141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每周一次</w:t>
            </w:r>
          </w:p>
        </w:tc>
        <w:tc>
          <w:tcPr>
            <w:tcW w:type="dxa" w:w="141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 年</w:t>
            </w:r>
          </w:p>
        </w:tc>
        <w:tc>
          <w:tcPr>
            <w:tcW w:type="dxa" w:w="272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冷存储归档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Binlog 归档</w:t>
            </w:r>
          </w:p>
        </w:tc>
        <w:tc>
          <w:tcPr>
            <w:tcW w:type="dxa" w:w="192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mysqlbinlog + 自动上传</w:t>
            </w:r>
          </w:p>
        </w:tc>
        <w:tc>
          <w:tcPr>
            <w:tcW w:type="dxa" w:w="141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实时</w:t>
            </w:r>
          </w:p>
        </w:tc>
        <w:tc>
          <w:tcPr>
            <w:tcW w:type="dxa" w:w="141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90 天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MinIO（加密存储）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041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场景</w:t>
            </w:r>
          </w:p>
        </w:tc>
        <w:tc>
          <w:tcPr>
            <w:tcW w:type="dxa" w:w="1361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RTO</w:t>
            </w:r>
          </w:p>
        </w:tc>
        <w:tc>
          <w:tcPr>
            <w:tcW w:type="dxa" w:w="1587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RPO</w:t>
            </w:r>
          </w:p>
        </w:tc>
        <w:tc>
          <w:tcPr>
            <w:tcW w:type="dxa" w:w="4422"/>
            <w:shd w:fill="173F5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恢复方式</w:t>
            </w:r>
          </w:p>
        </w:tc>
      </w:tr>
      <w:tr>
        <w:tc>
          <w:tcPr>
            <w:tcW w:type="dxa" w:w="204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从库故障</w:t>
            </w:r>
          </w:p>
        </w:tc>
        <w:tc>
          <w:tcPr>
            <w:tcW w:type="dxa" w:w="136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&lt; 1 分钟</w:t>
            </w:r>
          </w:p>
        </w:tc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N/A</w:t>
            </w:r>
          </w:p>
        </w:tc>
        <w:tc>
          <w:tcPr>
            <w:tcW w:type="dxa" w:w="442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HAProxy 自动剔除故障节点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主库故障</w:t>
            </w:r>
          </w:p>
        </w:tc>
        <w:tc>
          <w:tcPr>
            <w:tcW w:type="dxa" w:w="136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&lt; 3 分钟</w:t>
            </w:r>
          </w:p>
        </w:tc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&lt; 1 秒（半同步）</w:t>
            </w:r>
          </w:p>
        </w:tc>
        <w:tc>
          <w:tcPr>
            <w:tcW w:type="dxa" w:w="442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Orchestrator 自动选主 + VIP 漂移</w:t>
            </w:r>
          </w:p>
        </w:tc>
      </w:tr>
      <w:tr>
        <w:tc>
          <w:tcPr>
            <w:tcW w:type="dxa" w:w="204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数据误删</w:t>
            </w:r>
          </w:p>
        </w:tc>
        <w:tc>
          <w:tcPr>
            <w:tcW w:type="dxa" w:w="136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&lt; 30 分钟</w:t>
            </w:r>
          </w:p>
        </w:tc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至上次 binlog</w:t>
            </w:r>
          </w:p>
        </w:tc>
        <w:tc>
          <w:tcPr>
            <w:tcW w:type="dxa" w:w="442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Binlog 解析闪回（my2sql）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数据库文件损坏</w:t>
            </w:r>
          </w:p>
        </w:tc>
        <w:tc>
          <w:tcPr>
            <w:tcW w:type="dxa" w:w="136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&lt; 2 小时</w:t>
            </w:r>
          </w:p>
        </w:tc>
        <w:tc>
          <w:tcPr>
            <w:tcW w:type="dxa" w:w="1587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至上次备份</w:t>
            </w:r>
          </w:p>
        </w:tc>
        <w:tc>
          <w:tcPr>
            <w:tcW w:type="dxa" w:w="442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XtraBackup 全量恢复 + Binlog 追加</w:t>
            </w:r>
          </w:p>
        </w:tc>
      </w:tr>
      <w:tr>
        <w:tc>
          <w:tcPr>
            <w:tcW w:type="dxa" w:w="204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整体机房故障</w:t>
            </w:r>
          </w:p>
        </w:tc>
        <w:tc>
          <w:tcPr>
            <w:tcW w:type="dxa" w:w="136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&lt; 4 小时</w:t>
            </w:r>
          </w:p>
        </w:tc>
        <w:tc>
          <w:tcPr>
            <w:tcW w:type="dxa" w:w="1587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&lt; 5 分钟</w:t>
            </w:r>
          </w:p>
        </w:tc>
        <w:tc>
          <w:tcPr>
            <w:tcW w:type="dxa" w:w="442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异地备份恢复 + 重建从库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13.4 关键环境变量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835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变量</w:t>
            </w:r>
          </w:p>
        </w:tc>
        <w:tc>
          <w:tcPr>
            <w:tcW w:type="dxa" w:w="3402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type="dxa" w:w="3175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建议值</w:t>
            </w:r>
          </w:p>
        </w:tc>
      </w:tr>
      <w:tr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MODEL_GATEWAY_ENABLED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启用多模型网关</w:t>
            </w:r>
          </w:p>
        </w:tc>
        <w:tc>
          <w:tcPr>
            <w:tcW w:type="dxa" w:w="317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MODEL_HEALTH_CHECK_INTERVAL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模型探活周期（秒）</w:t>
            </w:r>
          </w:p>
        </w:tc>
        <w:tc>
          <w:tcPr>
            <w:tcW w:type="dxa" w:w="317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300</w:t>
            </w:r>
          </w:p>
        </w:tc>
      </w:tr>
      <w:tr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MODEL_RATE_LIMIT_WINDOW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限速窗口（秒）</w:t>
            </w:r>
          </w:p>
        </w:tc>
        <w:tc>
          <w:tcPr>
            <w:tcW w:type="dxa" w:w="317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60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LANGFUSE_ENABLED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启用 Langfuse</w:t>
            </w:r>
          </w:p>
        </w:tc>
        <w:tc>
          <w:tcPr>
            <w:tcW w:type="dxa" w:w="317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true（生产私有化）</w:t>
            </w:r>
          </w:p>
        </w:tc>
      </w:tr>
      <w:tr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LANGFUSE_HOST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Langfuse 地址</w:t>
            </w:r>
          </w:p>
        </w:tc>
        <w:tc>
          <w:tcPr>
            <w:tcW w:type="dxa" w:w="317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生产为内网地址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LANGFUSE_FLUSH_INTERVAL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Langfuse 上报批次周期（秒）</w:t>
            </w:r>
          </w:p>
        </w:tc>
        <w:tc>
          <w:tcPr>
            <w:tcW w:type="dxa" w:w="317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LANGFUSE_MAX_BATCH_SIZE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单批上报最大条数</w:t>
            </w:r>
          </w:p>
        </w:tc>
        <w:tc>
          <w:tcPr>
            <w:tcW w:type="dxa" w:w="317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50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SSE_STREAM_TOKEN_TTL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短期 stream token 生存期（秒）</w:t>
            </w:r>
          </w:p>
        </w:tc>
        <w:tc>
          <w:tcPr>
            <w:tcW w:type="dxa" w:w="317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60（新增）</w:t>
            </w:r>
          </w:p>
        </w:tc>
      </w:tr>
      <w:tr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BILLING_IDEMPOTENCY_ENABLED</w:t>
            </w:r>
          </w:p>
        </w:tc>
        <w:tc>
          <w:tcPr>
            <w:tcW w:type="dxa" w:w="340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启用台账幂等</w:t>
            </w:r>
          </w:p>
        </w:tc>
        <w:tc>
          <w:tcPr>
            <w:tcW w:type="dxa" w:w="317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true（新增）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BUDGET_POLICY_ENABLED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启用预算控制面</w:t>
            </w:r>
          </w:p>
        </w:tc>
        <w:tc>
          <w:tcPr>
            <w:tcW w:type="dxa" w:w="317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true（新增）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13.5 核心监控指标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835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272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采集方式</w:t>
            </w:r>
          </w:p>
        </w:tc>
        <w:tc>
          <w:tcPr>
            <w:tcW w:type="dxa" w:w="3855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关注点</w:t>
            </w:r>
          </w:p>
        </w:tc>
      </w:tr>
      <w:tr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MySQL QPS / 连接数 / 慢查询</w:t>
            </w:r>
          </w:p>
        </w:tc>
        <w:tc>
          <w:tcPr>
            <w:tcW w:type="dxa" w:w="272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mysqld_exporter</w:t>
            </w:r>
          </w:p>
        </w:tc>
        <w:tc>
          <w:tcPr>
            <w:tcW w:type="dxa" w:w="385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连接池耗尽、查询性能退化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主从复制延迟 / Binlog 位点差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mysqld_exporter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读一致性与恢复风险</w:t>
            </w:r>
          </w:p>
        </w:tc>
      </w:tr>
      <w:tr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任务 P95 延迟 / 错误率</w:t>
            </w:r>
          </w:p>
        </w:tc>
        <w:tc>
          <w:tcPr>
            <w:tcW w:type="dxa" w:w="272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应用指标</w:t>
            </w:r>
          </w:p>
        </w:tc>
        <w:tc>
          <w:tcPr>
            <w:tcW w:type="dxa" w:w="385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业务 SLA 风险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Langfuse 上报失败率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应用 + worker 指标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追踪丢失与补录积压</w:t>
            </w:r>
          </w:p>
        </w:tc>
      </w:tr>
      <w:tr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Token 台账写入延迟</w:t>
            </w:r>
          </w:p>
        </w:tc>
        <w:tc>
          <w:tcPr>
            <w:tcW w:type="dxa" w:w="272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billing service 指标</w:t>
            </w:r>
          </w:p>
        </w:tc>
        <w:tc>
          <w:tcPr>
            <w:tcW w:type="dxa" w:w="385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成本归因不完整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模型健康探活成功率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health_checker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模型可用性风险</w:t>
            </w:r>
          </w:p>
        </w:tc>
      </w:tr>
      <w:tr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GPU 利用率 / 显存 / 队列深度</w:t>
            </w:r>
          </w:p>
        </w:tc>
        <w:tc>
          <w:tcPr>
            <w:tcW w:type="dxa" w:w="272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Prometheus + GPU exporter</w:t>
            </w:r>
          </w:p>
        </w:tc>
        <w:tc>
          <w:tcPr>
            <w:tcW w:type="dxa" w:w="385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推理容量瓶颈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预算燃尽率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budget_policy_service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异常成本增长与熔断预警</w:t>
            </w:r>
          </w:p>
        </w:tc>
      </w:tr>
    </w:tbl>
    <w:p>
      <w:pPr>
        <w:pStyle w:val="Heading1"/>
        <w:spacing w:before="240" w:after="120" w:line="276" w:lineRule="auto"/>
      </w:pPr>
      <w:r>
        <w:rPr>
          <w:rFonts w:ascii="Noto Serif CJK SC" w:hAnsi="Noto Serif CJK SC" w:eastAsia="Noto Serif CJK SC"/>
          <w:b/>
          <w:i w:val="0"/>
          <w:color w:val="123B5A"/>
          <w:sz w:val="31"/>
        </w:rPr>
        <w:t>14. 测试、发布与回滚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测试体系必须覆盖业务、治理、安全和故障注入四个维度。对于治理层，重点不是 CRUD，而是预算、幂等、越权、切流、补录、回滚是否真实可用。</w:t>
      </w:r>
    </w:p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14.1 测试层次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474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层次</w:t>
            </w:r>
          </w:p>
        </w:tc>
        <w:tc>
          <w:tcPr>
            <w:tcW w:type="dxa" w:w="238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覆盖目标</w:t>
            </w:r>
          </w:p>
        </w:tc>
        <w:tc>
          <w:tcPr>
            <w:tcW w:type="dxa" w:w="2438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工具</w:t>
            </w:r>
          </w:p>
        </w:tc>
        <w:tc>
          <w:tcPr>
            <w:tcW w:type="dxa" w:w="3288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单元测试</w:t>
            </w:r>
          </w:p>
        </w:tc>
        <w:tc>
          <w:tcPr>
            <w:tcW w:type="dxa" w:w="238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函数/方法级逻辑</w:t>
            </w:r>
          </w:p>
        </w:tc>
        <w:tc>
          <w:tcPr>
            <w:tcW w:type="dxa" w:w="243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pytest + pytest-asyncio</w:t>
            </w:r>
          </w:p>
        </w:tc>
        <w:tc>
          <w:tcPr>
            <w:tcW w:type="dxa" w:w="328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行覆盖率 ≥ 85%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集成测试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服务间接口契约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pytest + httpx + Testcontainers</w:t>
            </w:r>
          </w:p>
        </w:tc>
        <w:tc>
          <w:tcPr>
            <w:tcW w:type="dxa" w:w="328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关键接口 100% 覆盖</w:t>
            </w:r>
          </w:p>
        </w:tc>
      </w:tr>
      <w:tr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端到端测试</w:t>
            </w:r>
          </w:p>
        </w:tc>
        <w:tc>
          <w:tcPr>
            <w:tcW w:type="dxa" w:w="238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完整检测流程</w:t>
            </w:r>
          </w:p>
        </w:tc>
        <w:tc>
          <w:tcPr>
            <w:tcW w:type="dxa" w:w="243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Playwright + pytest</w:t>
            </w:r>
          </w:p>
        </w:tc>
        <w:tc>
          <w:tcPr>
            <w:tcW w:type="dxa" w:w="328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核心流程 100% 通过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性能测试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并发吞吐与延迟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Locust</w:t>
            </w:r>
          </w:p>
        </w:tc>
        <w:tc>
          <w:tcPr>
            <w:tcW w:type="dxa" w:w="328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P99 &lt; 5s（任务提交）</w:t>
            </w:r>
          </w:p>
        </w:tc>
      </w:tr>
      <w:tr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AI 质量评估</w:t>
            </w:r>
          </w:p>
        </w:tc>
        <w:tc>
          <w:tcPr>
            <w:tcW w:type="dxa" w:w="238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精确性、幻觉率、Faithfulness</w:t>
            </w:r>
          </w:p>
        </w:tc>
        <w:tc>
          <w:tcPr>
            <w:tcW w:type="dxa" w:w="243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RAGAS + 人工标注集 + Langfuse</w:t>
            </w:r>
          </w:p>
        </w:tc>
        <w:tc>
          <w:tcPr>
            <w:tcW w:type="dxa" w:w="328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达到质量门禁阈值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混沌工程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故障韧性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Chaos Mesh</w:t>
            </w:r>
          </w:p>
        </w:tc>
        <w:tc>
          <w:tcPr>
            <w:tcW w:type="dxa" w:w="328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核心服务故障不影响 SLA</w:t>
            </w:r>
          </w:p>
        </w:tc>
      </w:tr>
      <w:tr>
        <w:tc>
          <w:tcPr>
            <w:tcW w:type="dxa" w:w="147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安全测试</w:t>
            </w:r>
          </w:p>
        </w:tc>
        <w:tc>
          <w:tcPr>
            <w:tcW w:type="dxa" w:w="238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权限绕过与注入</w:t>
            </w:r>
          </w:p>
        </w:tc>
        <w:tc>
          <w:tcPr>
            <w:tcW w:type="dxa" w:w="243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OWASP ZAP + Semgrep</w:t>
            </w:r>
          </w:p>
        </w:tc>
        <w:tc>
          <w:tcPr>
            <w:tcW w:type="dxa" w:w="328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OWASP Top-10 零高危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14.2 治理专项测试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28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场景</w:t>
            </w:r>
          </w:p>
        </w:tc>
        <w:tc>
          <w:tcPr>
            <w:tcW w:type="dxa" w:w="2835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验证点</w:t>
            </w:r>
          </w:p>
        </w:tc>
        <w:tc>
          <w:tcPr>
            <w:tcW w:type="dxa" w:w="4819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192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模型供应商故障切流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模拟主模型 429 / timeout</w:t>
            </w:r>
          </w:p>
        </w:tc>
        <w:tc>
          <w:tcPr>
            <w:tcW w:type="dxa" w:w="481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自动切换备选模型，任务不中断，审计与账单仍完整。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Langfuse 宕机补录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禁用 Langfuse 网络后恢复</w:t>
            </w:r>
          </w:p>
        </w:tc>
        <w:tc>
          <w:tcPr>
            <w:tcW w:type="dxa" w:w="481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主流程 fail-open，worker 成功补录 Trace/Score。</w:t>
            </w:r>
          </w:p>
        </w:tc>
      </w:tr>
      <w:tr>
        <w:tc>
          <w:tcPr>
            <w:tcW w:type="dxa" w:w="192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Token 台账幂等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重复投递同一调用事件</w:t>
            </w:r>
          </w:p>
        </w:tc>
        <w:tc>
          <w:tcPr>
            <w:tcW w:type="dxa" w:w="481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仅产生一条 ledger 记录，cost_usd 不重复累计。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反馈去重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同一用户重复提交同一结果</w:t>
            </w:r>
          </w:p>
        </w:tc>
        <w:tc>
          <w:tcPr>
            <w:tcW w:type="dxa" w:w="481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命中 uk_actor_result，前端锁定，后端返回幂等响应。</w:t>
            </w:r>
          </w:p>
        </w:tc>
      </w:tr>
      <w:tr>
        <w:tc>
          <w:tcPr>
            <w:tcW w:type="dxa" w:w="192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跨租户 Trace 越权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ai_quality 查询他租户 trace</w:t>
            </w:r>
          </w:p>
        </w:tc>
        <w:tc>
          <w:tcPr>
            <w:tcW w:type="dxa" w:w="481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被代理层拒绝并写审计日志。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预算熔断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模拟预算耗尽</w:t>
            </w:r>
          </w:p>
        </w:tc>
        <w:tc>
          <w:tcPr>
            <w:tcW w:type="dxa" w:w="481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触发告警并按策略降级/阻断，不允许继续高价模型调用。</w:t>
            </w:r>
          </w:p>
        </w:tc>
      </w:tr>
      <w:tr>
        <w:tc>
          <w:tcPr>
            <w:tcW w:type="dxa" w:w="1928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回滚阈值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灰度期间 Faithfulness 下跌或点踩率上升</w:t>
            </w:r>
          </w:p>
        </w:tc>
        <w:tc>
          <w:tcPr>
            <w:tcW w:type="dxa" w:w="481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发布单自动回滚并冻结，通知平台运维与质量负责人。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SSE 安全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使用失效 stream token 连接</w:t>
            </w:r>
          </w:p>
        </w:tc>
        <w:tc>
          <w:tcPr>
            <w:tcW w:type="dxa" w:w="481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连接失败且无敏感 Token 泄露到 URL 日志。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14.3 回滚触发器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835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触发器</w:t>
            </w:r>
          </w:p>
        </w:tc>
        <w:tc>
          <w:tcPr>
            <w:tcW w:type="dxa" w:w="187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4876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默认动作</w:t>
            </w:r>
          </w:p>
        </w:tc>
      </w:tr>
      <w:tr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Faithfulness &lt; 0.85 或 Accuracy 下滑</w:t>
            </w:r>
          </w:p>
        </w:tc>
        <w:tc>
          <w:tcPr>
            <w:tcW w:type="dxa" w:w="187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自动停止灰度</w:t>
            </w:r>
          </w:p>
        </w:tc>
        <w:tc>
          <w:tcPr>
            <w:tcW w:type="dxa" w:w="487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回滚到上一已知健康 release_id，并冻结当前发布单。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点踩率 &gt; 5% 且连续上升</w:t>
            </w:r>
          </w:p>
        </w:tc>
        <w:tc>
          <w:tcPr>
            <w:tcW w:type="dxa" w:w="187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人工 + 自动联动</w:t>
            </w:r>
          </w:p>
        </w:tc>
        <w:tc>
          <w:tcPr>
            <w:tcW w:type="dxa" w:w="487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暂停目标租户/产品线灰度，触发 Hard Case 入库。</w:t>
            </w:r>
          </w:p>
        </w:tc>
      </w:tr>
      <w:tr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P95 延迟回归 &gt; 20%</w:t>
            </w:r>
          </w:p>
        </w:tc>
        <w:tc>
          <w:tcPr>
            <w:tcW w:type="dxa" w:w="187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自动切备选模型</w:t>
            </w:r>
          </w:p>
        </w:tc>
        <w:tc>
          <w:tcPr>
            <w:tcW w:type="dxa" w:w="487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保留任务连续性并记录性能回归报告。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错误率 / 429 连续超阈值</w:t>
            </w:r>
          </w:p>
        </w:tc>
        <w:tc>
          <w:tcPr>
            <w:tcW w:type="dxa" w:w="187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供应商熔断</w:t>
            </w:r>
          </w:p>
        </w:tc>
        <w:tc>
          <w:tcPr>
            <w:tcW w:type="dxa" w:w="487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切流或转人工，避免全局雪崩。</w:t>
            </w:r>
          </w:p>
        </w:tc>
      </w:tr>
      <w:tr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预算超硬阈值</w:t>
            </w:r>
          </w:p>
        </w:tc>
        <w:tc>
          <w:tcPr>
            <w:tcW w:type="dxa" w:w="187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硬熔断</w:t>
            </w:r>
          </w:p>
        </w:tc>
        <w:tc>
          <w:tcPr>
            <w:tcW w:type="dxa" w:w="4876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禁止继续使用高价模型，按策略降级。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GPU 队列深度超阈值</w:t>
            </w:r>
          </w:p>
        </w:tc>
        <w:tc>
          <w:tcPr>
            <w:tcW w:type="dxa" w:w="187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容量保护</w:t>
            </w:r>
          </w:p>
        </w:tc>
        <w:tc>
          <w:tcPr>
            <w:tcW w:type="dxa" w:w="4876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限制新流量、降级模型或切外部 API。</w:t>
            </w:r>
          </w:p>
        </w:tc>
      </w:tr>
    </w:tbl>
    <w:p>
      <w:pPr>
        <w:pStyle w:val="Heading1"/>
        <w:spacing w:before="240" w:after="120" w:line="276" w:lineRule="auto"/>
      </w:pPr>
      <w:r>
        <w:rPr>
          <w:rFonts w:ascii="Noto Serif CJK SC" w:hAnsi="Noto Serif CJK SC" w:eastAsia="Noto Serif CJK SC"/>
          <w:b/>
          <w:i w:val="0"/>
          <w:color w:val="123B5A"/>
          <w:sz w:val="31"/>
        </w:rPr>
        <w:t>15. 里程碑、风险与后续工作</w:t>
      </w:r>
    </w:p>
    <w:p>
      <w:pPr>
        <w:spacing w:before="0" w:after="120" w:line="317" w:lineRule="auto"/>
        <w:jc w:val="both"/>
      </w:pPr>
      <w:r>
        <w:rPr>
          <w:rFonts w:ascii="Noto Sans CJK SC" w:hAnsi="Noto Sans CJK SC" w:eastAsia="Noto Sans CJK SC"/>
          <w:b w:val="0"/>
          <w:i w:val="0"/>
          <w:sz w:val="20"/>
        </w:rPr>
        <w:t>统一文档完成后，项目的下一步重点不是继续补观察页面，而是把发布、预算、追踪、权限和安全真正收敛成可执行制度。</w:t>
      </w:r>
    </w:p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15.1 实施阶段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19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170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主题</w:t>
            </w:r>
          </w:p>
        </w:tc>
        <w:tc>
          <w:tcPr>
            <w:tcW w:type="dxa" w:w="3969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主要交付物</w:t>
            </w:r>
          </w:p>
        </w:tc>
        <w:tc>
          <w:tcPr>
            <w:tcW w:type="dxa" w:w="272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19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Phase 0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基础设施</w:t>
            </w:r>
          </w:p>
        </w:tc>
        <w:tc>
          <w:tcPr>
            <w:tcW w:type="dxa" w:w="396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K8s、CI/CD、可观测栈、MySQL 主从、对象与向量存储就绪</w:t>
            </w:r>
          </w:p>
        </w:tc>
        <w:tc>
          <w:tcPr>
            <w:tcW w:type="dxa" w:w="272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环境可用、流水线绿灯</w:t>
            </w:r>
          </w:p>
        </w:tc>
      </w:tr>
      <w:tr>
        <w:tc>
          <w:tcPr>
            <w:tcW w:type="dxa" w:w="119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Phase 1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权限与认证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用户/角色/权限、JWT、SSO、MFA、API Key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权限矩阵测试通过</w:t>
            </w:r>
          </w:p>
        </w:tc>
      </w:tr>
      <w:tr>
        <w:tc>
          <w:tcPr>
            <w:tcW w:type="dxa" w:w="119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Phase 2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工具体系</w:t>
            </w:r>
          </w:p>
        </w:tc>
        <w:tc>
          <w:tcPr>
            <w:tcW w:type="dxa" w:w="396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工具注册中心、执行引擎、沙箱与审计</w:t>
            </w:r>
          </w:p>
        </w:tc>
        <w:tc>
          <w:tcPr>
            <w:tcW w:type="dxa" w:w="272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核心工具通过集成测试</w:t>
            </w:r>
          </w:p>
        </w:tc>
      </w:tr>
      <w:tr>
        <w:tc>
          <w:tcPr>
            <w:tcW w:type="dxa" w:w="119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Phase 3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Agent 编排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LangGraph、RAG、VLM/LLM 接入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端到端检测流程可用</w:t>
            </w:r>
          </w:p>
        </w:tc>
      </w:tr>
      <w:tr>
        <w:tc>
          <w:tcPr>
            <w:tcW w:type="dxa" w:w="119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Phase 4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稳定性分析</w:t>
            </w:r>
          </w:p>
        </w:tc>
        <w:tc>
          <w:tcPr>
            <w:tcW w:type="dxa" w:w="396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五维评分器、预警引擎、Dashboard</w:t>
            </w:r>
          </w:p>
        </w:tc>
        <w:tc>
          <w:tcPr>
            <w:tcW w:type="dxa" w:w="272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预警准确率 ≥ 90%</w:t>
            </w:r>
          </w:p>
        </w:tc>
      </w:tr>
      <w:tr>
        <w:tc>
          <w:tcPr>
            <w:tcW w:type="dxa" w:w="119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Phase 5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优化上线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性能调优、安全审计、用户文档、生产验收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生产验收通过</w:t>
            </w:r>
          </w:p>
        </w:tc>
      </w:tr>
      <w:tr>
        <w:tc>
          <w:tcPr>
            <w:tcW w:type="dxa" w:w="119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Phase 6</w:t>
            </w:r>
          </w:p>
        </w:tc>
        <w:tc>
          <w:tcPr>
            <w:tcW w:type="dxa" w:w="170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治理层接入</w:t>
            </w:r>
          </w:p>
        </w:tc>
        <w:tc>
          <w:tcPr>
            <w:tcW w:type="dxa" w:w="396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多模型网关、Langfuse、反馈闭环、治理前端页</w:t>
            </w:r>
          </w:p>
        </w:tc>
        <w:tc>
          <w:tcPr>
            <w:tcW w:type="dxa" w:w="272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治理链路可观测、台账可追溯</w:t>
            </w:r>
          </w:p>
        </w:tc>
      </w:tr>
      <w:tr>
        <w:tc>
          <w:tcPr>
            <w:tcW w:type="dxa" w:w="119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Phase 7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控制面硬化（新增）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模型发布单、灰度/回滚、预算熔断、Trace 脱敏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可拦截问题、可自动回滚、可审计追责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15.2 主要风险与缓释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71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2835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说明</w:t>
            </w:r>
          </w:p>
        </w:tc>
        <w:tc>
          <w:tcPr>
            <w:tcW w:type="dxa" w:w="4592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缓释措施</w:t>
            </w:r>
          </w:p>
        </w:tc>
      </w:tr>
      <w:tr>
        <w:tc>
          <w:tcPr>
            <w:tcW w:type="dxa" w:w="187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文档口径漂移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旧正文与变更集并存，开发容易按旧口径实现</w:t>
            </w:r>
          </w:p>
        </w:tc>
        <w:tc>
          <w:tcPr>
            <w:tcW w:type="dxa" w:w="459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以本统一文档为主基线，旧文档降级为参考附件。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租户越权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遗漏 org_id 过滤或 Langfuse 代理未做 tenant filter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统一 TenantAwareService、Repository lint、越权自动化测试。</w:t>
            </w:r>
          </w:p>
        </w:tc>
      </w:tr>
      <w:tr>
        <w:tc>
          <w:tcPr>
            <w:tcW w:type="dxa" w:w="187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成本失控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高价模型异常重试、坏 Prompt 引发 Token 爆炸</w:t>
            </w:r>
          </w:p>
        </w:tc>
        <w:tc>
          <w:tcPr>
            <w:tcW w:type="dxa" w:w="459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预算策略、模型熔断、幂等账单、燃尽率告警。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质量不可回滚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只有模型配置没有发布实体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引入 model_releases、灰度比例、审批记录与回滚目标。</w:t>
            </w:r>
          </w:p>
        </w:tc>
      </w:tr>
      <w:tr>
        <w:tc>
          <w:tcPr>
            <w:tcW w:type="dxa" w:w="1871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可观测数据泄露</w:t>
            </w:r>
          </w:p>
        </w:tc>
        <w:tc>
          <w:tcPr>
            <w:tcW w:type="dxa" w:w="2835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追踪系统包含原始 prompt/output</w:t>
            </w:r>
          </w:p>
        </w:tc>
        <w:tc>
          <w:tcPr>
            <w:tcW w:type="dxa" w:w="4592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生产私有化 + 脱敏 + 导出审计 + 最小权限。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GPU 容量打满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只看监控不做调度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并发配额、队列优先级、降级切流与容量预案。</w:t>
            </w:r>
          </w:p>
        </w:tc>
      </w:tr>
    </w:tbl>
    <w:p>
      <w:pPr>
        <w:pStyle w:val="Heading2"/>
        <w:spacing w:before="160" w:after="80" w:line="276" w:lineRule="auto"/>
      </w:pPr>
      <w:r>
        <w:rPr>
          <w:rFonts w:ascii="Noto Serif CJK SC" w:hAnsi="Noto Serif CJK SC" w:eastAsia="Noto Serif CJK SC"/>
          <w:b/>
          <w:i w:val="0"/>
          <w:color w:val="1B5E7A"/>
          <w:sz w:val="25"/>
        </w:rPr>
        <w:t>15.3 对历史文档的统一替换说明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3969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历史口径</w:t>
            </w:r>
          </w:p>
        </w:tc>
        <w:tc>
          <w:tcPr>
            <w:tcW w:type="dxa" w:w="5329"/>
            <w:shd w:fill="1B5E7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left w:val="single" w:sz="10" w:color="E6EEF6"/>
              <w:top w:val="single" w:sz="10" w:color="E6EEF6"/>
              <w:right w:val="single" w:sz="10" w:color="E6EEF6"/>
              <w:bottom w:val="single" w:sz="10" w:color="E6EEF6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统一替换</w:t>
            </w:r>
          </w:p>
        </w:tc>
      </w:tr>
      <w:tr>
        <w:tc>
          <w:tcPr>
            <w:tcW w:type="dxa" w:w="396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原 SDD 的 PostgreSQL / RLS 表述</w:t>
            </w:r>
          </w:p>
        </w:tc>
        <w:tc>
          <w:tcPr>
            <w:tcW w:type="dxa" w:w="532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统一替换为 MySQL + Service 层租户隔离</w:t>
            </w:r>
          </w:p>
        </w:tc>
      </w:tr>
      <w:tr>
        <w:tc>
          <w:tcPr>
            <w:tcW w:type="dxa" w:w="396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原 FED 中 SSE URL token 方案</w:t>
            </w:r>
          </w:p>
        </w:tc>
        <w:tc>
          <w:tcPr>
            <w:tcW w:type="dxa" w:w="532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统一替换为短期 stream token / Cookie 会话</w:t>
            </w:r>
          </w:p>
        </w:tc>
      </w:tr>
      <w:tr>
        <w:tc>
          <w:tcPr>
            <w:tcW w:type="dxa" w:w="396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原 GOV 中 platform_admin 审计库全读表述</w:t>
            </w:r>
          </w:p>
        </w:tc>
        <w:tc>
          <w:tcPr>
            <w:tcW w:type="dxa" w:w="5329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统一收敛为系统/治理日志切片只读；全量审计保留 auditor/super_admin</w:t>
            </w:r>
          </w:p>
        </w:tc>
      </w:tr>
      <w:tr>
        <w:tc>
          <w:tcPr>
            <w:tcW w:type="dxa" w:w="396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原 CHG 中 org_id IN (NULL, ?) 查询写法</w:t>
            </w:r>
          </w:p>
        </w:tc>
        <w:tc>
          <w:tcPr>
            <w:tcW w:type="dxa" w:w="5329"/>
            <w:shd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8" w:color="D9E2F2"/>
              <w:top w:val="single" w:sz="8" w:color="D9E2F2"/>
              <w:right w:val="single" w:sz="8" w:color="D9E2F2"/>
              <w:bottom w:val="single" w:sz="8" w:color="D9E2F2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统一替换为 MySQL 正确写法并在 Repo 封装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D7E7F5"/>
            <w:tcMar>
              <w:top w:w="90" w:type="dxa"/>
              <w:start w:w="140" w:type="dxa"/>
              <w:bottom w:w="90" w:type="dxa"/>
              <w:end w:w="140" w:type="dxa"/>
            </w:tcMar>
            <w:tcBorders>
              <w:left w:val="single" w:sz="12" w:color="5A97D1"/>
              <w:top w:val="single" w:sz="12" w:color="5A97D1"/>
              <w:right w:val="single" w:sz="12" w:color="5A97D1"/>
              <w:bottom w:val="single" w:sz="12" w:color="5A97D1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6334C"/>
                <w:sz w:val="20"/>
              </w:rPr>
              <w:t>结论</w:t>
            </w:r>
          </w:p>
        </w:tc>
      </w:tr>
      <w:tr>
        <w:tc>
          <w:tcPr>
            <w:tcW w:type="dxa" w:w="9752"/>
            <w:shd w:fill="EAF2F8"/>
            <w:tcMar>
              <w:top w:w="90" w:type="dxa"/>
              <w:start w:w="140" w:type="dxa"/>
              <w:bottom w:w="90" w:type="dxa"/>
              <w:end w:w="140" w:type="dxa"/>
            </w:tcMar>
            <w:tcBorders>
              <w:left w:val="single" w:sz="12" w:color="5A97D1"/>
              <w:top w:val="single" w:sz="12" w:color="5A97D1"/>
              <w:right w:val="single" w:sz="12" w:color="5A97D1"/>
              <w:bottom w:val="single" w:sz="12" w:color="5A97D1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本文件发布后，建议将原 SDD/SYS/BAD/FED/GOV/CHG 标记为“参考基线”，由本统一开发文档承担 v1.1 的唯一实施与评审入口。后续新增设计通过 ADR 与变更单方式追加，而不再并行维护多份互相引用的主文档。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077" w:bottom="850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819" w:val="center"/>
        <w:tab w:pos="9638" w:val="right"/>
      </w:tabs>
      <w:spacing w:before="0" w:after="0" w:line="240" w:lineRule="auto"/>
      <w:jc w:val="left"/>
    </w:pPr>
    <w:r>
      <w:rPr>
        <w:rFonts w:ascii="Noto Sans CJK SC" w:hAnsi="Noto Sans CJK SC" w:eastAsia="Noto Sans CJK SC"/>
        <w:b w:val="0"/>
        <w:i w:val="0"/>
        <w:color w:val="6A7F92"/>
        <w:sz w:val="17"/>
      </w:rPr>
      <w:t>PIAP-DEV-007 · 内部使用</w:t>
      <w:tab/>
      <w:t>统一开发文档 v1.1.0</w:t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23B5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B5E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23B5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