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产品智能检测 Agent 平台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color w:val="2E6DA4"/>
          <w:sz w:val="36"/>
          <w:szCs w:val="36"/>
        </w:rPr>
        <w:t xml:space="preserve">软件开发技术规范文档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CCCCCC"/>
          <w:sz w:val="24"/>
          <w:szCs w:val="24"/>
        </w:rPr>
        <w:t xml:space="preserve">Software Development Specification</w:t>
      </w:r>
    </w:p>
    <w:p>
      <w:pPr>
        <w:pBdr>
          <w:bottom w:val="single" w:color="2E6DA4" w:sz="12" w:space="1"/>
        </w:pBdr>
        <w:spacing w:before="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文档编号</w:t>
            </w:r>
          </w:p>
        </w:tc>
        <w:tc>
          <w:tcPr>
            <w:tcW w:type="dxa" w:w="187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87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187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187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密级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PIAP-SDD-001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v1.0.0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正式发布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2026-03-16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内部保密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目录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（Word 中请使用 引用 → 更新目录 以生成完整目录）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项目概述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背景与目标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随着工业互联网与人工智能技术的深度融合，产品质量检测正从人工视觉与规则引擎向多模态 AI Agent 协同的范式迁移。本平台旨在构建一套面向制造业质检场景的智能 Agent 系统，通过统一的服务层将大语言模型（LLM）、视觉检测模型（VLM）、结构化知识库及外部工具有机集成，形成可观测、可干预、可审计的全链路检测闭环。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核心业务范畴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产品外观缺陷的多模态自动检测（划痕、形变、色差、异物）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基于 RAG 的产品知识库查询与标准比对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检测流程的多工具编排与结果聚合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检测结论的置信度量化与幻觉风险预警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历史检测数据的统计分析与趋势报告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文档约定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62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具备规划-工具调用-观察-行动循环能力的 LLM 驱动自治单元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Agent 可调用的原子功能单元，包含输入/输出 JSON Schema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检索增强生成（Retrieval-Augmented Generation）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幻觉（Hallucination）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模型生成与事实不符或无法溯源的输出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稳定性分析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对单次推理的不确定性、一致性、依据充分性的量化评估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预警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在结果交付前检测并标注高风险输出的机制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系统总体架构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架构层次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系统采用分层解耦架构，自上而下分为五个主要层次：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2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5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职责摘要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呈现层（Presentation）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Web/移动端 UI、可视化 Dashboard、告警通知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API 网关层（Gateway）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身份认证、速率限制、请求路由、日志采集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业务编排层（Orchestration）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Agent 调度、工具注册中心、会话状态管理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能力服务层（Capability）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LLM 推理、VLM 推理、向量检索、工具执行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数据基础层（Data）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对象存储、向量数据库、关系数据库、消息队列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关键数据流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以下描述一次完整检测请求的标准数据流向：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执行主体</w:t>
            </w:r>
          </w:p>
        </w:tc>
        <w:tc>
          <w:tcPr>
            <w:tcW w:type="dxa" w:w="6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用户/前端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提交检测请求（图像 + 文本描述 + 检测策略 ID）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API 网关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JWT 校验 → 权限核查 → 请求入队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编排层 Planner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解析意图 → 生成子任务 DAG → 分配 Agent 实例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Vision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调用 VLM Tool → 获取缺陷候选区域 + 置信度向量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Knowledge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构造 RAG 查询 → 向量检索 → 上下文注入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Reasoning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综合多源输出 → 生成检测结论 + 溯源依据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稳定性分析器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对结论执行不确定性评估 → 生成风险分级标注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结果存储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写入关系库 + 触发事件（超阈值则推送预警）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呈现层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渲染结构化结果 + 置信度可视化 + 预警标识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技术选型总览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20"/>
        <w:gridCol w:w="5280"/>
      </w:tblGrid>
      <w:tr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选型</w:t>
            </w:r>
          </w:p>
        </w:tc>
        <w:tc>
          <w:tcPr>
            <w:tcW w:type="dxa" w:w="52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异步原生、OpenAPI 自动生成、生态成熟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Agent 框架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LangGraph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支持有向图编排、节点级状态持久化、可视化调试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LLM 接入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OpenAI-compatible API（支持本地模型）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统一接口、可替换底层模型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ChromaDB（开发）/ Milvus（生产）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开发轻量、生产高性能分布式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text-embedding-3-small / BGE-M3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多语言支持、召回质量优秀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关系数据库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JSONB 原生支持、行级安全策略（RLS）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Redis Streams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低延迟、持久化、消费者组语义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MinIO（本地）/ S3（云）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S3 兼容接口、统一图像存储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前端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Vue 3 + Vite + Pinia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响应式、组合式 API、状态管理一致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容器化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Docker + Docker Compose / K8s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环境一致性、弹性扩缩容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可观测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OpenTelemetry + Grafana + Loki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全链路追踪、指标、日志三位一体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用户权限管理子系统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设计原则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权限体系以最小权限原则（Principle of Least Privilege）为基础，结合基于角色的访问控制（RBAC）与基于属性的访问控制（ABAC），实现细粒度的资源-操作矩阵授权。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角色定义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60"/>
        <w:gridCol w:w="3600"/>
        <w:gridCol w:w="2600"/>
      </w:tblGrid>
      <w:tr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1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英文标识</w:t>
            </w:r>
          </w:p>
        </w:tc>
        <w:tc>
          <w:tcPr>
            <w:tcW w:type="dxa" w:w="3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核心权限范围</w:t>
            </w:r>
          </w:p>
        </w:tc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典型用户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全部权限，含系统配置与审计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IT 运维负责人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组织管理员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org_admin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租户内全量管理，含用户与资源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质检部门主管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检测工程师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inspector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提交检测、查阅结果、管理自有任务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质检工程师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分析师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analyst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只读访问历史数据与统计报告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数据分析人员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API 集成账号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api_service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通过 API Key 调用检测接口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外部系统集成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只读审计员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auditor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只读全量操作日志与审计轨迹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合规审计人员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权限矩阵（核心资源）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560"/>
      </w:tblGrid>
      <w:t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资源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org_admin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inspector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analyst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CRUD（本租户）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仅查看自身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R（审计）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检测任务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CRUD（自有）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检测结论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RU（自有）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模型配置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工具注册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稳定性报告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R（自有）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系统日志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R（本租户）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R（全量）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预警策略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CRUD（本租户）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认证机制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3.4.1 用户认证流程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系统采用 OAuth 2.0 授权码流程 + PKCE 作为主认证协议，支持以下认证方式：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用户名/密码（本地账号，密码以 Argon2id 散列存储）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企业 SSO（SAML 2.0 / OIDC，对接企业 IdP）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TOTP 多因素认证（RFC 6238，强制要求 super_admin 和 org_admin 开启）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API Key（HMAC-SHA256 签名，用于机器对机器调用）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3.4.2 令牌策略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2400"/>
        <w:gridCol w:w="2760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令牌类型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生命周期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存储位置</w:t>
            </w:r>
          </w:p>
        </w:tc>
        <w:tc>
          <w:tcPr>
            <w:tcW w:type="dxa" w:w="27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刷新策略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Access Token（JWT）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 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内存（前端）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使用 Refresh Token 无感刷新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 天（含滑动窗口）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单次使用，用后即废（RTR）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API 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永久（手动吊销）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数据库（散列存储）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不自动刷新，需手动轮换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多租户隔离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平台支持多租户（Multi-Tenancy）部署，采用共享数据库、行级隔离（Row-Level Security）方案：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每张核心业务表包含 org_id 列，PostgreSQL RLS 策略自动过滤跨租户数据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向量数据库按 org_id 划分 Collection，物理隔离嵌入向量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对象存储按租户前缀划分桶路径，IAM 策略限制跨前缀访问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Redis 键空间以 {org_id}: 为前缀，防止 key 碰撞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3.6 操作审计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全部写操作（创建/更新/删除）及高敏读操作（查阅检测结论、导出数据）均写入不可篡改的审计日志，包含以下字段：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 v7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全局唯一事件标识（时序可排序）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租户标识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actor_id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操作主体用户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actor_role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VARCHAR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操作时的角色快照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VARCHAR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资源类型（task / result / user 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资源实例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VARCHAR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操作动词（create / read / update / delete）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payload_hash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SHA-256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请求 payload 的哈希（防篡改）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客户端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请求来源标识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occurred_at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UTC 事件时间戳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工具注册与执行子系统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工具体系概览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平台以「工具注册中心（Tool Registry）」为核心，将所有原子能力封装为符合 OpenAI Function Calling 规范的工具对象，Agent 在运行时动态发现并调用。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内置工具目录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560"/>
        <w:gridCol w:w="1680"/>
        <w:gridCol w:w="2120"/>
      </w:tblGrid>
      <w:t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工具名称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2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输入</w:t>
            </w:r>
          </w:p>
        </w:tc>
        <w:tc>
          <w:tcPr>
            <w:tcW w:type="dxa" w:w="2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vision_defect_detect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视觉检测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调用 VLM 检测图像缺陷，返回区域坐标与置信度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image_url, threshold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defects[]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knowledge_search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知识检索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对产品知识库执行语义检索，返回相关文档片段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query, top_k, filter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standard_compare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标准比对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将检测参数与产品规格标准进行结构化比对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params, spec_id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comparison{}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ocr_extract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文字识别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对图像中的文本区域执行 OCR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image_url, regions[]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report_generate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依据结构化检测结果生成 PDF/DOCX 格式报告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result_id, template_id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report_url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alert_dispatch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告警分发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按预警规则推送通知（邮件/企微/钉钉/Webhook）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alert_id, channels[]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dispatch_status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history_query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历史查询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查询历史检测记录，支持多维过滤与聚合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filters{}, agg_type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records[]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external_api_call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外部集成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代理调用第三方 ERP/MES 系统 API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endpoint, payload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response{}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工具注册规范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每个工具须通过注册接口声明以下元数据，并通过 JSON Schema Draft-7 校验：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工具元数据规范（Tool Manifest）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name           : 全局唯一的 snake_case 标识符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display_name   : 人类可读名称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description    : 详细功能描述（Agent 规划阶段依据此项选择工具）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parameters     : JSON Schema，描述输入参数结构与约束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returns        : JSON Schema，描述返回值结构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timeout_ms     : 执行超时上限（默认 30000ms）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retry_policy   : 重试策略（max_attempts, backoff_ms, jitter）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access_roles   : 允许调用此工具的最低角色列表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rate_limit     : 速率限制（req/min，按 org_id 计算）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is_readonly    : 布尔值，只读工具不记入操作审计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工具执行引擎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4.4.1 执行流程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Agent 输出包含 tool_calls 字段的结构化 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执行引擎解析调用意图，查找注册中心对应工具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权限中间件校验调用主体是否满足 access_roles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参数验证器依据 parameters Schema 校验输入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限流器检查 rate_limit 配额（基于 Redis 滑动窗口）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工具适配器在隔离进程/容器中执行工具逻辑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结果验证器依据 returns Schema 校验输出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执行结果写入 tool_results 表，并注入 Agent 上下文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4.4.2 沙箱隔离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对于调用外部系统或执行代码的工具，平台使用 gVisor 沙箱容器执行，限制：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网络访问仅允许白名单域名/IP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文件系统挂载为只读，临时写入空间限额 100MB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CPU 时间限额 10s，内存限额 512MB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禁止系统调用 execve、mount、clone（NS_NEWUSER）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AI 精确性提升与幻觉抑制机制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幻觉的分类与成因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在产品检测场景中，模型幻觉主要表现为以下三种形态：</w:t>
      </w:r>
    </w:p>
    <w:p>
      <w:pPr>
        <w:spacing w:before="0" w:after="12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3400"/>
        <w:gridCol w:w="1200"/>
      </w:tblGrid>
      <w:tr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  <w:tc>
          <w:tcPr>
            <w:tcW w:type="dxa" w:w="3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场景示例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危害等级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事实性幻觉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生成与客观事实相悖的内容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将合格品判定为不合格，或捏造不存在的缺陷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严重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溯源性幻觉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生成的结论无法从输入证据中推导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依据未检索到的知识作出判定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一致性幻觉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对同一输入多次生成相互矛盾的结论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同一图像两次检测结果冲突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过度泛化幻觉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将局部证据错误扩展为全局结论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从局部划痕推断整批产品不合格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中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幻觉的主要成因包括：训练数据分布偏移、上下文长度超限导致注意力退化、工具调用结果与模型先验冲突、提示词歧义导致的指令遵循失败、以及温度参数过高导致的过度采样。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精确性提升策略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5.2.1 Prompt 工程层面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结构化系统提示（Structured System Prompt）：将角色定义、任务约束、输出格式、禁止行为分段声明，避免模型自由发挥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Chain-of-Thought 强制溯源：要求模型在每个子结论后明确引用所依据的工具输出 ID 或文档片段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负样本示例（Negative Examples）：在 Few-shot 示例中显式标注幻觉输出并说明错误原因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约束性输出格式：强制使用 JSON Schema 验证模型输出，拒绝不合规的自由文本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5.2.2 RAG 增强层面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混合检索（Hybrid Retrieval）：结合稠密向量检索（FAISS/HNSW）与稀疏 BM25 检索，取二者并集后重排序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交叉编码器重排序（Cross-Encoder Reranking）：使用 ms-marco-MiniLM-L-12-v2 对候选文档精排，提高检索上下文的相关性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引用追踪（Citation Tracking）：每段注入上下文附带 doc_id 和 chunk_id，模型输出须声明引用来源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知识图谱增强：构建产品标准知识图谱，补充纯向量检索遗漏的结构化约束关系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5.2.3 模型推理层面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温度参数管理：检测结论生成阶段设置 temperature=0.1，知识摘要阶段设置 temperature=0.3，严格规避高随机性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自洽性采样（Self-Consistency）：对关键判断执行 N=5 次独立采样，取多数投票结果作为最终结论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思维链分解（CoT Decomposition）：将复杂检测决策分解为多个可验证子问题，降低单步推理错误的累积风险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工具调用优先（Tool-First）：优先使用工具检索事实，禁止模型在无工具输出支持的情况下声明具体数值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5.2.4 后处理层面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NLI 一致性校验：使用 NLI 模型验证结论是否可从检索上下文中逻辑推导（entailment score &gt; 0.85 为通过）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实体命名核验：抽取结论中的产品型号、规格值等命名实体，与数据库记录进行精确匹配校验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数值范围约束：对结论中涉及的量化指标执行领域约束检查（如尺寸偏差不超过 ±0.5mm）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精确性评估体系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评估指标</w:t>
            </w:r>
          </w:p>
        </w:tc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计算方式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目标阈值</w:t>
            </w:r>
          </w:p>
        </w:tc>
        <w:tc>
          <w:tcPr>
            <w:tcW w:type="dxa" w:w="2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评估频率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答案正确率（Accuracy）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人工标注集上的检测结论正确率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≥ 95%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每次模型版本迭代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溯源覆盖率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有效引用 / 结论总数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≥ 90%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每日自动评估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幻觉率（Hallucination Rate）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人工抽检发现幻觉的样本比例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≤ 2%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每周抽检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Faithfulness（RAGAS）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结论对检索上下文的忠实度评分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≥ 0.85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每日自动评估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Answer Relevancy（RAGAS）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结论与用户问题的相关性评分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≥ 0.80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每日自动评估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自洽性得分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 次采样中多数答案的占比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≥ 0.80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关键任务实时计算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稳定性分析与预警平台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设计目标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稳定性分析平台的核心目标是：在检测结论对外交付前，对推理过程的每一个关键节点进行量化评估，将主观风险转化为客观可操作的分级信号，实现"有问题的回答不出门"的工程目标。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分析维度模型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系统从以下五个正交维度对每次推理进行评分，综合加权得出最终风险得分（Risk Score，取值 0-100）：</w:t>
      </w:r>
    </w:p>
    <w:p>
      <w:pPr>
        <w:spacing w:before="0" w:after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"/>
        <w:gridCol w:w="3000"/>
        <w:gridCol w:w="1440"/>
        <w:gridCol w:w="1200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计算方式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低风险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高风险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证据充分性（Evidence）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检索文档的相关性得分均值（RAGAS Context Recall）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≥ 0.80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0.50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输出一致性（Consistency）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N=5 自洽性采样的熵值（越低越稳定）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熵 &lt; 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熵 &gt; 1.5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模型置信度（Confidence）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Top-1 token 的对数概率均值（logprob mean）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≥ -0.30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-1.00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溯源完整性（Traceability）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结论中可验证引用占总陈述数的比例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≥ 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异常模式检测（Anomaly）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与历史相似任务结论的语义相似度（余弦距离）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0.30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&gt; 0.80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风险分级策略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080"/>
        <w:gridCol w:w="1080"/>
        <w:gridCol w:w="3720"/>
        <w:gridCol w:w="2040"/>
      </w:tblGrid>
      <w:tr>
        <w:tc>
          <w:tcPr>
            <w:tcW w:type="dxa" w:w="1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1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Score</w:t>
            </w:r>
          </w:p>
        </w:tc>
        <w:tc>
          <w:tcPr>
            <w:tcW w:type="dxa" w:w="1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颜色标识</w:t>
            </w:r>
          </w:p>
        </w:tc>
        <w:tc>
          <w:tcPr>
            <w:tcW w:type="dxa" w:w="37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处理策略</w:t>
            </w:r>
          </w:p>
        </w:tc>
        <w:tc>
          <w:tcPr>
            <w:tcW w:type="dxa" w:w="2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GREEN（低风险）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 ~ 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绿色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自动交付，写入结论库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实时（&lt; 2s）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YELLOW（中风险）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31 ~ 60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黄色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追加免责标注后交付，记录至复查队列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实时（&lt; 2s）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ORANGE（高风险）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61 ~ 80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橙色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阻断交付，转入人工复核队列，推送告警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人工复核 &lt; 30min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RED（极高风险）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81 ~ 100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红色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阻断交付，自动触发根因分析流程，通知主管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人工处理 &lt; 2h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预警触发条件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6.4.1 单次推理预警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Risk Score 超过预设阈值（默认 ORANGE 及以上触发）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某单一维度得分严重低于阈值（如证据充分性 &lt; 0.30，即便总分不高也触发）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工具调用失败率 &gt; 50%（关键工具无法执行视为不可靠输入）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推理耗时超过 P99 基线的 3 倍（推理过程异常可能指示模型状态问题）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6.4.2 批次统计预警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滚动 1h 内同类任务幻觉率上升超过 2 个百分点（Δ &gt; 0.02）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连续 10 次同类任务 Risk Score 均落在 YELLOW 以上（模型漂移信号）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特定产品线的 RED 级预警累计超过 3 次（可能存在系统性缺陷）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知识库检索召回率连续下降（RAG 数据老化信号）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6.5 根因分析流程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当触发 RED 级预警时，系统自动执行以下根因分析步骤：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提取完整推理轨迹（包含所有中间步骤的输入/输出/工具调用记录）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对照历史相似任务，识别偏差最大的推理节点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执行归因分析：区分检索失败、提示词问题、模型参数问题、工具执行异常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生成结构化根因报告，推送至工程师预警通道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将案例写入「困难案例库（Hard Cases）」，纳入下一轮微调数据集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6.6 稳定性 Dashboard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稳定性分析平台提供以下实时可视化视图：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320"/>
        <w:gridCol w:w="2640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视图名称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核心指标</w:t>
            </w:r>
          </w:p>
        </w:tc>
        <w:tc>
          <w:tcPr>
            <w:tcW w:type="dxa" w:w="13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刷新频率</w:t>
            </w:r>
          </w:p>
        </w:tc>
        <w:tc>
          <w:tcPr>
            <w:tcW w:type="dxa" w:w="2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访问权限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全局健康仪表盘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Risk Score 分布、预警率趋势、系统 SLA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分钟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analyst+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任务级追踪视图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单任务推理链瀑布图、逐步得分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实时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inspector+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幻觉分析视图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幻觉率趋势、类型分布、高频触发规律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小时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analyst+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模型漂移监控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各维度得分的 7 日滑动均值与标准差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小时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org_admin+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预警历史视图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预警事件列表、处理状态、根因分类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实时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inspector+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知识库健康视图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检索召回率、文档覆盖度、陈旧度评分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 小时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org_admin+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核心数据库设计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实体关系摘要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主要实体：Organization（租户）→ User（用户）→ InspectionTask（检测任务）→ InspectionResult（检测结论）→ StabilityReport（稳定性报告）→ AlertEvent（预警事件）。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辅助实体：ToolRegistry（工具注册）→ ToolExecution（工具执行日志）→ KnowledgeDocument（知识库文档）→ AuditLog（审计日志）。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核心表定义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7.2.1 inspection_tasks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80"/>
        <w:gridCol w:w="3480"/>
      </w:tblGrid>
      <w:tr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3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任务唯一标识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FK → organizations.id, 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租户 ID（RLS 策略依据）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提交用户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被检产品编号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spec_id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适用检测标准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image_urls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TEXT[]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原始图像 URL 列表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strategy_id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FK → strategies.id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检测策略（Agent 工具组合）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pending/running/done/failed/reviewing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SMALLINT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DEFAULT 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优先级 1-10，影响调度顺序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JSONB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可扩展业务元数据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最后更新时间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7.2.2 stability_reports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5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报告唯一标识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关联检测任务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result_id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关联检测结论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evidence_score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证据充分性得分 [0,1]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consistency_score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输出一致性得分 [0,1]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模型置信度得分 [0,1]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traceability_score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溯源完整性得分 [0,1]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anomaly_score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NUMERIC(5,4)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异常模式检测得分 [0,1]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risk_score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加权综合风险得分 [0,100]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GREEN / YELLOW / ORANGE / 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dimension_detail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JSONB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各维度详细计算过程与证据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sampling_results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JSONB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自洽性采样的 N 个原始输出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root_cause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RED 级时的根因分析摘要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人工复核的操作员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人工复核完成时间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API 接口规范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接口风格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全部后端接口遵循 RESTful 设计规范，使用 HTTP/2，响应格式统一为 JSON。流式推理结果通过 Server-Sent Events（SSE）传输。WebSocket 用于检测进度的实时推送。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核心接口清单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80"/>
        <w:gridCol w:w="2880"/>
        <w:gridCol w:w="2640"/>
        <w:gridCol w:w="1400"/>
      </w:tblGrid>
      <w:tr>
        <w:tc>
          <w:tcPr>
            <w:tcW w:type="dxa" w:w="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28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26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认证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/api/v1/auth/token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换取 Access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公开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认证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刷新令牌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已认证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用户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分页查询用户列表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org_admin+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用户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创建用户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org_admin+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用户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/api/v1/users/{id}/role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变更用户角色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org_admin+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检测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提交检测任务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inspector+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检测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/api/v1/tasks/{id}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查询任务状态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inspector+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检测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/api/v1/tasks/{id}/stream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SSE 流式监听推理过程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inspector+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结论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/api/v1/results/{id}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获取检测结论详情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inspector+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稳定性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/api/v1/stability/{result_id}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获取稳定性分析报告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inspector+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预警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查询预警事件列表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analyst+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预警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/api/v1/alerts/{id}/ack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确认并处理预警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inspector+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工具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/api/v1/tools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查询已注册工具列表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inspector+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工具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/api/v1/tools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注册新工具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org_admin+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统计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/api/v1/analytics/overview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获取平台健康总览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analyst+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审计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/api/v1/audit-logs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查询审计日志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auditor+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统一响应格式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标准响应 Envelope</w:t>
            </w:r>
          </w:p>
        </w:tc>
      </w:tr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{</w:t>
            </w:r>
          </w:p>
        </w:tc>
      </w:tr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  "code":    200,                     // HTTP 语义状态码</w:t>
            </w:r>
          </w:p>
        </w:tc>
      </w:tr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  "message": "ok",                    // 人类可读描述</w:t>
            </w:r>
          </w:p>
        </w:tc>
      </w:tr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  "data":    { ... },                 // 业务数据载体</w:t>
            </w:r>
          </w:p>
        </w:tc>
      </w:tr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  "meta": {                           // 分页与追踪元信息</w:t>
            </w:r>
          </w:p>
        </w:tc>
      </w:tr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    "page": 1, "page_size": 20,</w:t>
            </w:r>
          </w:p>
        </w:tc>
      </w:tr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    "total": 348,</w:t>
            </w:r>
          </w:p>
        </w:tc>
      </w:tr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    "request_id": "req_01JQXX..."    // 全链路追踪 ID</w:t>
            </w:r>
          </w:p>
        </w:tc>
      </w:tr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  }</w:t>
            </w:r>
          </w:p>
        </w:tc>
      </w:tr>
      <w:tr>
        <w:tc>
          <w:tcPr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F2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部署与运维方案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环境分层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400"/>
        <w:gridCol w:w="4040"/>
      </w:tblGrid>
      <w:tr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环境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部署形式</w:t>
            </w:r>
          </w:p>
        </w:tc>
        <w:tc>
          <w:tcPr>
            <w:tcW w:type="dxa" w:w="4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 接入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Development（开发）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本地开发与单元测试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Docker Compose（单机）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本地 Ollama（DeepSeek-R1 蒸馏版）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Staging（预发布）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集成测试与验收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K8s 小规格集群（3 节点）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内网 LLM 推理服务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Production（生产）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正式业务运行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K8s 高可用集群（≥ 5 节点）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企业级 API 或私有部署 GPU 集群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Kubernetes 服务清单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60"/>
        <w:gridCol w:w="1320"/>
        <w:gridCol w:w="1320"/>
        <w:gridCol w:w="3160"/>
      </w:tblGrid>
      <w:t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服务名称</w:t>
            </w:r>
          </w:p>
        </w:tc>
        <w:tc>
          <w:tcPr>
            <w:tcW w:type="dxa" w:w="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副本数</w:t>
            </w:r>
          </w:p>
        </w:tc>
        <w:tc>
          <w:tcPr>
            <w:tcW w:type="dxa" w:w="13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CPU 限额</w:t>
            </w:r>
          </w:p>
        </w:tc>
        <w:tc>
          <w:tcPr>
            <w:tcW w:type="dxa" w:w="13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内存限额</w:t>
            </w:r>
          </w:p>
        </w:tc>
        <w:tc>
          <w:tcPr>
            <w:tcW w:type="dxa" w:w="31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HPA 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500m / 1000m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512Mi / 1Gi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CPU &gt; 70% 扩容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1000m / 2000m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1Gi / 2Gi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队列深度 &gt; 100 扩容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llm-proxy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500m / 1000m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512Mi / 1Gi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无（下游限速）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stability-analyzer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1000m / 2000m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2Gi / 4Gi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CPU &gt; 80% 扩容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tool-executor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500m / 2000m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512Mi / 2Gi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任务队列深度扩容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200m / 500m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256Mi / 512Mi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CPU &gt; 70% 扩容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worker-alert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500m / 1000m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512Mi / 1Gi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队列深度扩容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可观测性方案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指标（Metrics）：Prometheus 采集，Grafana 可视化，告警规则通过 Alertmanager 分发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日志（Logs）：结构化 JSON 日志，Fluentd 采集，Loki 存储，Grafana 查询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追踪（Traces）：OpenTelemetry SDK 埋点，Tempo 后端，全链路请求追踪（含 LLM 调用耗时）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持续性能分析（Profiling）：Pyroscope 采集 CPU/内存 Flame Graph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9.4 灾备与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60"/>
        <w:gridCol w:w="960"/>
        <w:gridCol w:w="1440"/>
        <w:gridCol w:w="4440"/>
      </w:tblGrid>
      <w:tr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服务</w:t>
            </w:r>
          </w:p>
        </w:tc>
        <w:tc>
          <w:tcPr>
            <w:tcW w:type="dxa" w:w="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RTO</w:t>
            </w:r>
          </w:p>
        </w:tc>
        <w:tc>
          <w:tcPr>
            <w:tcW w:type="dxa" w:w="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RPO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可用性目标</w:t>
            </w:r>
          </w:p>
        </w:tc>
        <w:tc>
          <w:tcPr>
            <w:tcW w:type="dxa" w:w="4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备份策略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API 网关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30s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99.95%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多副本无状态滚动更新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5min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1min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99.99%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流复制 + 每日 WAL 归档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Redis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2min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5s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99.9%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AOF 持久化 + 主从复制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Milvus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10min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5min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99.9%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快照备份（每 6h 一次）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MinIO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15min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 1min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99.95%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EC（纠删码）存储 + 跨区域复制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测试策略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测试层次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覆盖目标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3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函数/方法级逻辑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行覆盖率 ≥ 85%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服务间接口契约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pytest + httpx + Testcontainers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关键接口 100% 覆盖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端到端测试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完整检测流程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Playwright（UI）+ pytest（API）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核心流程 100% 通过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并发吞吐与延迟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Locust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P99 &lt; 5s（检测任务提交）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AI 质量评估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模型精确性与幻觉率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RAGAS + 人工标注集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见 5.3 节阈值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混沌工程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故障注入下的韧性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Chaos Mesh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核心服务故障不影响 SLA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权限绕过与注入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OWASP ZAP + Semgrep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OWASP Top-10 零高危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AI 专项测试</w:t>
      </w:r>
    </w:p>
    <w:p>
      <w:pPr>
        <w:spacing w:before="80" w:after="80"/>
        <w:ind w:left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针对 LLM 的非确定性特征，建立以下专项测试流程：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构建领域黄金标准数据集（Gold Standard Dataset）：涵盖 500+ 典型检测场景，每条包含图像、标准答案、幻觉风险标注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A/B 版本对比评估：模型升级时对同一数据集执行对比评估，防止精确性退化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对抗性测试（Adversarial Testing）：构造边界案例（低质量图像、模糊描述、矛盾输入），验证稳定性分析器的预警准确率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长上下文压力测试：模拟超长会话与海量工具调用结果，检验注意力退化导致的精确性下降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安全与合规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数据安全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传输加密：全链路 TLS 1.3，禁用 TLS 1.0/1.1 及弱密码套件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静态加密：数据库敏感字段使用 AES-256-GCM 加密，密钥由 HSM 或 KMS 管理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数据脱敏：日志及调试输出中的个人信息和产品敏感参数自动脱敏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数据留存：检测图像默认保留 90 天，审计日志保留 3 年，可按合规需求配置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API 安全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所有写接口执行 CSRF Token 验证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输入参数执行严格 JSON Schema 校验，防止注入攻击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LLM 提示词注入防护：对用户输入执行 Prompt Injection 检测（基于规则 + 分类器双重拦截）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速率限制：基于用户、IP、API Key 三维度的滑动窗口限流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11.3 合规对齐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合规框架</w:t>
            </w:r>
          </w:p>
        </w:tc>
        <w:tc>
          <w:tcPr>
            <w:tcW w:type="dxa" w:w="6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对齐措施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ISO/IEC 27001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信息安全管理体系，覆盖资产管理、访问控制、事件响应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GDPR / 个人信息保护法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数据主体权利支持（查阅/更正/删除），数据处理记录保存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AI 透明度要求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检测结论附带置信度与溯源依据，符合可解释 AI 要求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行业标准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支持对接 GB/T 系列产品质量标准知识库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附录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A. 项目里程碑规划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60"/>
        <w:gridCol w:w="3600"/>
        <w:gridCol w:w="3240"/>
      </w:tblGrid>
      <w:tr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3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主要交付物</w:t>
            </w:r>
          </w:p>
        </w:tc>
        <w:tc>
          <w:tcPr>
            <w:tcW w:type="dxa" w:w="32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0：基础设施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K8s 集群、CI/CD、可观测栈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环境就绪、流水线绿灯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1：权限与认证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第 3-4 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用户/角色/权限系统、JWT 认证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全权限矩阵测试通过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2：工具体系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第 5-7 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工具注册中心、执行引擎、沙箱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核心工具通过集成测试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3：Agent 编排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第 8-11 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LangGraph 编排、RAG 检索、LLM 接入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端到端检测流程可用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4：稳定性分析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第 12-14 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稳定性评分器、预警引擎、Dashboard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预警准确率 ≥ 90%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Phase 5：优化与上线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第 15-16 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性能调优、安全审计、用户文档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生产验收通过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B. 术语缩写对照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缩写</w:t>
            </w:r>
          </w:p>
        </w:tc>
        <w:tc>
          <w:tcPr>
            <w:tcW w:type="dxa" w:w="7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全称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LLM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Large Language Model（大语言模型）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VLM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Vision Language Model（视觉语言模型）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Retrieval-Augmented Generation（检索增强生成）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RBAC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Role-Based Access Control（基于角色的访问控制）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ABAC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Attribute-Based Access Control（基于属性的访问控制）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Row-Level Security（行级安全策略）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NLI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Natural Language Inference（自然语言推断）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Server-Sent Events（服务器推送事件）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HPA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Horizontal Pod Autoscaler（水平 Pod 自动扩缩容）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Recovery Time Objective（恢复时间目标）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Recovery Point Objective（恢复点目标）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本文档由产品智能检测 Agent 平台项目组制定 | 版权所有，未经授权不得对外披露 | v1.0.0 · 2026-03-16</w:t>
      </w:r>
    </w:p>
    <w:sectPr>
      <w:head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8F7" w:sz="4" w:space="4"/>
      </w:pBdr>
      <w:jc w:val="right"/>
    </w:pPr>
    <w:r>
      <w:rPr>
        <w:rFonts w:ascii="Arial" w:cs="Arial" w:eastAsia="Arial" w:hAnsi="Arial"/>
        <w:color w:val="2E6DA4"/>
        <w:sz w:val="18"/>
        <w:szCs w:val="18"/>
      </w:rPr>
      <w:t xml:space="preserve">产品智能检测 Agent 平台  |  软件开发技术规范文档</w:t>
    </w:r>
    <w:r>
      <w:rPr>
        <w:rFonts w:ascii="Arial" w:cs="Arial" w:eastAsia="Arial" w:hAnsi="Arial"/>
        <w:color w:val="CCCCCC"/>
        <w:sz w:val="18"/>
        <w:szCs w:val="18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6B72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2026-03-16T02:13:07.812Z</dcterms:created>
  <dcterms:modified xsi:type="dcterms:W3CDTF">2026-03-16T02:13:07.814Z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