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6"/>
        </w:rPr>
        <w:t>PIAP-QS-001</w:t>
      </w:r>
    </w:p>
    <w:p>
      <w:pPr>
        <w:spacing w:before="0" w:after="120" w:line="312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11111"/>
          <w:sz w:val="44"/>
        </w:rPr>
        <w:t>产品检测与判定标准说明书</w:t>
      </w:r>
    </w:p>
    <w:p>
      <w:pPr>
        <w:spacing w:before="0" w:after="360" w:line="312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23"/>
        </w:rPr>
        <w:t>Product Inspection and Disposition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184"/>
      </w:tblGrid>
      <w:tr>
        <w:tc>
          <w:tcPr>
            <w:tcW w:type="dxa" w:w="9859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文档定位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333"/>
                <w:sz w:val="19"/>
              </w:rPr>
              <w:t>本文件定义 PIAP 平台在制造业质检场景下的统一产品检测与判定标准。它不是替代国标、行标、客户图纸或客户验收规范，而是把外部标准、企业内部标准和 AI 交付门禁整合为可执行的平台规则。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文档编号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PIAP-QS-001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版本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v1.0.0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状态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建议纳入项目正式基线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适用范围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面向产品检测、标准比对、AI 质检交付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关联文档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PIAP_DEV_007、PIAP_INT_008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责任团队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产品检测域 / Agent 运营域 / 治理域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执行对象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检测任务、模型输出、人工复核流程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适用主体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终端用户、Agent Operator、Platform Admin、AI Quality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核心原则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先有标准、再有判定；无标准不自动放行</w:t>
            </w:r>
          </w:p>
        </w:tc>
        <w:tc>
          <w:tcPr>
            <w:tcW w:type="dxa" w:w="14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发布日期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2026-03-24</w:t>
            </w:r>
          </w:p>
        </w:tc>
      </w:tr>
    </w:tbl>
    <w:p>
      <w:pPr>
        <w:spacing w:before="0" w:after="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184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本标准的判定边界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333"/>
                <w:sz w:val="19"/>
              </w:rPr>
              <w:t>当缺少有效 spec_id、关键视角缺失、图像质量不足、证据冲突或 AI 风险未通过门禁时，系统不得自动给出 PASS 结论；仅对证据充分且风险满足门禁的结果允许自动放行。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1. 目的与适用范围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本标准用于统一 PIAP 平台中的产品检测输入、缺陷分级、业务判定、AI 交付门禁、人工复核和结果追溯方式，确保不同角色、不同产品族和不同模型配置下，平台输出具有一致的工程语义和可追责性。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适用于外观缺陷、尺寸规格、标识/OCR、装配完整性与标准一致性五类检测任务。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适用于自动检测、半自动检测和人工复核结果的统一归档与结论输出。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适用于与国标/行标/客户规范相关的标准检索与 RAG 证据引用场景。</w:t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2. 标准体系与引用优先级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PIAP 的产品检测标准采取“三层标准体系”。所有自动化结论都必须明确引用自身依据属于哪一层，以保证审计和复核的一致性。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1  标准体系与优先顺序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层级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标准类型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示例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优先级与处理原则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L1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外部强制标准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国家标准、行业标准、客户图纸、客户验收规范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最高优先级；若与内部标准冲突，以外部强制标准为准。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L2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企业检测标准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spec_id + version 对应的产品检测标准包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平台执行的直接依据；承接 L1 并转化为可执行阈值和分区规则。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L3</w:t>
            </w:r>
          </w:p>
        </w:tc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 交付门禁标准</w:t>
            </w:r>
          </w:p>
        </w:tc>
        <w:tc>
          <w:tcPr>
            <w:tcW w:type="dxa" w:w="300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置信度、溯源覆盖率、Faithfulness、人工复核触发规则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决定自动化结论能否对外生效；不能覆盖 L1/L2 的业务判定。</w:t>
            </w:r>
          </w:p>
        </w:tc>
      </w:tr>
    </w:tbl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3. 核心术语与定义</w:t>
      </w:r>
    </w:p>
    <w:p>
      <w:pPr>
        <w:spacing w:before="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1"/>
        </w:rPr>
        <w:t>spec_id：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产品检测标准唯一编号，用于绑定 SKU、产品族和适用检测项。</w:t>
      </w:r>
    </w:p>
    <w:p>
      <w:pPr>
        <w:spacing w:before="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1"/>
        </w:rPr>
        <w:t>标准包：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由标准主数据、检测项、阈值、分区规则、聚合规则和 AI 门禁组成的可执行标准集合。</w:t>
      </w:r>
    </w:p>
    <w:p>
      <w:pPr>
        <w:spacing w:before="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1"/>
        </w:rPr>
        <w:t>检测项 inspection item：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一个可独立判断的检测维度，如划痕、孔径、序列号识别、漏装。</w:t>
      </w:r>
    </w:p>
    <w:p>
      <w:pPr>
        <w:spacing w:before="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1"/>
        </w:rPr>
        <w:t>产品分区 zone：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按可视性和功能关键程度划分的检测区域，通常为 A/B/C 区。</w:t>
      </w:r>
    </w:p>
    <w:p>
      <w:pPr>
        <w:spacing w:before="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1"/>
        </w:rPr>
        <w:t>业务判定 disposition：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平台对单次任务给出的 PASS / FAIL / UNCERTAIN / MANUAL_REQUIRED 结论。</w:t>
      </w:r>
    </w:p>
    <w:p>
      <w:pPr>
        <w:spacing w:before="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1"/>
        </w:rPr>
        <w:t>物理幻觉：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模型对尺寸、单位、材料属性、装配状态或标准条款的错误推断或凭空捏造。</w:t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4. 标准主数据模型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每个产品族或 SKU 必须绑定一份标准包，平台在发起检测任务时以 spec_id + spec_version 作为执行入口；未命中有效标准包的任务不允许自动给出 PASS。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2  标准主数据必备字段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字段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类型/示例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spec_id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SPEC-ABC-001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标准唯一编号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spec_version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1.0.0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标准版本，支持生效期管理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product_family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外壳件 / 总成件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适用产品族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applicable_sku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[SKU001, SKU002]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适用 SKU 列表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zone_map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A/B/C 区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检测分区定义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required_views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正面、侧面、背面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必须采集的视角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inspection_items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划痕、孔径、标签识别等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适用检测项清单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aggregation_rules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Major=0, Minor&lt;=3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聚合判定规则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ai_gate_rules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GREEN 才可自动放行</w:t>
            </w:r>
          </w:p>
        </w:tc>
        <w:tc>
          <w:tcPr>
            <w:tcW w:type="dxa" w:w="464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AI 交付门禁</w:t>
            </w:r>
          </w:p>
        </w:tc>
      </w:tr>
    </w:tbl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5. 检测项分类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外观缺陷：划痕、裂纹、形变、色差、异物、毛刺、掉漆、污渍。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尺寸规格：长度、宽度、高度、孔径、孔位、平面度、装配间隙。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标识/OCR：型号、批次、序列号、标签、强制性标志。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装配完整性：缺件、错件、反装、漏装、位置偏移。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标准一致性：检测参数与适用标准、图纸、知识条款的一致性。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184"/>
      </w:tblGrid>
      <w:tr>
        <w:tc>
          <w:tcPr>
            <w:tcW w:type="dxa" w:w="9859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执行要求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333"/>
                <w:sz w:val="19"/>
              </w:rPr>
              <w:t>每个检测项都必须显式声明：检测工具、阈值、判定逻辑、证据要求、是否允许自动判定，以及失败时的人工复核策略。</w:t>
            </w:r>
          </w:p>
        </w:tc>
      </w:tr>
    </w:tbl>
    <w:p/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6. 缺陷分级标准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平台统一采用四级缺陷模型，用于保持跨产品、跨模型、跨角色的统一表达。具体阈值由 spec_id 对应标准包定义，不允许全局写死。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3  缺陷分级定义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等级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英文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定义</w:t>
            </w:r>
          </w:p>
        </w:tc>
        <w:tc>
          <w:tcPr>
            <w:tcW w:type="dxa" w:w="33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默认处理规则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致命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Critical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涉及安全、法规、功能失效或明显不可交付缺陷。</w:t>
            </w:r>
          </w:p>
        </w:tc>
        <w:tc>
          <w:tcPr>
            <w:tcW w:type="dxa" w:w="33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任意一项即 FAIL；自动触发高优先级复核与审计留痕。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严重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Major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关键尺寸超差、关键区明显缺陷、关键标识错误或关键装配异常。</w:t>
            </w:r>
          </w:p>
        </w:tc>
        <w:tc>
          <w:tcPr>
            <w:tcW w:type="dxa" w:w="33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默认一项即 FAIL；除非标准包另有明确豁免。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轻微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Minor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非关键区轻微外观或非关键功能偏差，可在累计阈值内放行。</w:t>
            </w:r>
          </w:p>
        </w:tc>
        <w:tc>
          <w:tcPr>
            <w:tcW w:type="dxa" w:w="33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按标准包累计规则处理，不得直接跨过聚合规则。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观察项</w:t>
            </w:r>
          </w:p>
        </w:tc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Observe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记录但不单独构成拒收依据的趋势类问题。</w:t>
            </w:r>
          </w:p>
        </w:tc>
        <w:tc>
          <w:tcPr>
            <w:tcW w:type="dxa" w:w="33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记录趋势与反馈，不直接导致 FAIL。</w:t>
            </w:r>
          </w:p>
        </w:tc>
      </w:tr>
    </w:tbl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4  缺陷类型 × 分区 × 默认严重度示意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缺陷类型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A 区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B 区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C 区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裂纹 / 断裂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Critical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Critical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Critical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任意区域均不可接受。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关键尺寸超公差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Major/Critical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按具体公差与功能影响决定。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标签关键字段错误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涉及追溯或法规字段时不得放行。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划痕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Minor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Observe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长度、深度与面积阈值由标准包定义。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污渍 / 色差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Major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Minor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Observe</w:t>
            </w:r>
          </w:p>
        </w:tc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清洁后可消除的缺陷应注明复检机制。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7. 最终业务判定规则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平台统一输出 PASS、FAIL、UNCERTAIN、MANUAL_REQUIRED 四类业务判定。自动化结果先经过业务判定，再经过 AI 交付门禁；两者同时满足时，才允许形成可对外使用的自动化质检结论。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5  业务判定定义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判定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适用条件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系统行为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PASS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无 Critical、无 Major，Minor 未超过阈值，证据完整且标准版本有效。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可继续进入 AI 门禁；门禁通过后才允许自动放行。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FAIL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任一 Critical；默认任一 Major；或 Minor 超累计阈值。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直接判不合格，并记录缺陷清单与证据。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UNCERTAIN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证据冲突、多工具结论不一致，或标准/视觉/OCR 输出相互矛盾。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不得自动放行，进入待复核状态。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MANUAL_REQUIRED</w:t>
            </w:r>
          </w:p>
        </w:tc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未绑定有效 spec_id、关键视角缺失、图像质量不足、标准缺项或门禁不通过。</w:t>
            </w:r>
          </w:p>
        </w:tc>
        <w:tc>
          <w:tcPr>
            <w:tcW w:type="dxa" w:w="4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必须人工复核；仅允许对明显致命缺陷自动 FAIL。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184"/>
      </w:tblGrid>
      <w:tr>
        <w:tc>
          <w:tcPr>
            <w:tcW w:type="dxa" w:w="9859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强制保守原则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333333"/>
                <w:sz w:val="19"/>
              </w:rPr>
              <w:t>无正式标准、不满足证据完整性、不满足 AI 门禁时，系统一律不得自动给出 PASS。没有标准时，只允许对证据充分的明显致命缺陷自动 FAIL。</w:t>
            </w:r>
          </w:p>
        </w:tc>
      </w:tr>
    </w:tbl>
    <w:p/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8. AI 交付门禁标准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AI 交付门禁用于决定检测结果能否自动生效。业务判定解决“产品是否合格”，AI 门禁解决“当前自动化结论是否足够可信”。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6  AI 交付门禁建议阈值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指标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建议阈值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方向</w:t>
            </w:r>
          </w:p>
        </w:tc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置信度 confidence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&gt;= 0.85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越高越好</w:t>
            </w:r>
          </w:p>
        </w:tc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用于衡量当前检测输出的模型自信程度。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证据完整率 evidence coverage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= 1.00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越高越好</w:t>
            </w:r>
          </w:p>
        </w:tc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关键视角、关键检测项、必要引用必须全部齐全。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溯源覆盖率 traceability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&gt;= 0.90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越高越好</w:t>
            </w:r>
          </w:p>
        </w:tc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需要能指出引用的图像、知识条款或标准来源。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Faithfulness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&gt;= 0.85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越高越好</w:t>
            </w:r>
          </w:p>
        </w:tc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用于约束解释与证据是否一致。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物理幻觉率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&lt;= 0.02</w:t>
            </w:r>
          </w:p>
        </w:tc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越低越好</w:t>
            </w:r>
          </w:p>
        </w:tc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对尺寸、单位、材料、装配、标准误引等做专门监控。</w:t>
            </w:r>
          </w:p>
        </w:tc>
      </w:tr>
    </w:tbl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7  AI 风险等级与交付策略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等级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风险含义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交付策略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GREEN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证据完备且风险低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允许自动放行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唯一允许形成自动 PASS 的等级。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YELLOW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结果基本可信但存在轻微不确定性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待复核后可放行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不得直接形成最终自动 PASS。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ORANGE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存在明显不确定或部分冲突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必须人工复核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禁止自动对外交付。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RED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高风险或高概率错误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拦截并升级处理</w:t>
            </w:r>
          </w:p>
        </w:tc>
        <w:tc>
          <w:tcPr>
            <w:tcW w:type="dxa" w:w="289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触发审计、Hard Case 入库与必要的回滚。</w:t>
            </w:r>
          </w:p>
        </w:tc>
      </w:tr>
    </w:tbl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9. 人工复核触发条件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缺少有效 spec_id 或 spec_version 已过期。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关键视角、关键部位或关键检测项缺失。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图像质量、OCR 质量或结构化提取质量不足。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业务判定为 UNCERTAIN 或 AI 风险等级非 GREEN。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同一任务存在多工具、多模型、多规则间的显著冲突。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涉及客户投诉、法规追溯、高价值订单或重大质量事件。</w:t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10. 物理幻觉分类标准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为适配工业质检场景，本标准将“物理幻觉”从通用 hallucination 分类中细化为可治理、可统计、可回放的业务标签。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8  物理幻觉分类建议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分类编码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名称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定义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physical_hallucination.dimension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尺寸/公差幻觉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对尺寸、容差或量测结果的错误推断。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physical_hallucination.unit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单位换算幻觉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mm、cm、g、kg 等单位误判或换算错误。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physical_hallucination.material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材料属性幻觉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错误描述材质、表面处理、硬度、颜色属性。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physical_hallucination.assembly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装配状态幻觉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错误判断缺件、错件、反装或装配关系。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physical_hallucination.standard_ref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标准条款误引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引用错误标准或错误条款编号。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physical_hallucination.false_defect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捏造缺陷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在证据不足时虚构缺陷。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physical_hallucination.missed_defect</w:t>
            </w:r>
          </w:p>
        </w:tc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漏检缺陷</w:t>
            </w:r>
          </w:p>
        </w:tc>
        <w:tc>
          <w:tcPr>
            <w:tcW w:type="dxa" w:w="39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未识别本应被识别的显著缺陷。</w:t>
            </w:r>
          </w:p>
        </w:tc>
      </w:tr>
    </w:tbl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11. 系统数据与执行要求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为保证标准真正落地，系统至少应维护标准主表、标准项、分区映射、聚合规则、人工复核策略和变更日志。检测任务侧必须记录 spec_id、spec_version、request_id、task_id、trace_id 和最终 disposition。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同一条结果必须可追溯到图像证据、知识引用、模型链路和人工处理记录。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标准变更必须有版本号、生效期、审批记录和回滚能力。</w:t>
      </w:r>
    </w:p>
    <w:p>
      <w:pPr>
        <w:pStyle w:val="ListBullet"/>
        <w:spacing w:before="0" w:after="4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任何自动 PASS 都必须可还原为“业务判定通过 + AI 门禁通过”的两段式证据链。</w:t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12. 推荐数据表</w:t>
      </w:r>
    </w:p>
    <w:p>
      <w:pPr>
        <w:spacing w:before="120" w:after="60" w:line="312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19"/>
        </w:rPr>
        <w:t>表 9  推荐数据表清单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表名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用途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7"/>
              </w:rPr>
              <w:t>关键字段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inspection_specs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标准主表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spec_id, version, product_family, effective_from, effective_to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inspection_spec_items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检测项与阈值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spec_id, item_code, zone, threshold_json, severity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defect_taxonomy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缺陷分类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defect_code, category, default_severity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product_zone_maps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产品分区定义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spec_id, zone_code, zone_desc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spec_aggregation_rules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聚合判定规则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spec_id, max_major, max_minor, fail_conditions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manual_review_policies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人工复核策略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spec_id, trigger_code, handler_role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spec_change_logs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标准版本审计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spec_id, version, change_summary, approver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EF3F8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inspection_result_evidence</w:t>
            </w:r>
          </w:p>
        </w:tc>
        <w:tc>
          <w:tcPr>
            <w:tcW w:type="dxa" w:w="25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检测证据</w:t>
            </w:r>
          </w:p>
        </w:tc>
        <w:tc>
          <w:tcPr>
            <w:tcW w:type="dxa" w:w="37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task_id, evidence_type, uri, source_ref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13. 标准包模板（示例）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以下示例用于说明标准包应如何把产品知识、业务规则和 AI 门禁组合为可执行对象。实际项目中，阈值必须按产品族、客户和工艺版本维护。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9184"/>
      </w:tblGrid>
      <w:tr>
        <w:tc>
          <w:tcPr>
            <w:tcW w:type="dxa" w:w="9859"/>
            <w:shd w:fill="F7F7F7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>{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"spec_id": "SPEC-ABC-001",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"version": "1.0.0",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"product_family": "ABC外壳件",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"zones": ["A", "B", "C"],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"required_views": ["front", "side", "back"],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"inspection_items": [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  {"item": "scratch", "zone": "A", "severity": "major", "threshold": {"max_count": 0}},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  {"item": "scratch", "zone": "B", "severity": "minor", "threshold": {"max_count": 2}},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  {"item": "dimension_length", "severity": "major", "threshold": {"min": 99.5, "max": 100.5, "unit": "mm"}},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  {"item": "label_model", "severity": "major", "threshold": {"must_match": true}}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],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"aggregation_rules": {"max_major": 0, "max_minor": 3},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 xml:space="preserve">  "ai_gate": {"required_risk_level": "GREEN", "min_faithfulness": 0.85, "min_traceability": 0.90}</w:t>
            </w:r>
          </w:p>
          <w:p>
            <w:pPr>
              <w:spacing w:before="0" w:after="0" w:line="252" w:lineRule="auto"/>
            </w:pPr>
            <w:r>
              <w:rPr>
                <w:rFonts w:ascii="Liberation Mono" w:hAnsi="Liberation Mono" w:eastAsia="Liberation Mono" w:cs="Liberation Mono"/>
                <w:b w:val="0"/>
                <w:i w:val="0"/>
                <w:color w:val="333333"/>
                <w:sz w:val="16"/>
              </w:rPr>
              <w:t>}</w:t>
            </w:r>
          </w:p>
        </w:tc>
      </w:tr>
    </w:tbl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14. 实施建议</w:t>
      </w:r>
    </w:p>
    <w:p>
      <w:pPr>
        <w:pStyle w:val="ListNumber"/>
        <w:spacing w:before="0" w:after="6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先建立标准主数据治理：一产品族至少一份标准包，标准变更走审批与版本化流程。</w:t>
      </w:r>
    </w:p>
    <w:p>
      <w:pPr>
        <w:pStyle w:val="ListNumber"/>
        <w:spacing w:before="0" w:after="6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先让系统支持“没有标准不自动 PASS”，再逐步扩大自动化放行范围。</w:t>
      </w:r>
    </w:p>
    <w:p>
      <w:pPr>
        <w:pStyle w:val="ListNumber"/>
        <w:spacing w:before="0" w:after="6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把物理幻觉、漏检、误检纳入质量报告和 Hard Case 数据集。</w:t>
      </w:r>
    </w:p>
    <w:p>
      <w:pPr>
        <w:pStyle w:val="ListNumber"/>
        <w:spacing w:before="0" w:after="6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让业务判定与 AI 门禁分别出具证据，避免把“产品合格”和“AI 可信”混为一谈。</w:t>
      </w:r>
    </w:p>
    <w:p>
      <w:pPr>
        <w:spacing w:before="200" w:after="120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15. 结语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本标准的目标不是替代企业原有的质量体系，而是把分散在图纸、标准、经验和 AI 输出中的判断规则，收敛为可执行、可回放、可审计的统一平台标准。只有同时满足业务标准与 AI 门禁标准，平台才允许形成可自动交付的质检结论。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i w:val="0"/>
        <w:color w:val="666666"/>
        <w:sz w:val="17"/>
      </w:rPr>
      <w:t>PIAP-QS-001  产品检测与判定标准说明书  v1.0.0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 w:val="0"/>
        <w:i w:val="0"/>
        <w:color w:val="1F4E79"/>
        <w:sz w:val="17"/>
      </w:rPr>
      <w:t>内部研发草案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