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教育学情数据分析报告</w:t>
      </w:r>
    </w:p>
    <w:p>
      <w:pPr>
        <w:pStyle w:val="Heading1"/>
        <w:jc w:val="left"/>
      </w:pPr>
      <w:r>
        <w:t>一、数据概况与分析口径</w:t>
      </w:r>
    </w:p>
    <w:p>
      <w:r>
        <w:t>本次分析基于学生指标得分清单数据，旨在全面了解学生成长环境和学生发展状况，识别需要重点关注的群体和学校，为教育决策提供数据支持。</w:t>
      </w:r>
    </w:p>
    <w:p>
      <w:pPr>
        <w:pStyle w:val="Heading2"/>
      </w:pPr>
      <w:r>
        <w:t>1. 数据规模</w:t>
      </w:r>
    </w:p>
    <w:p>
      <w:r>
        <w:rPr>
          <w:b/>
        </w:rPr>
        <w:t>总样本量：</w:t>
      </w:r>
      <w:r>
        <w:t>9324名学生</w:t>
        <w:br/>
      </w:r>
      <w:r>
        <w:rPr>
          <w:b/>
        </w:rPr>
        <w:t>学校数量：</w:t>
      </w:r>
      <w:r>
        <w:t>35所学校</w:t>
        <w:br/>
      </w:r>
      <w:r>
        <w:rPr>
          <w:b/>
        </w:rPr>
        <w:t>年级：</w:t>
      </w:r>
      <w:r>
        <w:t>七年级</w:t>
      </w:r>
    </w:p>
    <w:p>
      <w:pPr>
        <w:pStyle w:val="Heading2"/>
      </w:pPr>
      <w:r>
        <w:t>2. 性别分布</w:t>
      </w:r>
    </w:p>
    <w:p>
      <w:r>
        <w:rPr>
          <w:b/>
        </w:rPr>
        <w:t>男生：</w:t>
      </w:r>
      <w:r>
        <w:t>4849人 (52.01%)</w:t>
        <w:br/>
      </w:r>
      <w:r>
        <w:rPr>
          <w:b/>
        </w:rPr>
        <w:t>女生：</w:t>
      </w:r>
      <w:r>
        <w:t>4475人 (47.99%)</w:t>
      </w:r>
    </w:p>
    <w:p>
      <w:pPr>
        <w:pStyle w:val="Heading2"/>
      </w:pPr>
      <w:r>
        <w:t>3. 办学性质分布</w:t>
      </w:r>
    </w:p>
    <w:p>
      <w:r>
        <w:rPr>
          <w:b/>
        </w:rPr>
        <w:t>公办学校学生：</w:t>
      </w:r>
      <w:r>
        <w:t>8822人 (94.62%)</w:t>
        <w:br/>
      </w:r>
      <w:r>
        <w:rPr>
          <w:b/>
        </w:rPr>
        <w:t>民办学校学生：</w:t>
      </w:r>
      <w:r>
        <w:t>502人 (5.38%)</w:t>
      </w:r>
    </w:p>
    <w:p>
      <w:pPr>
        <w:pStyle w:val="Heading2"/>
      </w:pPr>
      <w:r>
        <w:t>4. 办学规模分布</w:t>
      </w:r>
    </w:p>
    <w:p>
      <w:r>
        <w:rPr>
          <w:b/>
        </w:rPr>
        <w:t>微规模：</w:t>
      </w:r>
      <w:r>
        <w:t>450人 (4.83%)</w:t>
        <w:br/>
      </w:r>
      <w:r>
        <w:rPr>
          <w:b/>
        </w:rPr>
        <w:t>小规模：</w:t>
      </w:r>
      <w:r>
        <w:t>1645人 (17.64%)</w:t>
        <w:br/>
      </w:r>
      <w:r>
        <w:rPr>
          <w:b/>
        </w:rPr>
        <w:t>中规模：</w:t>
      </w:r>
      <w:r>
        <w:t>4352人 (46.68%)</w:t>
        <w:br/>
      </w:r>
      <w:r>
        <w:rPr>
          <w:b/>
        </w:rPr>
        <w:t>大规模：</w:t>
      </w:r>
      <w:r>
        <w:t>2877人 (30.86%)</w:t>
        <w:br/>
      </w:r>
    </w:p>
    <w:p>
      <w:pPr>
        <w:pStyle w:val="Heading1"/>
        <w:jc w:val="left"/>
      </w:pPr>
      <w:r>
        <w:t>二、整体学情画像</w:t>
      </w:r>
    </w:p>
    <w:p>
      <w:r>
        <w:t>通过分析各指标的平均分和风险暴露率，可以全面了解学生的整体学情状况。</w:t>
      </w:r>
    </w:p>
    <w:p>
      <w:pPr>
        <w:pStyle w:val="Heading2"/>
      </w:pPr>
      <w:r>
        <w:t>图 1 各指标平均分对比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各指标平均分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关键发现：</w:t>
      </w:r>
      <w:r>
        <w:br/>
        <w:t>• 学业达标得分最高（90.08分）</w:t>
        <w:br/>
      </w:r>
      <w:r>
        <w:t>• 同伴关系得分最低（56.42分）</w:t>
        <w:br/>
      </w:r>
      <w:r>
        <w:t>• 2个指标平均分低于及格线（60分）</w:t>
        <w:br/>
      </w:r>
    </w:p>
    <w:p>
      <w:pPr>
        <w:pStyle w:val="Heading2"/>
      </w:pPr>
      <w:r>
        <w:t>图 2 各指标风险暴露率（低于 60 分）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各指标风险暴露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风险分析：</w:t>
      </w:r>
      <w:r>
        <w:br/>
        <w:t>• 4个指标风险暴露率超过40%，需重点关注：</w:t>
      </w:r>
      <w:r>
        <w:br/>
        <w:t xml:space="preserve">  - 同伴关系：51.95%</w:t>
      </w:r>
      <w:r>
        <w:br/>
        <w:t xml:space="preserve">  - 身心健康：46.75%</w:t>
      </w:r>
      <w:r>
        <w:br/>
        <w:t xml:space="preserve">  - 学习创新机会：54.04%</w:t>
      </w:r>
      <w:r>
        <w:br/>
        <w:t xml:space="preserve">  - 学习习惯：44.05%</w:t>
      </w:r>
    </w:p>
    <w:p>
      <w:pPr>
        <w:pStyle w:val="Heading1"/>
        <w:jc w:val="left"/>
      </w:pPr>
      <w:r>
        <w:t>三、群体差异：谁更需要被看见</w:t>
      </w:r>
    </w:p>
    <w:p>
      <w:pPr>
        <w:pStyle w:val="Heading2"/>
      </w:pPr>
      <w:r>
        <w:t>1. 各指标的不同性别差异</w:t>
      </w:r>
    </w:p>
    <w:p>
      <w:r>
        <w:drawing>
          <wp:inline xmlns:a="http://schemas.openxmlformats.org/drawingml/2006/main" xmlns:pic="http://schemas.openxmlformats.org/drawingml/2006/picture">
            <wp:extent cx="5943600" cy="220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性别差异分析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  <w:tc>
          <w:tcPr>
            <w:tcW w:type="dxa" w:w="1234"/>
          </w:tcPr>
          <w:p>
            <w:r>
              <w:t>差异</w:t>
            </w:r>
          </w:p>
        </w:tc>
        <w:tc>
          <w:tcPr>
            <w:tcW w:type="dxa" w:w="1234"/>
          </w:tcPr>
          <w:p>
            <w:r>
              <w:t>指标</w:t>
            </w:r>
          </w:p>
        </w:tc>
        <w:tc>
          <w:tcPr>
            <w:tcW w:type="dxa" w:w="1234"/>
          </w:tcPr>
          <w:p>
            <w:r>
              <w:t>男生</w:t>
            </w:r>
          </w:p>
        </w:tc>
        <w:tc>
          <w:tcPr>
            <w:tcW w:type="dxa" w:w="1234"/>
          </w:tcPr>
          <w:p>
            <w:r>
              <w:t>女生</w:t>
            </w:r>
          </w:p>
        </w:tc>
      </w:tr>
      <w:tr>
        <w:tc>
          <w:tcPr>
            <w:tcW w:type="dxa" w:w="1234"/>
          </w:tcPr>
          <w:p>
            <w:r>
              <w:t>成长环境均分</w:t>
            </w:r>
          </w:p>
        </w:tc>
        <w:tc>
          <w:tcPr>
            <w:tcW w:type="dxa" w:w="1234"/>
          </w:tcPr>
          <w:p>
            <w:r>
              <w:t>73.21</w:t>
            </w:r>
          </w:p>
        </w:tc>
        <w:tc>
          <w:tcPr>
            <w:tcW w:type="dxa" w:w="1234"/>
          </w:tcPr>
          <w:p>
            <w:r>
              <w:t>72.95</w:t>
            </w:r>
          </w:p>
        </w:tc>
        <w:tc>
          <w:tcPr>
            <w:tcW w:type="dxa" w:w="1234"/>
          </w:tcPr>
          <w:p>
            <w:r>
              <w:t>0.27</w:t>
            </w:r>
          </w:p>
        </w:tc>
        <w:tc>
          <w:tcPr>
            <w:tcW w:type="dxa" w:w="1234"/>
          </w:tcPr>
          <w:p>
            <w:r>
              <w:t>学生发展均分</w:t>
            </w:r>
          </w:p>
        </w:tc>
        <w:tc>
          <w:tcPr>
            <w:tcW w:type="dxa" w:w="1234"/>
          </w:tcPr>
          <w:p>
            <w:r>
              <w:t>71.95</w:t>
            </w:r>
          </w:p>
        </w:tc>
        <w:tc>
          <w:tcPr>
            <w:tcW w:type="dxa" w:w="1234"/>
          </w:tcPr>
          <w:p>
            <w:r>
              <w:t>72.94</w:t>
            </w:r>
          </w:p>
        </w:tc>
      </w:tr>
    </w:tbl>
    <w:p/>
    <w:p>
      <w:r>
        <w:rPr>
          <w:b/>
        </w:rPr>
        <w:t>性别差异分析：</w:t>
      </w:r>
      <w:r>
        <w:br/>
        <w:t>• 女生学生发展均分高于男生0.99分</w:t>
        <w:br/>
      </w:r>
      <w:r>
        <w:t>• 男生成长环境均分高于女生0.27分</w:t>
        <w:br/>
      </w:r>
    </w:p>
    <w:p>
      <w:pPr>
        <w:pStyle w:val="Heading2"/>
      </w:pPr>
      <w:r>
        <w:t>2. 不同办学规模的环境与发展均分</w:t>
      </w:r>
    </w:p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办学规模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办学规模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微规模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70.64</w:t>
            </w:r>
          </w:p>
        </w:tc>
        <w:tc>
          <w:tcPr>
            <w:tcW w:type="dxa" w:w="2160"/>
          </w:tcPr>
          <w:p>
            <w:r>
              <w:t>72.71</w:t>
            </w:r>
          </w:p>
        </w:tc>
      </w:tr>
      <w:tr>
        <w:tc>
          <w:tcPr>
            <w:tcW w:type="dxa" w:w="2160"/>
          </w:tcPr>
          <w:p>
            <w:r>
              <w:t>小规模</w:t>
            </w:r>
          </w:p>
        </w:tc>
        <w:tc>
          <w:tcPr>
            <w:tcW w:type="dxa" w:w="2160"/>
          </w:tcPr>
          <w:p>
            <w:r>
              <w:t>1645</w:t>
            </w:r>
          </w:p>
        </w:tc>
        <w:tc>
          <w:tcPr>
            <w:tcW w:type="dxa" w:w="2160"/>
          </w:tcPr>
          <w:p>
            <w:r>
              <w:t>72.82</w:t>
            </w:r>
          </w:p>
        </w:tc>
        <w:tc>
          <w:tcPr>
            <w:tcW w:type="dxa" w:w="2160"/>
          </w:tcPr>
          <w:p>
            <w:r>
              <w:t>71.61</w:t>
            </w:r>
          </w:p>
        </w:tc>
      </w:tr>
      <w:tr>
        <w:tc>
          <w:tcPr>
            <w:tcW w:type="dxa" w:w="2160"/>
          </w:tcPr>
          <w:p>
            <w:r>
              <w:t>中规模</w:t>
            </w:r>
          </w:p>
        </w:tc>
        <w:tc>
          <w:tcPr>
            <w:tcW w:type="dxa" w:w="2160"/>
          </w:tcPr>
          <w:p>
            <w:r>
              <w:t>4352</w:t>
            </w:r>
          </w:p>
        </w:tc>
        <w:tc>
          <w:tcPr>
            <w:tcW w:type="dxa" w:w="2160"/>
          </w:tcPr>
          <w:p>
            <w:r>
              <w:t>72.49</w:t>
            </w:r>
          </w:p>
        </w:tc>
        <w:tc>
          <w:tcPr>
            <w:tcW w:type="dxa" w:w="2160"/>
          </w:tcPr>
          <w:p>
            <w:r>
              <w:t>71.71</w:t>
            </w:r>
          </w:p>
        </w:tc>
      </w:tr>
      <w:tr>
        <w:tc>
          <w:tcPr>
            <w:tcW w:type="dxa" w:w="2160"/>
          </w:tcPr>
          <w:p>
            <w:r>
              <w:t>大规模</w:t>
            </w:r>
          </w:p>
        </w:tc>
        <w:tc>
          <w:tcPr>
            <w:tcW w:type="dxa" w:w="2160"/>
          </w:tcPr>
          <w:p>
            <w:r>
              <w:t>2877</w:t>
            </w:r>
          </w:p>
        </w:tc>
        <w:tc>
          <w:tcPr>
            <w:tcW w:type="dxa" w:w="2160"/>
          </w:tcPr>
          <w:p>
            <w:r>
              <w:t>74.53</w:t>
            </w:r>
          </w:p>
        </w:tc>
        <w:tc>
          <w:tcPr>
            <w:tcW w:type="dxa" w:w="2160"/>
          </w:tcPr>
          <w:p>
            <w:r>
              <w:t>73.93</w:t>
            </w:r>
          </w:p>
        </w:tc>
      </w:tr>
    </w:tbl>
    <w:p/>
    <w:p>
      <w:r>
        <w:rPr>
          <w:b/>
        </w:rPr>
        <w:t>办学规模分析：</w:t>
      </w:r>
      <w:r>
        <w:br/>
        <w:t>• 大规模学校学生表现最佳，学生发展均分73.93</w:t>
        <w:br/>
      </w:r>
    </w:p>
    <w:p>
      <w:r>
        <w:drawing>
          <wp:inline xmlns:a="http://schemas.openxmlformats.org/drawingml/2006/main" xmlns:pic="http://schemas.openxmlformats.org/drawingml/2006/picture">
            <wp:extent cx="4572000" cy="3412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公办民办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2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公办vs民办对比：</w:t>
      </w:r>
      <w:r>
        <w:br/>
        <w:t>• 民办学校学生发展均分（76.02）vs 公办学校（72.22）</w:t>
        <w:br/>
      </w:r>
      <w:r>
        <w:t>• 民办学校成长环境均分（78.16）vs 公办学校（72.80）</w:t>
        <w:br/>
      </w:r>
    </w:p>
    <w:p>
      <w:pPr>
        <w:pStyle w:val="Heading1"/>
        <w:jc w:val="left"/>
      </w:pPr>
      <w:r>
        <w:t>四、学校层面：从平均分走向定位图</w:t>
      </w:r>
    </w:p>
    <w:p>
      <w:pPr>
        <w:pStyle w:val="Heading2"/>
      </w:pPr>
      <w:r>
        <w:t>图 4 学校层面环境-发展定位图（气泡大小代表样本量）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学校层面定位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定位图解读：</w:t>
      </w:r>
      <w:r>
        <w:br/>
        <w:t>• 横轴表示成长环境均分，纵轴表示学生发展均分</w:t>
        <w:br/>
      </w:r>
      <w:r>
        <w:t>• 气泡大小代表该校学生样本量</w:t>
        <w:br/>
      </w:r>
      <w:r>
        <w:t>• 右上方学校表现最佳（环境好、发展好）</w:t>
        <w:br/>
      </w:r>
      <w:r>
        <w:t>• 左下方学校需要重点关注</w:t>
      </w:r>
    </w:p>
    <w:p>
      <w:pPr>
        <w:pStyle w:val="Heading2"/>
      </w:pPr>
      <w:r>
        <w:t>表 3 发展均分较高的学校（前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79.51</w:t>
            </w:r>
          </w:p>
        </w:tc>
        <w:tc>
          <w:tcPr>
            <w:tcW w:type="dxa" w:w="2160"/>
          </w:tcPr>
          <w:p>
            <w:r>
              <w:t>79.31</w:t>
            </w:r>
          </w:p>
        </w:tc>
      </w:tr>
      <w:tr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82.83</w:t>
            </w:r>
          </w:p>
        </w:tc>
        <w:tc>
          <w:tcPr>
            <w:tcW w:type="dxa" w:w="2160"/>
          </w:tcPr>
          <w:p>
            <w:r>
              <w:t>78.75</w:t>
            </w:r>
          </w:p>
        </w:tc>
      </w:tr>
      <w:tr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80.37</w:t>
            </w:r>
          </w:p>
        </w:tc>
        <w:tc>
          <w:tcPr>
            <w:tcW w:type="dxa" w:w="2160"/>
          </w:tcPr>
          <w:p>
            <w:r>
              <w:t>78.60</w:t>
            </w:r>
          </w:p>
        </w:tc>
      </w:tr>
      <w:tr>
        <w:tc>
          <w:tcPr>
            <w:tcW w:type="dxa" w:w="2160"/>
          </w:tcPr>
          <w:p>
            <w:r>
              <w:t>51.0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80.83</w:t>
            </w:r>
          </w:p>
        </w:tc>
        <w:tc>
          <w:tcPr>
            <w:tcW w:type="dxa" w:w="2160"/>
          </w:tcPr>
          <w:p>
            <w:r>
              <w:t>78.49</w:t>
            </w:r>
          </w:p>
        </w:tc>
      </w:tr>
      <w:tr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78.16</w:t>
            </w:r>
          </w:p>
        </w:tc>
        <w:tc>
          <w:tcPr>
            <w:tcW w:type="dxa" w:w="2160"/>
          </w:tcPr>
          <w:p>
            <w:r>
              <w:t>77.90</w:t>
            </w:r>
          </w:p>
        </w:tc>
      </w:tr>
    </w:tbl>
    <w:p>
      <w:pPr>
        <w:pStyle w:val="Heading2"/>
      </w:pPr>
      <w:r>
        <w:t>表 4 发展均分较低的学校（后 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学校代码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成长环境均分</w:t>
            </w:r>
          </w:p>
        </w:tc>
        <w:tc>
          <w:tcPr>
            <w:tcW w:type="dxa" w:w="2160"/>
          </w:tcPr>
          <w:p>
            <w:r>
              <w:t>学生发展均分</w:t>
            </w:r>
          </w:p>
        </w:tc>
      </w:tr>
      <w:tr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66.80</w:t>
            </w:r>
          </w:p>
        </w:tc>
        <w:tc>
          <w:tcPr>
            <w:tcW w:type="dxa" w:w="2160"/>
          </w:tcPr>
          <w:p>
            <w:r>
              <w:t>65.86</w:t>
            </w:r>
          </w:p>
        </w:tc>
      </w:tr>
      <w:tr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61.57</w:t>
            </w:r>
          </w:p>
        </w:tc>
        <w:tc>
          <w:tcPr>
            <w:tcW w:type="dxa" w:w="2160"/>
          </w:tcPr>
          <w:p>
            <w:r>
              <w:t>67.94</w:t>
            </w:r>
          </w:p>
        </w:tc>
      </w:tr>
      <w:tr>
        <w:tc>
          <w:tcPr>
            <w:tcW w:type="dxa" w:w="2160"/>
          </w:tcPr>
          <w:p>
            <w:r>
              <w:t>15.0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73.82</w:t>
            </w:r>
          </w:p>
        </w:tc>
        <w:tc>
          <w:tcPr>
            <w:tcW w:type="dxa" w:w="2160"/>
          </w:tcPr>
          <w:p>
            <w:r>
              <w:t>68.08</w:t>
            </w:r>
          </w:p>
        </w:tc>
      </w:tr>
      <w:tr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70.61</w:t>
            </w:r>
          </w:p>
        </w:tc>
        <w:tc>
          <w:tcPr>
            <w:tcW w:type="dxa" w:w="2160"/>
          </w:tcPr>
          <w:p>
            <w:r>
              <w:t>68.12</w:t>
            </w:r>
          </w:p>
        </w:tc>
      </w:tr>
      <w:tr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71.80</w:t>
            </w:r>
          </w:p>
        </w:tc>
        <w:tc>
          <w:tcPr>
            <w:tcW w:type="dxa" w:w="2160"/>
          </w:tcPr>
          <w:p>
            <w:r>
              <w:t>68.53</w:t>
            </w:r>
          </w:p>
        </w:tc>
      </w:tr>
    </w:tbl>
    <w:p/>
    <w:p>
      <w:r>
        <w:rPr>
          <w:b/>
        </w:rPr>
        <w:t>学校表现分析：</w:t>
      </w:r>
      <w:r>
        <w:br/>
        <w:t>• 表现最佳的5所学校学生发展均分平均78.61分</w:t>
        <w:br/>
      </w:r>
      <w:r>
        <w:t>• 表现欠佳的5所学校学生发展均分平均67.71分</w:t>
        <w:br/>
      </w:r>
      <w:r>
        <w:t>• 学校间差异明显（差距10.90分），需要针对性地制定改进措施</w:t>
      </w:r>
    </w:p>
    <w:p>
      <w:pPr>
        <w:pStyle w:val="Heading1"/>
        <w:jc w:val="left"/>
      </w:pPr>
      <w:r>
        <w:t>五、学生分层：四象限识别与干预优先级</w:t>
      </w:r>
    </w:p>
    <w:p>
      <w:pPr>
        <w:pStyle w:val="Heading2"/>
      </w:pPr>
      <w:r>
        <w:t>图 5 学生环境-发展四象限分布</w:t>
      </w:r>
    </w:p>
    <w:p>
      <w:r>
        <w:drawing>
          <wp:inline xmlns:a="http://schemas.openxmlformats.org/drawingml/2006/main" xmlns:pic="http://schemas.openxmlformats.org/drawingml/2006/picture">
            <wp:extent cx="5486400" cy="3269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学生四象限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四象限划分标准：</w:t>
      </w:r>
      <w:r>
        <w:br/>
        <w:t>• 以成长环境和学生发展中位数为划分界限</w:t>
        <w:br/>
      </w:r>
      <w:r>
        <w:t>• 第一象限：成长环境良好且学生发展良好</w:t>
        <w:br/>
      </w:r>
      <w:r>
        <w:t>• 第二象限：成长环境欠佳但学生发展良好</w:t>
        <w:br/>
      </w:r>
      <w:r>
        <w:t>• 第三象限：成长环境良好但学生发展欠佳</w:t>
        <w:br/>
      </w:r>
      <w:r>
        <w:t>• 第四象限：成长环境欠佳且学生发展欠佳</w:t>
      </w:r>
    </w:p>
    <w:p>
      <w:pPr>
        <w:pStyle w:val="Heading2"/>
      </w:pPr>
      <w:r>
        <w:t>表 5 四象限学生干预建议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象限</w:t>
            </w:r>
          </w:p>
        </w:tc>
        <w:tc>
          <w:tcPr>
            <w:tcW w:type="dxa" w:w="2160"/>
          </w:tcPr>
          <w:p>
            <w:r>
              <w:t>学生人数</w:t>
            </w:r>
          </w:p>
        </w:tc>
        <w:tc>
          <w:tcPr>
            <w:tcW w:type="dxa" w:w="2160"/>
          </w:tcPr>
          <w:p>
            <w:r>
              <w:t>主要特征</w:t>
            </w:r>
          </w:p>
        </w:tc>
        <w:tc>
          <w:tcPr>
            <w:tcW w:type="dxa" w:w="2160"/>
          </w:tcPr>
          <w:p>
            <w:r>
              <w:t>干预建议</w:t>
            </w:r>
          </w:p>
        </w:tc>
      </w:tr>
      <w:tr>
        <w:tc>
          <w:tcPr>
            <w:tcW w:type="dxa" w:w="2160"/>
          </w:tcPr>
          <w:p>
            <w:r>
              <w:t>第一象限-优势发展型</w:t>
            </w:r>
          </w:p>
        </w:tc>
        <w:tc>
          <w:tcPr>
            <w:tcW w:type="dxa" w:w="2160"/>
          </w:tcPr>
          <w:p>
            <w:r>
              <w:t>3481</w:t>
            </w:r>
          </w:p>
        </w:tc>
        <w:tc>
          <w:tcPr>
            <w:tcW w:type="dxa" w:w="2160"/>
          </w:tcPr>
          <w:p>
            <w:r>
              <w:t>成长环境良好，学生发展表现优秀</w:t>
            </w:r>
          </w:p>
        </w:tc>
        <w:tc>
          <w:tcPr>
            <w:tcW w:type="dxa" w:w="2160"/>
          </w:tcPr>
          <w:p>
            <w:r>
              <w:t>继续保持优势，提供拓展性学习资源，培养领导力和创新能力，鼓励参与社会实践和竞赛活动</w:t>
            </w:r>
          </w:p>
        </w:tc>
      </w:tr>
      <w:tr>
        <w:tc>
          <w:tcPr>
            <w:tcW w:type="dxa" w:w="2160"/>
          </w:tcPr>
          <w:p>
            <w:r>
              <w:t>第二象限-逆境成长型</w:t>
            </w:r>
          </w:p>
        </w:tc>
        <w:tc>
          <w:tcPr>
            <w:tcW w:type="dxa" w:w="2160"/>
          </w:tcPr>
          <w:p>
            <w:r>
              <w:t>1187</w:t>
            </w:r>
          </w:p>
        </w:tc>
        <w:tc>
          <w:tcPr>
            <w:tcW w:type="dxa" w:w="2160"/>
          </w:tcPr>
          <w:p>
            <w:r>
              <w:t>成长环境欠佳，但学生发展表现优秀</w:t>
            </w:r>
          </w:p>
        </w:tc>
        <w:tc>
          <w:tcPr>
            <w:tcW w:type="dxa" w:w="2160"/>
          </w:tcPr>
          <w:p>
            <w:r>
              <w:t>关注学生心理韧性，提供情感支持，改善成长环境，建立师生一对一帮扶机制，预防环境因素导致的潜在风险</w:t>
            </w:r>
          </w:p>
        </w:tc>
      </w:tr>
      <w:tr>
        <w:tc>
          <w:tcPr>
            <w:tcW w:type="dxa" w:w="2160"/>
          </w:tcPr>
          <w:p>
            <w:r>
              <w:t>第三象限-潜力待发型</w:t>
            </w:r>
          </w:p>
        </w:tc>
        <w:tc>
          <w:tcPr>
            <w:tcW w:type="dxa" w:w="2160"/>
          </w:tcPr>
          <w:p>
            <w:r>
              <w:t>1189</w:t>
            </w:r>
          </w:p>
        </w:tc>
        <w:tc>
          <w:tcPr>
            <w:tcW w:type="dxa" w:w="2160"/>
          </w:tcPr>
          <w:p>
            <w:r>
              <w:t>成长环境良好，但学生发展表现欠佳</w:t>
            </w:r>
          </w:p>
        </w:tc>
        <w:tc>
          <w:tcPr>
            <w:tcW w:type="dxa" w:w="2160"/>
          </w:tcPr>
          <w:p>
            <w:r>
              <w:t>深入了解学生个体差异，提供个性化学习指导，激发学习兴趣，建立激励机制，探索适合的教学方法</w:t>
            </w:r>
          </w:p>
        </w:tc>
      </w:tr>
      <w:tr>
        <w:tc>
          <w:tcPr>
            <w:tcW w:type="dxa" w:w="2160"/>
          </w:tcPr>
          <w:p>
            <w:r>
              <w:t>第四象限-重点关注型</w:t>
            </w:r>
          </w:p>
        </w:tc>
        <w:tc>
          <w:tcPr>
            <w:tcW w:type="dxa" w:w="2160"/>
          </w:tcPr>
          <w:p>
            <w:r>
              <w:t>3467</w:t>
            </w:r>
          </w:p>
        </w:tc>
        <w:tc>
          <w:tcPr>
            <w:tcW w:type="dxa" w:w="2160"/>
          </w:tcPr>
          <w:p>
            <w:r>
              <w:t>成长环境欠佳，学生发展表现欠佳</w:t>
            </w:r>
          </w:p>
        </w:tc>
        <w:tc>
          <w:tcPr>
            <w:tcW w:type="dxa" w:w="2160"/>
          </w:tcPr>
          <w:p>
            <w:r>
              <w:t>优先干预，建立多维度帮扶体系，改善家庭和校园环境，提供心理辅导，制定个性化发展计划，定期跟踪评估</w:t>
            </w:r>
          </w:p>
        </w:tc>
      </w:tr>
    </w:tbl>
    <w:p/>
    <w:p>
      <w:r>
        <w:rPr>
          <w:b/>
        </w:rPr>
        <w:t>重点关注：</w:t>
      </w:r>
      <w:r>
        <w:br/>
        <w:t>• 第四象限（重点关注型）学生占比最高，需要优先干预</w:t>
        <w:br/>
      </w:r>
    </w:p>
    <w:p>
      <w:pPr>
        <w:pStyle w:val="Heading1"/>
        <w:jc w:val="left"/>
      </w:pPr>
      <w:r>
        <w:t>六、结论与改进建议</w:t>
      </w:r>
    </w:p>
    <w:p>
      <w:pPr>
        <w:pStyle w:val="Heading2"/>
      </w:pPr>
      <w:r>
        <w:t>主要结论</w:t>
      </w:r>
    </w:p>
    <w:p>
      <w:r>
        <w:rPr>
          <w:b/>
        </w:rPr>
        <w:t>1. 整体学情状况：</w:t>
      </w:r>
      <w:r>
        <w:br/>
        <w:t xml:space="preserve">   根据数据分析，需要关注高风险指标的学生群体。</w:t>
        <w:br/>
        <w:br/>
      </w:r>
      <w:r>
        <w:rPr>
          <w:b/>
        </w:rPr>
        <w:t>2. 群体差异明显：</w:t>
      </w:r>
      <w:r>
        <w:br/>
        <w:t xml:space="preserve">   不同性别、办学规模、办学性质的学生表现存在差异，需要针对性干预。</w:t>
        <w:br/>
        <w:br/>
      </w:r>
      <w:r>
        <w:rPr>
          <w:b/>
        </w:rPr>
        <w:t>3. 学校层面差异显著：</w:t>
      </w:r>
      <w:r>
        <w:br/>
        <w:t xml:space="preserve">   表现最佳和表现欠佳的学校差距明显，需要重点帮扶。</w:t>
        <w:br/>
        <w:br/>
      </w:r>
      <w:r>
        <w:rPr>
          <w:b/>
        </w:rPr>
        <w:t>4. 学生分层紧迫：</w:t>
      </w:r>
      <w:r>
        <w:br/>
        <w:t xml:space="preserve">   第四象限学生需要优先干预，第二象限学生需要预防潜在风险。</w:t>
      </w:r>
    </w:p>
    <w:p>
      <w:pPr>
        <w:pStyle w:val="Heading2"/>
      </w:pPr>
      <w:r>
        <w:t>改进建议</w:t>
      </w:r>
    </w:p>
    <w:p>
      <w:r>
        <w:rPr>
          <w:b/>
        </w:rPr>
        <w:t>一、优先干预措施：</w:t>
      </w:r>
      <w:r>
        <w:br/>
      </w:r>
      <w:r>
        <w:t>1. 针对第四象限学生建立多维度帮扶体系</w:t>
        <w:br/>
      </w:r>
      <w:r>
        <w:t>2. 针对高风险指标开展专项干预</w:t>
        <w:br/>
      </w:r>
      <w:r>
        <w:t>3. 加强心理健康教育和同伴关系建设</w:t>
        <w:br/>
        <w:br/>
      </w:r>
      <w:r>
        <w:rPr>
          <w:b/>
        </w:rPr>
        <w:t>二、针对性改进措施：</w:t>
      </w:r>
      <w:r>
        <w:br/>
      </w:r>
      <w:r>
        <w:t>1. 关注性别差异，提供针对性辅导</w:t>
        <w:br/>
      </w:r>
      <w:r>
        <w:t>2. 对表现欠佳的学校进行重点帮扶</w:t>
        <w:br/>
      </w:r>
      <w:r>
        <w:t>3. 加强学校间交流合作</w:t>
        <w:br/>
        <w:br/>
      </w:r>
      <w:r>
        <w:rPr>
          <w:b/>
        </w:rPr>
        <w:t>三、长效机制建设：</w:t>
      </w:r>
      <w:r>
        <w:br/>
      </w:r>
      <w:r>
        <w:t>1. 建立定期评估机制</w:t>
        <w:br/>
      </w:r>
      <w:r>
        <w:t>2. 建立预警机制</w:t>
        <w:br/>
      </w:r>
      <w:r>
        <w:t>3. 建立资源调配机制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