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17F7" w14:textId="77777777" w:rsidR="00A57CBB" w:rsidRDefault="00000000">
      <w:pPr>
        <w:pStyle w:val="aa"/>
        <w:rPr>
          <w:lang w:eastAsia="zh-CN"/>
        </w:rPr>
      </w:pPr>
      <w:r>
        <w:rPr>
          <w:lang w:eastAsia="zh-CN"/>
        </w:rPr>
        <w:t>PMC Agent 前端设计开发需求</w:t>
      </w:r>
    </w:p>
    <w:p w14:paraId="4E8B3232" w14:textId="77777777" w:rsidR="00A57CBB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 xml:space="preserve"> 设计并实现一个可演示、可继续接入后端的制造业 PMC 智能工作台</w:t>
      </w:r>
    </w:p>
    <w:p w14:paraId="4D1183BA" w14:textId="77777777" w:rsidR="00A57CBB" w:rsidRDefault="00000000">
      <w:pPr>
        <w:rPr>
          <w:lang w:eastAsia="zh-CN"/>
        </w:rPr>
      </w:pPr>
      <w:r>
        <w:rPr>
          <w:b/>
          <w:lang w:eastAsia="zh-CN"/>
        </w:rPr>
        <w:t>依据：</w:t>
      </w:r>
      <w:r>
        <w:rPr>
          <w:lang w:eastAsia="zh-CN"/>
        </w:rPr>
        <w:t xml:space="preserve"> 当前项目能力与既定 v1.9 至 v1.14 路线。具体接口字段和版本完成状态以交接时的仓库及接口样例为准。</w:t>
      </w:r>
    </w:p>
    <w:p w14:paraId="33F74F10" w14:textId="77777777" w:rsidR="00A57CBB" w:rsidRDefault="00000000">
      <w:pPr>
        <w:pStyle w:val="1"/>
        <w:rPr>
          <w:lang w:eastAsia="zh-CN"/>
        </w:rPr>
      </w:pPr>
      <w:r>
        <w:rPr>
          <w:lang w:eastAsia="zh-CN"/>
        </w:rPr>
        <w:t>1 项目目标</w:t>
      </w:r>
    </w:p>
    <w:p w14:paraId="31A0E025" w14:textId="77777777" w:rsidR="00A57CBB" w:rsidRDefault="00000000">
      <w:pPr>
        <w:rPr>
          <w:lang w:eastAsia="zh-CN"/>
        </w:rPr>
      </w:pPr>
      <w:r>
        <w:rPr>
          <w:lang w:eastAsia="zh-CN"/>
        </w:rPr>
        <w:t>PMC Agent 服务于生产计划与物料控制场景。用户用自然语言提出生产或物料问题，系统查询已发布的企业事实，由后端完成确定性计算，再将结论、依据和数据来源呈现给用户。面向 PMC 计划员、生产主管和采购人员，核心问题是：能否生产、能生产多少、缺哪些料、何时可能到料、需要怎样处理。</w:t>
      </w:r>
    </w:p>
    <w:p w14:paraId="03C3C24A" w14:textId="66ADB0AE" w:rsidR="00A57CBB" w:rsidRDefault="004212E3">
      <w:p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制作</w:t>
      </w:r>
      <w:r w:rsidR="00000000">
        <w:rPr>
          <w:b/>
          <w:lang w:eastAsia="zh-CN"/>
        </w:rPr>
        <w:t>可运行的 Vue 3 前端设计与代码</w:t>
      </w:r>
      <w:r w:rsidR="00000000">
        <w:rPr>
          <w:lang w:eastAsia="zh-CN"/>
        </w:rPr>
        <w:t>，让评委或企业用户在几分钟内理解项目价值并完成典型操作。界面应像企业工作台，突出可核查的业务结论，而非仅有聊天气泡。视觉设计可重新构思，但不能凭空制造后端尚未提供的计算结果。</w:t>
      </w:r>
    </w:p>
    <w:p w14:paraId="08013201" w14:textId="77777777" w:rsidR="00A57CBB" w:rsidRDefault="00000000">
      <w:pPr>
        <w:pStyle w:val="1"/>
      </w:pPr>
      <w:r>
        <w:t>2 能力边界与版本演进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A57CBB" w14:paraId="2D700468" w14:textId="77777777">
        <w:trPr>
          <w:cantSplit/>
          <w:tblHeader/>
          <w:jc w:val="center"/>
        </w:trPr>
        <w:tc>
          <w:tcPr>
            <w:tcW w:w="3389" w:type="dxa"/>
            <w:shd w:val="clear" w:color="auto" w:fill="E8EEF5"/>
            <w:vAlign w:val="center"/>
          </w:tcPr>
          <w:p w14:paraId="30E80EC8" w14:textId="77777777" w:rsidR="00A57CBB" w:rsidRDefault="00000000">
            <w:pPr>
              <w:spacing w:after="40" w:line="264" w:lineRule="auto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w="3389" w:type="dxa"/>
            <w:shd w:val="clear" w:color="auto" w:fill="E8EEF5"/>
            <w:vAlign w:val="center"/>
          </w:tcPr>
          <w:p w14:paraId="518BCDE5" w14:textId="77777777" w:rsidR="00A57CBB" w:rsidRDefault="00000000">
            <w:pPr>
              <w:spacing w:after="40" w:line="264" w:lineRule="auto"/>
            </w:pPr>
            <w:r>
              <w:rPr>
                <w:b/>
                <w:sz w:val="17"/>
              </w:rPr>
              <w:t>前端需要呈现的能力</w:t>
            </w:r>
          </w:p>
        </w:tc>
        <w:tc>
          <w:tcPr>
            <w:tcW w:w="3389" w:type="dxa"/>
            <w:shd w:val="clear" w:color="auto" w:fill="E8EEF5"/>
            <w:vAlign w:val="center"/>
          </w:tcPr>
          <w:p w14:paraId="7B66AFB7" w14:textId="77777777" w:rsidR="00A57CBB" w:rsidRDefault="00000000">
            <w:pPr>
              <w:spacing w:after="40" w:line="264" w:lineRule="auto"/>
            </w:pPr>
            <w:r>
              <w:rPr>
                <w:b/>
                <w:sz w:val="17"/>
              </w:rPr>
              <w:t>设计处理</w:t>
            </w:r>
          </w:p>
        </w:tc>
      </w:tr>
      <w:tr w:rsidR="00A57CBB" w14:paraId="26311639" w14:textId="77777777">
        <w:trPr>
          <w:cantSplit/>
          <w:jc w:val="center"/>
        </w:trPr>
        <w:tc>
          <w:tcPr>
            <w:tcW w:w="3389" w:type="dxa"/>
            <w:vAlign w:val="center"/>
          </w:tcPr>
          <w:p w14:paraId="3D65C640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当前基线 v1.9.x</w:t>
            </w:r>
          </w:p>
        </w:tc>
        <w:tc>
          <w:tcPr>
            <w:tcW w:w="3389" w:type="dxa"/>
            <w:vAlign w:val="center"/>
          </w:tcPr>
          <w:p w14:paraId="04734F22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智能对话、生产分析、库存与 BOM 等事实查询、产能查询、来源追溯；以实际接口为准</w:t>
            </w:r>
          </w:p>
        </w:tc>
        <w:tc>
          <w:tcPr>
            <w:tcW w:w="3389" w:type="dxa"/>
            <w:vAlign w:val="center"/>
          </w:tcPr>
          <w:p w14:paraId="56AF8293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做成真实接口可接入的主流程，并提供空状态、错误状态与来源详情</w:t>
            </w:r>
          </w:p>
        </w:tc>
      </w:tr>
      <w:tr w:rsidR="00A57CBB" w14:paraId="2B092098" w14:textId="77777777">
        <w:trPr>
          <w:cantSplit/>
          <w:jc w:val="center"/>
        </w:trPr>
        <w:tc>
          <w:tcPr>
            <w:tcW w:w="3389" w:type="dxa"/>
            <w:shd w:val="clear" w:color="auto" w:fill="F6F8FA"/>
            <w:vAlign w:val="center"/>
          </w:tcPr>
          <w:p w14:paraId="442E53DC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v1.10</w:t>
            </w:r>
          </w:p>
        </w:tc>
        <w:tc>
          <w:tcPr>
            <w:tcW w:w="3389" w:type="dxa"/>
            <w:shd w:val="clear" w:color="auto" w:fill="F6F8FA"/>
            <w:vAlign w:val="center"/>
          </w:tcPr>
          <w:p w14:paraId="4053FFE1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多层 BOM、版本与生效期、单位换算、齐套和最大产能计算</w:t>
            </w:r>
          </w:p>
        </w:tc>
        <w:tc>
          <w:tcPr>
            <w:tcW w:w="3389" w:type="dxa"/>
            <w:shd w:val="clear" w:color="auto" w:fill="F6F8FA"/>
            <w:vAlign w:val="center"/>
          </w:tcPr>
          <w:p w14:paraId="718C3639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预留 BOM 树、版本标识、计算明细；上线状态以真实接口为准</w:t>
            </w:r>
          </w:p>
        </w:tc>
      </w:tr>
      <w:tr w:rsidR="00A57CBB" w14:paraId="7C2711F5" w14:textId="77777777">
        <w:trPr>
          <w:cantSplit/>
          <w:jc w:val="center"/>
        </w:trPr>
        <w:tc>
          <w:tcPr>
            <w:tcW w:w="3389" w:type="dxa"/>
            <w:vAlign w:val="center"/>
          </w:tcPr>
          <w:p w14:paraId="183432AD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v1.11</w:t>
            </w:r>
          </w:p>
        </w:tc>
        <w:tc>
          <w:tcPr>
            <w:tcW w:w="3389" w:type="dxa"/>
            <w:vAlign w:val="center"/>
          </w:tcPr>
          <w:p w14:paraId="2588C6F4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批次库存及库存可用性</w:t>
            </w:r>
          </w:p>
        </w:tc>
        <w:tc>
          <w:tcPr>
            <w:tcW w:w="3389" w:type="dxa"/>
            <w:vAlign w:val="center"/>
          </w:tcPr>
          <w:p w14:paraId="0B4549A6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预留批次明细、库位和不可用原因的展开区</w:t>
            </w:r>
          </w:p>
        </w:tc>
      </w:tr>
      <w:tr w:rsidR="00A57CBB" w14:paraId="0751F44C" w14:textId="77777777">
        <w:trPr>
          <w:cantSplit/>
          <w:jc w:val="center"/>
        </w:trPr>
        <w:tc>
          <w:tcPr>
            <w:tcW w:w="3389" w:type="dxa"/>
            <w:shd w:val="clear" w:color="auto" w:fill="F6F8FA"/>
            <w:vAlign w:val="center"/>
          </w:tcPr>
          <w:p w14:paraId="01E8EE1A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v1.12</w:t>
            </w:r>
          </w:p>
        </w:tc>
        <w:tc>
          <w:tcPr>
            <w:tcW w:w="3389" w:type="dxa"/>
            <w:shd w:val="clear" w:color="auto" w:fill="F6F8FA"/>
            <w:vAlign w:val="center"/>
          </w:tcPr>
          <w:p w14:paraId="600305EE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缺料处置与采购建议</w:t>
            </w:r>
          </w:p>
        </w:tc>
        <w:tc>
          <w:tcPr>
            <w:tcW w:w="3389" w:type="dxa"/>
            <w:shd w:val="clear" w:color="auto" w:fill="F6F8FA"/>
            <w:vAlign w:val="center"/>
          </w:tcPr>
          <w:p w14:paraId="6F0754ED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预留建议卡及其依据、约束和人工确认入口</w:t>
            </w:r>
          </w:p>
        </w:tc>
      </w:tr>
      <w:tr w:rsidR="00A57CBB" w14:paraId="1A0930C9" w14:textId="77777777">
        <w:trPr>
          <w:cantSplit/>
          <w:jc w:val="center"/>
        </w:trPr>
        <w:tc>
          <w:tcPr>
            <w:tcW w:w="3389" w:type="dxa"/>
            <w:vAlign w:val="center"/>
          </w:tcPr>
          <w:p w14:paraId="6E15C62C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v1.13</w:t>
            </w:r>
          </w:p>
        </w:tc>
        <w:tc>
          <w:tcPr>
            <w:tcW w:w="3389" w:type="dxa"/>
            <w:vAlign w:val="center"/>
          </w:tcPr>
          <w:p w14:paraId="54607986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企业知识问答等增强能力</w:t>
            </w:r>
          </w:p>
        </w:tc>
        <w:tc>
          <w:tcPr>
            <w:tcW w:w="3389" w:type="dxa"/>
            <w:vAlign w:val="center"/>
          </w:tcPr>
          <w:p w14:paraId="1422E71E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预留知识引用区，明确区分知识回答与事实计算</w:t>
            </w:r>
          </w:p>
        </w:tc>
      </w:tr>
      <w:tr w:rsidR="00A57CBB" w14:paraId="1D50CEA5" w14:textId="77777777">
        <w:trPr>
          <w:cantSplit/>
          <w:jc w:val="center"/>
        </w:trPr>
        <w:tc>
          <w:tcPr>
            <w:tcW w:w="3389" w:type="dxa"/>
            <w:shd w:val="clear" w:color="auto" w:fill="F6F8FA"/>
            <w:vAlign w:val="center"/>
          </w:tcPr>
          <w:p w14:paraId="6DA13C0D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v1.14</w:t>
            </w:r>
          </w:p>
        </w:tc>
        <w:tc>
          <w:tcPr>
            <w:tcW w:w="3389" w:type="dxa"/>
            <w:shd w:val="clear" w:color="auto" w:fill="F6F8FA"/>
            <w:vAlign w:val="center"/>
          </w:tcPr>
          <w:p w14:paraId="5D899EEE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比赛演示场景</w:t>
            </w:r>
          </w:p>
        </w:tc>
        <w:tc>
          <w:tcPr>
            <w:tcW w:w="3389" w:type="dxa"/>
            <w:shd w:val="clear" w:color="auto" w:fill="F6F8FA"/>
            <w:vAlign w:val="center"/>
          </w:tcPr>
          <w:p w14:paraId="03A2F2FF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固定演示入口和可复现操作路径，但不把模拟内容伪装成实时事实</w:t>
            </w:r>
          </w:p>
        </w:tc>
      </w:tr>
    </w:tbl>
    <w:p w14:paraId="401457A6" w14:textId="77777777" w:rsidR="00A57CBB" w:rsidRDefault="00A57CBB">
      <w:pPr>
        <w:spacing w:after="0"/>
        <w:rPr>
          <w:lang w:eastAsia="zh-CN"/>
        </w:rPr>
      </w:pPr>
    </w:p>
    <w:p w14:paraId="67734E9F" w14:textId="77777777" w:rsidR="00A57CBB" w:rsidRDefault="00000000">
      <w:pPr>
        <w:rPr>
          <w:lang w:eastAsia="zh-CN"/>
        </w:rPr>
      </w:pPr>
      <w:r>
        <w:rPr>
          <w:lang w:eastAsia="zh-CN"/>
        </w:rPr>
        <w:t>上表描述的是</w:t>
      </w:r>
      <w:r>
        <w:rPr>
          <w:b/>
          <w:lang w:eastAsia="zh-CN"/>
        </w:rPr>
        <w:t>界面适配路线</w:t>
      </w:r>
      <w:r>
        <w:rPr>
          <w:lang w:eastAsia="zh-CN"/>
        </w:rPr>
        <w:t>，不代表每项后端能力现在已经交付。队友先以真实 API 样例核对当前字段；未来能力可制作标明“设计预览”的静态原型，不能以假数值进入正式结果区。</w:t>
      </w:r>
    </w:p>
    <w:p w14:paraId="4D9C295D" w14:textId="77777777" w:rsidR="00A57CBB" w:rsidRDefault="00000000">
      <w:pPr>
        <w:pStyle w:val="1"/>
        <w:rPr>
          <w:lang w:eastAsia="zh-CN"/>
        </w:rPr>
      </w:pPr>
      <w:r>
        <w:rPr>
          <w:lang w:eastAsia="zh-CN"/>
        </w:rPr>
        <w:t>3 关键用户任务</w:t>
      </w:r>
    </w:p>
    <w:p w14:paraId="7AEBBB6F" w14:textId="77777777" w:rsidR="00A57CBB" w:rsidRDefault="00000000">
      <w:pPr>
        <w:ind w:left="317" w:hanging="317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生产决策：</w:t>
      </w:r>
      <w:r>
        <w:rPr>
          <w:lang w:eastAsia="zh-CN"/>
        </w:rPr>
        <w:t xml:space="preserve"> 输入产品、数量和必要条件；查看能否生产、齐套情况、缺料、风险及可采取的行动，并展开计算依据。</w:t>
      </w:r>
    </w:p>
    <w:p w14:paraId="40828BAF" w14:textId="77777777" w:rsidR="00A57CBB" w:rsidRDefault="00000000">
      <w:pPr>
        <w:ind w:left="317" w:hanging="317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事实查询：</w:t>
      </w:r>
      <w:r>
        <w:rPr>
          <w:lang w:eastAsia="zh-CN"/>
        </w:rPr>
        <w:t xml:space="preserve"> 用料号或自然语言查询库存、BOM、在途等；查看数量、单位、状态、发布时间和来源。没有事实时明确显示“暂无已发布数据”，不要展示 0。</w:t>
      </w:r>
    </w:p>
    <w:p w14:paraId="6B3583E0" w14:textId="77777777" w:rsidR="00A57CBB" w:rsidRDefault="00000000">
      <w:pPr>
        <w:ind w:left="317" w:hanging="317"/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最大产能：</w:t>
      </w:r>
      <w:r>
        <w:rPr>
          <w:lang w:eastAsia="zh-CN"/>
        </w:rPr>
        <w:t xml:space="preserve"> 查询现有库存下的理论最大生产量，查看限制物料和计算前提；事实不足时提示无法计算。</w:t>
      </w:r>
    </w:p>
    <w:p w14:paraId="7F111744" w14:textId="77777777" w:rsidR="00A57CBB" w:rsidRDefault="00000000">
      <w:pPr>
        <w:ind w:left="317" w:hanging="317"/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继续追问：</w:t>
      </w:r>
      <w:r>
        <w:rPr>
          <w:lang w:eastAsia="zh-CN"/>
        </w:rPr>
        <w:t xml:space="preserve"> 在后端确实支持的会话语义范围内承接上下文；如果接口不支持上下文，界面要求用户补全产品或数量，不能自行拼造回答。</w:t>
      </w:r>
    </w:p>
    <w:p w14:paraId="4DB68550" w14:textId="77777777" w:rsidR="00A57CBB" w:rsidRDefault="00000000">
      <w:pPr>
        <w:ind w:left="317" w:hanging="317"/>
        <w:rPr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数据追溯：</w:t>
      </w:r>
      <w:r>
        <w:rPr>
          <w:lang w:eastAsia="zh-CN"/>
        </w:rPr>
        <w:t xml:space="preserve"> 从每个关键结论到物料、BOM 版本、库存来源、时间及告警，形成清晰可回看的路径。</w:t>
      </w:r>
    </w:p>
    <w:p w14:paraId="6E252068" w14:textId="77777777" w:rsidR="00A57CB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4 页面与信息架构</w:t>
      </w:r>
    </w:p>
    <w:p w14:paraId="21592786" w14:textId="77777777" w:rsidR="00A57CBB" w:rsidRDefault="00000000">
      <w:pPr>
        <w:pStyle w:val="21"/>
        <w:rPr>
          <w:lang w:eastAsia="zh-CN"/>
        </w:rPr>
      </w:pPr>
      <w:r>
        <w:rPr>
          <w:lang w:eastAsia="zh-CN"/>
        </w:rPr>
        <w:t>4.1 首页</w:t>
      </w:r>
    </w:p>
    <w:p w14:paraId="744E0F53" w14:textId="77777777" w:rsidR="00A57CBB" w:rsidRDefault="00000000">
      <w:pPr>
        <w:rPr>
          <w:lang w:eastAsia="zh-CN"/>
        </w:rPr>
      </w:pPr>
      <w:r>
        <w:rPr>
          <w:lang w:eastAsia="zh-CN"/>
        </w:rPr>
        <w:t>首屏说明产品是谁、解决什么问题，并提供“开始分析”入口。用三个可点击的场景卡引导：生产可行性、库存查询、最大产能。示例问题必须与演示数据匹配；如“我要生产 100 台 KQ-Z112”只有在该产品确有已发布事实和可运行流程时才作为一键发送示例，否则仅作输入提示。首页要有清晰的产品身份与可阅读的价值说明，避免堆砌概念图标。</w:t>
      </w:r>
    </w:p>
    <w:p w14:paraId="71AEE693" w14:textId="77777777" w:rsidR="00A57CBB" w:rsidRDefault="00000000">
      <w:pPr>
        <w:pStyle w:val="21"/>
        <w:rPr>
          <w:lang w:eastAsia="zh-CN"/>
        </w:rPr>
      </w:pPr>
      <w:r>
        <w:rPr>
          <w:lang w:eastAsia="zh-CN"/>
        </w:rPr>
        <w:t>4.2 智能工作台</w:t>
      </w:r>
    </w:p>
    <w:p w14:paraId="5DD08651" w14:textId="77777777" w:rsidR="00A57CBB" w:rsidRDefault="00000000">
      <w:pPr>
        <w:rPr>
          <w:lang w:eastAsia="zh-CN"/>
        </w:rPr>
      </w:pPr>
      <w:r>
        <w:rPr>
          <w:lang w:eastAsia="zh-CN"/>
        </w:rPr>
        <w:t>桌面端建议左侧对话、右侧结果面板；窄屏改为上下布局或可切换页签。对话区包含示例提问、输入、发送中、失败重试、消息时间和可读的回答。结果区根据接口结果显示任务摘要、结论、关键指标、明细、来源和警告。切换历史消息时结果面板与对应回答同步，避免显示上一次计算。</w:t>
      </w:r>
    </w:p>
    <w:p w14:paraId="23BDC771" w14:textId="77777777" w:rsidR="00A57CBB" w:rsidRDefault="00000000">
      <w:pPr>
        <w:pStyle w:val="21"/>
      </w:pPr>
      <w:r>
        <w:t>4.3 结果组件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A57CBB" w14:paraId="44D1CFF5" w14:textId="77777777">
        <w:trPr>
          <w:cantSplit/>
          <w:tblHeader/>
          <w:jc w:val="center"/>
        </w:trPr>
        <w:tc>
          <w:tcPr>
            <w:tcW w:w="3389" w:type="dxa"/>
            <w:shd w:val="clear" w:color="auto" w:fill="E8EEF5"/>
            <w:vAlign w:val="center"/>
          </w:tcPr>
          <w:p w14:paraId="4298F0C0" w14:textId="77777777" w:rsidR="00A57CBB" w:rsidRDefault="00000000">
            <w:pPr>
              <w:spacing w:after="40" w:line="264" w:lineRule="auto"/>
            </w:pPr>
            <w:r>
              <w:rPr>
                <w:b/>
                <w:sz w:val="17"/>
              </w:rPr>
              <w:t>组件</w:t>
            </w:r>
          </w:p>
        </w:tc>
        <w:tc>
          <w:tcPr>
            <w:tcW w:w="3389" w:type="dxa"/>
            <w:shd w:val="clear" w:color="auto" w:fill="E8EEF5"/>
            <w:vAlign w:val="center"/>
          </w:tcPr>
          <w:p w14:paraId="0058C028" w14:textId="77777777" w:rsidR="00A57CBB" w:rsidRDefault="00000000">
            <w:pPr>
              <w:spacing w:after="40" w:line="264" w:lineRule="auto"/>
            </w:pPr>
            <w:r>
              <w:rPr>
                <w:b/>
                <w:sz w:val="17"/>
              </w:rPr>
              <w:t>必备信息</w:t>
            </w:r>
          </w:p>
        </w:tc>
        <w:tc>
          <w:tcPr>
            <w:tcW w:w="3389" w:type="dxa"/>
            <w:shd w:val="clear" w:color="auto" w:fill="E8EEF5"/>
            <w:vAlign w:val="center"/>
          </w:tcPr>
          <w:p w14:paraId="67D0802B" w14:textId="77777777" w:rsidR="00A57CBB" w:rsidRDefault="00000000">
            <w:pPr>
              <w:spacing w:after="40" w:line="264" w:lineRule="auto"/>
            </w:pPr>
            <w:r>
              <w:rPr>
                <w:b/>
                <w:sz w:val="17"/>
              </w:rPr>
              <w:t>交互</w:t>
            </w:r>
          </w:p>
        </w:tc>
      </w:tr>
      <w:tr w:rsidR="00A57CBB" w14:paraId="7926851A" w14:textId="77777777">
        <w:trPr>
          <w:cantSplit/>
          <w:jc w:val="center"/>
        </w:trPr>
        <w:tc>
          <w:tcPr>
            <w:tcW w:w="3389" w:type="dxa"/>
            <w:vAlign w:val="center"/>
          </w:tcPr>
          <w:p w14:paraId="4023C62B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生产决策摘要</w:t>
            </w:r>
          </w:p>
        </w:tc>
        <w:tc>
          <w:tcPr>
            <w:tcW w:w="3389" w:type="dxa"/>
            <w:vAlign w:val="center"/>
          </w:tcPr>
          <w:p w14:paraId="37762322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产品、目标数量、生产结论、数据状态</w:t>
            </w:r>
          </w:p>
        </w:tc>
        <w:tc>
          <w:tcPr>
            <w:tcW w:w="3389" w:type="dxa"/>
            <w:vAlign w:val="center"/>
          </w:tcPr>
          <w:p w14:paraId="4A2E9C14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跳转到缺料与计算依据</w:t>
            </w:r>
          </w:p>
        </w:tc>
      </w:tr>
      <w:tr w:rsidR="00A57CBB" w14:paraId="1DC1AA86" w14:textId="77777777">
        <w:trPr>
          <w:cantSplit/>
          <w:jc w:val="center"/>
        </w:trPr>
        <w:tc>
          <w:tcPr>
            <w:tcW w:w="3389" w:type="dxa"/>
            <w:shd w:val="clear" w:color="auto" w:fill="F6F8FA"/>
            <w:vAlign w:val="center"/>
          </w:tcPr>
          <w:p w14:paraId="55CD2E7B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齐套与缺料</w:t>
            </w:r>
          </w:p>
        </w:tc>
        <w:tc>
          <w:tcPr>
            <w:tcW w:w="3389" w:type="dxa"/>
            <w:shd w:val="clear" w:color="auto" w:fill="F6F8FA"/>
            <w:vAlign w:val="center"/>
          </w:tcPr>
          <w:p w14:paraId="3B7CFE39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齐套指标的定义、物料需求、可用量、缺口、单位</w:t>
            </w:r>
          </w:p>
        </w:tc>
        <w:tc>
          <w:tcPr>
            <w:tcW w:w="3389" w:type="dxa"/>
            <w:shd w:val="clear" w:color="auto" w:fill="F6F8FA"/>
            <w:vAlign w:val="center"/>
          </w:tcPr>
          <w:p w14:paraId="4531ACDE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表格筛选和逐项展开；无数据时不绘制百分比</w:t>
            </w:r>
          </w:p>
        </w:tc>
      </w:tr>
      <w:tr w:rsidR="00A57CBB" w14:paraId="211FC2B7" w14:textId="77777777">
        <w:trPr>
          <w:cantSplit/>
          <w:jc w:val="center"/>
        </w:trPr>
        <w:tc>
          <w:tcPr>
            <w:tcW w:w="3389" w:type="dxa"/>
            <w:vAlign w:val="center"/>
          </w:tcPr>
          <w:p w14:paraId="29B7A368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BOM 结构</w:t>
            </w:r>
          </w:p>
        </w:tc>
        <w:tc>
          <w:tcPr>
            <w:tcW w:w="3389" w:type="dxa"/>
            <w:vAlign w:val="center"/>
          </w:tcPr>
          <w:p w14:paraId="0504A6A0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父子层级、用量、单位、版本、生效期及来源</w:t>
            </w:r>
          </w:p>
        </w:tc>
        <w:tc>
          <w:tcPr>
            <w:tcW w:w="3389" w:type="dxa"/>
            <w:vAlign w:val="center"/>
          </w:tcPr>
          <w:p w14:paraId="1E78F370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展开、收起、定位物料；循环或冲突显示无法计算</w:t>
            </w:r>
          </w:p>
        </w:tc>
      </w:tr>
      <w:tr w:rsidR="00A57CBB" w14:paraId="35437DC6" w14:textId="77777777">
        <w:trPr>
          <w:cantSplit/>
          <w:jc w:val="center"/>
        </w:trPr>
        <w:tc>
          <w:tcPr>
            <w:tcW w:w="3389" w:type="dxa"/>
            <w:shd w:val="clear" w:color="auto" w:fill="F6F8FA"/>
            <w:vAlign w:val="center"/>
          </w:tcPr>
          <w:p w14:paraId="5A7DB4B4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库存与批次</w:t>
            </w:r>
          </w:p>
        </w:tc>
        <w:tc>
          <w:tcPr>
            <w:tcW w:w="3389" w:type="dxa"/>
            <w:shd w:val="clear" w:color="auto" w:fill="F6F8FA"/>
            <w:vAlign w:val="center"/>
          </w:tcPr>
          <w:p w14:paraId="238A4F82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物料、已发布库存、单位、批次或库位（若有）</w:t>
            </w:r>
          </w:p>
        </w:tc>
        <w:tc>
          <w:tcPr>
            <w:tcW w:w="3389" w:type="dxa"/>
            <w:shd w:val="clear" w:color="auto" w:fill="F6F8FA"/>
            <w:vAlign w:val="center"/>
          </w:tcPr>
          <w:p w14:paraId="0C18FA35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查看来源与批次明细</w:t>
            </w:r>
          </w:p>
        </w:tc>
      </w:tr>
      <w:tr w:rsidR="00A57CBB" w14:paraId="6D1F6EEB" w14:textId="77777777">
        <w:trPr>
          <w:cantSplit/>
          <w:jc w:val="center"/>
        </w:trPr>
        <w:tc>
          <w:tcPr>
            <w:tcW w:w="3389" w:type="dxa"/>
            <w:vAlign w:val="center"/>
          </w:tcPr>
          <w:p w14:paraId="793CE972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产能</w:t>
            </w:r>
          </w:p>
        </w:tc>
        <w:tc>
          <w:tcPr>
            <w:tcW w:w="3389" w:type="dxa"/>
            <w:vAlign w:val="center"/>
          </w:tcPr>
          <w:p w14:paraId="30D4B66C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理论最大数量、限制物料、计算条件</w:t>
            </w:r>
          </w:p>
        </w:tc>
        <w:tc>
          <w:tcPr>
            <w:tcW w:w="3389" w:type="dxa"/>
            <w:vAlign w:val="center"/>
          </w:tcPr>
          <w:p w14:paraId="6B671863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查看每项限制及其依据</w:t>
            </w:r>
          </w:p>
        </w:tc>
      </w:tr>
      <w:tr w:rsidR="00A57CBB" w14:paraId="750AE63A" w14:textId="77777777">
        <w:trPr>
          <w:cantSplit/>
          <w:jc w:val="center"/>
        </w:trPr>
        <w:tc>
          <w:tcPr>
            <w:tcW w:w="3389" w:type="dxa"/>
            <w:shd w:val="clear" w:color="auto" w:fill="F6F8FA"/>
            <w:vAlign w:val="center"/>
          </w:tcPr>
          <w:p w14:paraId="69EF2F5F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采购建议</w:t>
            </w:r>
          </w:p>
        </w:tc>
        <w:tc>
          <w:tcPr>
            <w:tcW w:w="3389" w:type="dxa"/>
            <w:shd w:val="clear" w:color="auto" w:fill="F6F8FA"/>
            <w:vAlign w:val="center"/>
          </w:tcPr>
          <w:p w14:paraId="17F92F0C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建议动作、缺口、约束、来源（接口支持后启用）</w:t>
            </w:r>
          </w:p>
        </w:tc>
        <w:tc>
          <w:tcPr>
            <w:tcW w:w="3389" w:type="dxa"/>
            <w:shd w:val="clear" w:color="auto" w:fill="F6F8FA"/>
            <w:vAlign w:val="center"/>
          </w:tcPr>
          <w:p w14:paraId="4D8EA98A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明示建议性质与人工确认状态</w:t>
            </w:r>
          </w:p>
        </w:tc>
      </w:tr>
      <w:tr w:rsidR="00A57CBB" w14:paraId="32AC3DC6" w14:textId="77777777">
        <w:trPr>
          <w:cantSplit/>
          <w:jc w:val="center"/>
        </w:trPr>
        <w:tc>
          <w:tcPr>
            <w:tcW w:w="3389" w:type="dxa"/>
            <w:vAlign w:val="center"/>
          </w:tcPr>
          <w:p w14:paraId="3E2F29C5" w14:textId="77777777" w:rsidR="00A57CBB" w:rsidRDefault="00000000">
            <w:pPr>
              <w:spacing w:after="40" w:line="264" w:lineRule="auto"/>
            </w:pPr>
            <w:r>
              <w:rPr>
                <w:sz w:val="17"/>
              </w:rPr>
              <w:t>来源与警告</w:t>
            </w:r>
          </w:p>
        </w:tc>
        <w:tc>
          <w:tcPr>
            <w:tcW w:w="3389" w:type="dxa"/>
            <w:vAlign w:val="center"/>
          </w:tcPr>
          <w:p w14:paraId="32623738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文件或事实记录、版本、发布时间、警告</w:t>
            </w:r>
          </w:p>
        </w:tc>
        <w:tc>
          <w:tcPr>
            <w:tcW w:w="3389" w:type="dxa"/>
            <w:vAlign w:val="center"/>
          </w:tcPr>
          <w:p w14:paraId="7CED3236" w14:textId="77777777" w:rsidR="00A57CBB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一键展开完整来源；字段缺失时如实显示</w:t>
            </w:r>
          </w:p>
        </w:tc>
      </w:tr>
    </w:tbl>
    <w:p w14:paraId="14CAAE06" w14:textId="77777777" w:rsidR="00A57CBB" w:rsidRDefault="00A57CBB">
      <w:pPr>
        <w:spacing w:after="0"/>
        <w:rPr>
          <w:lang w:eastAsia="zh-CN"/>
        </w:rPr>
      </w:pPr>
    </w:p>
    <w:p w14:paraId="3E82CE88" w14:textId="77777777" w:rsidR="00A57CBB" w:rsidRDefault="00000000">
      <w:pPr>
        <w:rPr>
          <w:lang w:eastAsia="zh-CN"/>
        </w:rPr>
      </w:pPr>
      <w:r>
        <w:rPr>
          <w:lang w:eastAsia="zh-CN"/>
        </w:rPr>
        <w:t>业务结论使用清楚的中文；技术细节可放在调试模式或开发文档中。表格长数据要可滚动，数字须保留单位和合理精度。图表必须对应后端提供且定义明确的指标。</w:t>
      </w:r>
    </w:p>
    <w:p w14:paraId="3B3A13A5" w14:textId="77777777" w:rsidR="00A57CBB" w:rsidRDefault="00000000">
      <w:pPr>
        <w:pStyle w:val="21"/>
        <w:rPr>
          <w:lang w:eastAsia="zh-CN"/>
        </w:rPr>
      </w:pPr>
      <w:r>
        <w:rPr>
          <w:lang w:eastAsia="zh-CN"/>
        </w:rPr>
        <w:t>4.4 状态设计</w:t>
      </w:r>
    </w:p>
    <w:p w14:paraId="3E106B6C" w14:textId="77777777" w:rsidR="00A57CBB" w:rsidRDefault="00000000">
      <w:pPr>
        <w:rPr>
          <w:lang w:eastAsia="zh-CN"/>
        </w:rPr>
      </w:pPr>
      <w:r>
        <w:rPr>
          <w:lang w:eastAsia="zh-CN"/>
        </w:rPr>
        <w:t>至少覆盖：欢迎、输入中、请求中、成功、部分数据可用、无已发布事实、条件冲突、无法计算、接口错误和重试。区分“库存为 0”“没有库存事实”“请求失败”。</w:t>
      </w:r>
      <w:r>
        <w:rPr>
          <w:rFonts w:ascii="Consolas" w:hAnsi="Consolas"/>
          <w:sz w:val="18"/>
          <w:lang w:eastAsia="zh-CN"/>
        </w:rPr>
        <w:t>warnings</w:t>
      </w:r>
      <w:r>
        <w:rPr>
          <w:lang w:eastAsia="zh-CN"/>
        </w:rPr>
        <w:t xml:space="preserve"> 要可见，不得被卡片布局吞掉。成功结论仍需展示其来源与适用条件。</w:t>
      </w:r>
    </w:p>
    <w:p w14:paraId="16F5D6D8" w14:textId="77777777" w:rsidR="00A57CBB" w:rsidRDefault="00000000">
      <w:pPr>
        <w:pStyle w:val="1"/>
        <w:rPr>
          <w:lang w:eastAsia="zh-CN"/>
        </w:rPr>
      </w:pPr>
      <w:r>
        <w:rPr>
          <w:lang w:eastAsia="zh-CN"/>
        </w:rPr>
        <w:t>5 接口与数据约束</w:t>
      </w:r>
    </w:p>
    <w:p w14:paraId="703FD051" w14:textId="77777777" w:rsidR="00A57CBB" w:rsidRDefault="00000000">
      <w:pPr>
        <w:rPr>
          <w:lang w:eastAsia="zh-CN"/>
        </w:rPr>
      </w:pPr>
      <w:r>
        <w:rPr>
          <w:lang w:eastAsia="zh-CN"/>
        </w:rPr>
        <w:t xml:space="preserve">现有入口为 </w:t>
      </w:r>
      <w:r>
        <w:rPr>
          <w:rFonts w:ascii="Consolas" w:hAnsi="Consolas"/>
          <w:sz w:val="18"/>
          <w:lang w:eastAsia="zh-CN"/>
        </w:rPr>
        <w:t>POST /api/v1/agent/query</w:t>
      </w:r>
      <w:r>
        <w:rPr>
          <w:lang w:eastAsia="zh-CN"/>
        </w:rPr>
        <w:t xml:space="preserve">；此前交接信息中的响应顶层字段包括 </w:t>
      </w:r>
      <w:r>
        <w:rPr>
          <w:rFonts w:ascii="Consolas" w:hAnsi="Consolas"/>
          <w:sz w:val="18"/>
          <w:lang w:eastAsia="zh-CN"/>
        </w:rPr>
        <w:t>intent</w:t>
      </w:r>
      <w:r>
        <w:rPr>
          <w:lang w:eastAsia="zh-CN"/>
        </w:rPr>
        <w:t>、</w:t>
      </w:r>
      <w:r>
        <w:rPr>
          <w:rFonts w:ascii="Consolas" w:hAnsi="Consolas"/>
          <w:sz w:val="18"/>
          <w:lang w:eastAsia="zh-CN"/>
        </w:rPr>
        <w:t>status</w:t>
      </w:r>
      <w:r>
        <w:rPr>
          <w:lang w:eastAsia="zh-CN"/>
        </w:rPr>
        <w:t>、</w:t>
      </w:r>
      <w:r>
        <w:rPr>
          <w:rFonts w:ascii="Consolas" w:hAnsi="Consolas"/>
          <w:sz w:val="18"/>
          <w:lang w:eastAsia="zh-CN"/>
        </w:rPr>
        <w:t>answer</w:t>
      </w:r>
      <w:r>
        <w:rPr>
          <w:lang w:eastAsia="zh-CN"/>
        </w:rPr>
        <w:t>、</w:t>
      </w:r>
      <w:r>
        <w:rPr>
          <w:rFonts w:ascii="Consolas" w:hAnsi="Consolas"/>
          <w:sz w:val="18"/>
          <w:lang w:eastAsia="zh-CN"/>
        </w:rPr>
        <w:t>structured_data</w:t>
      </w:r>
      <w:r>
        <w:rPr>
          <w:lang w:eastAsia="zh-CN"/>
        </w:rPr>
        <w:t>、</w:t>
      </w:r>
      <w:r>
        <w:rPr>
          <w:rFonts w:ascii="Consolas" w:hAnsi="Consolas"/>
          <w:sz w:val="18"/>
          <w:lang w:eastAsia="zh-CN"/>
        </w:rPr>
        <w:t>provenance</w:t>
      </w:r>
      <w:r>
        <w:rPr>
          <w:lang w:eastAsia="zh-CN"/>
        </w:rPr>
        <w:t>、</w:t>
      </w:r>
      <w:r>
        <w:rPr>
          <w:rFonts w:ascii="Consolas" w:hAnsi="Consolas"/>
          <w:sz w:val="18"/>
          <w:lang w:eastAsia="zh-CN"/>
        </w:rPr>
        <w:t>warnings</w:t>
      </w:r>
      <w:r>
        <w:rPr>
          <w:lang w:eastAsia="zh-CN"/>
        </w:rPr>
        <w:t>。这些是</w:t>
      </w:r>
      <w:r>
        <w:rPr>
          <w:b/>
          <w:lang w:eastAsia="zh-CN"/>
        </w:rPr>
        <w:t>对接线索</w:t>
      </w:r>
      <w:r>
        <w:rPr>
          <w:lang w:eastAsia="zh-CN"/>
        </w:rPr>
        <w:t>，队友必须先从仓库中的 schema、真实响应和示例请求核实嵌套结构、状态枚举和必填项，再提交字段映射表。不能依据本文件猜测字段值或自行改变接口。</w:t>
      </w:r>
    </w:p>
    <w:p w14:paraId="5B27A7F0" w14:textId="77777777" w:rsidR="00A57CBB" w:rsidRDefault="00000000">
      <w:pPr>
        <w:rPr>
          <w:lang w:eastAsia="zh-CN"/>
        </w:rPr>
      </w:pPr>
      <w:r>
        <w:rPr>
          <w:lang w:eastAsia="zh-CN"/>
        </w:rPr>
        <w:t>前端只负责输入交互、状态管理、格式化和展示。BOM 展开、单位换算、齐套、缺料、风险、产能和采购数量都必须取自后端事实与计算结果。缺值不可默认填 0；不允许在前端用静态结果伪装正式响应。演示用 mock 应集中管理并醒目标注，只用于独立设计预览，接入真实接口后可关闭。</w:t>
      </w:r>
    </w:p>
    <w:p w14:paraId="1B628D6A" w14:textId="77777777" w:rsidR="00A57CBB" w:rsidRDefault="00000000">
      <w:pPr>
        <w:rPr>
          <w:lang w:eastAsia="zh-CN"/>
        </w:rPr>
      </w:pPr>
      <w:r>
        <w:rPr>
          <w:lang w:eastAsia="zh-CN"/>
        </w:rPr>
        <w:t>对来源数据设置统一视图模型：结论、指标、明细、引用、告警各自对应原始 API 路径。映射失败应显示可诊断的空态并记录开发日志，不应给用户展示错误结论。</w:t>
      </w:r>
    </w:p>
    <w:p w14:paraId="2ED7CC36" w14:textId="77777777" w:rsidR="00A57CB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6 视觉与交互要求</w:t>
      </w:r>
    </w:p>
    <w:p w14:paraId="27C21001" w14:textId="77777777" w:rsidR="00A57CBB" w:rsidRDefault="00000000">
      <w:pPr>
        <w:rPr>
          <w:lang w:eastAsia="zh-CN"/>
        </w:rPr>
      </w:pPr>
      <w:r>
        <w:rPr>
          <w:lang w:eastAsia="zh-CN"/>
        </w:rPr>
        <w:t>采用专业、克制的企业 SaaS 视觉语言，突出文字层级、数据表格和结论。桌面端以 1440 像素宽为主要展示场景，同时适配常见笔记本和手机；提供键盘可操作的输入、足够对比度、清晰的焦点与加载反馈。颜色不能成为区分风险的唯一方式。中文文案自然、简洁，不把内部节点名或原始 JSON 当作用户界面。</w:t>
      </w:r>
    </w:p>
    <w:p w14:paraId="5AECCEC7" w14:textId="77777777" w:rsidR="00A57CBB" w:rsidRDefault="00000000">
      <w:pPr>
        <w:rPr>
          <w:lang w:eastAsia="zh-CN"/>
        </w:rPr>
      </w:pPr>
      <w:r>
        <w:rPr>
          <w:lang w:eastAsia="zh-CN"/>
        </w:rPr>
        <w:t>设计稿至少包含：首页、工作台、生产成功、生产受阻、库存查询、BOM 层级、产能限制、无数据、请求失败、窄屏布局。每种状态要写出示例内容及其数据来源类型，便于后续验收。</w:t>
      </w:r>
    </w:p>
    <w:p w14:paraId="49C58F05" w14:textId="77777777" w:rsidR="00A57CBB" w:rsidRDefault="00000000">
      <w:pPr>
        <w:pStyle w:val="1"/>
        <w:rPr>
          <w:lang w:eastAsia="zh-CN"/>
        </w:rPr>
      </w:pPr>
      <w:r>
        <w:rPr>
          <w:lang w:eastAsia="zh-CN"/>
        </w:rPr>
        <w:t>7 协作方式与代码边界</w:t>
      </w:r>
    </w:p>
    <w:p w14:paraId="3B0C8DC8" w14:textId="77777777" w:rsidR="00A57CBB" w:rsidRDefault="00000000">
      <w:pPr>
        <w:rPr>
          <w:lang w:eastAsia="zh-CN"/>
        </w:rPr>
      </w:pPr>
      <w:r>
        <w:rPr>
          <w:lang w:eastAsia="zh-CN"/>
        </w:rPr>
        <w:t xml:space="preserve">先提交信息架构、关键页面设计稿和交互说明，再编码。交付代码只在独立前端分支开发，修改范围限定于 </w:t>
      </w:r>
      <w:r>
        <w:rPr>
          <w:rFonts w:ascii="Consolas" w:hAnsi="Consolas"/>
          <w:sz w:val="18"/>
          <w:lang w:eastAsia="zh-CN"/>
        </w:rPr>
        <w:t>frontend/</w:t>
      </w:r>
      <w:r>
        <w:rPr>
          <w:lang w:eastAsia="zh-CN"/>
        </w:rPr>
        <w:t xml:space="preserve">。不修改 </w:t>
      </w:r>
      <w:r>
        <w:rPr>
          <w:rFonts w:ascii="Consolas" w:hAnsi="Consolas"/>
          <w:sz w:val="18"/>
          <w:lang w:eastAsia="zh-CN"/>
        </w:rPr>
        <w:t>api/</w:t>
      </w:r>
      <w:r>
        <w:rPr>
          <w:lang w:eastAsia="zh-CN"/>
        </w:rPr>
        <w:t>、</w:t>
      </w:r>
      <w:r>
        <w:rPr>
          <w:rFonts w:ascii="Consolas" w:hAnsi="Consolas"/>
          <w:sz w:val="18"/>
          <w:lang w:eastAsia="zh-CN"/>
        </w:rPr>
        <w:t>services/</w:t>
      </w:r>
      <w:r>
        <w:rPr>
          <w:lang w:eastAsia="zh-CN"/>
        </w:rPr>
        <w:t>、</w:t>
      </w:r>
      <w:r>
        <w:rPr>
          <w:rFonts w:ascii="Consolas" w:hAnsi="Consolas"/>
          <w:sz w:val="18"/>
          <w:lang w:eastAsia="zh-CN"/>
        </w:rPr>
        <w:t>agents/</w:t>
      </w:r>
      <w:r>
        <w:rPr>
          <w:lang w:eastAsia="zh-CN"/>
        </w:rPr>
        <w:t>、</w:t>
      </w:r>
      <w:r>
        <w:rPr>
          <w:rFonts w:ascii="Consolas" w:hAnsi="Consolas"/>
          <w:sz w:val="18"/>
          <w:lang w:eastAsia="zh-CN"/>
        </w:rPr>
        <w:t>tools/</w:t>
      </w:r>
      <w:r>
        <w:rPr>
          <w:lang w:eastAsia="zh-CN"/>
        </w:rPr>
        <w:t>、</w:t>
      </w:r>
      <w:r>
        <w:rPr>
          <w:rFonts w:ascii="Consolas" w:hAnsi="Consolas"/>
          <w:sz w:val="18"/>
          <w:lang w:eastAsia="zh-CN"/>
        </w:rPr>
        <w:t>workflows/</w:t>
      </w:r>
      <w:r>
        <w:rPr>
          <w:lang w:eastAsia="zh-CN"/>
        </w:rPr>
        <w:t>、</w:t>
      </w:r>
      <w:r>
        <w:rPr>
          <w:rFonts w:ascii="Consolas" w:hAnsi="Consolas"/>
          <w:sz w:val="18"/>
          <w:lang w:eastAsia="zh-CN"/>
        </w:rPr>
        <w:t>fact_layer/</w:t>
      </w:r>
      <w:r>
        <w:rPr>
          <w:lang w:eastAsia="zh-CN"/>
        </w:rPr>
        <w:t xml:space="preserve"> 或数据库和原始数据，不改接口契约。不要在旧 </w:t>
      </w:r>
      <w:r>
        <w:rPr>
          <w:rFonts w:ascii="Consolas" w:hAnsi="Consolas"/>
          <w:sz w:val="18"/>
          <w:lang w:eastAsia="zh-CN"/>
        </w:rPr>
        <w:t>Chat.vue</w:t>
      </w:r>
      <w:r>
        <w:rPr>
          <w:lang w:eastAsia="zh-CN"/>
        </w:rPr>
        <w:t xml:space="preserve"> 中持续堆条件分支；提取可复用的消息、结果、来源、警告、空态和 API 适配组件。保留已有可用的功能与构建配置。</w:t>
      </w:r>
    </w:p>
    <w:p w14:paraId="6BA7F8C3" w14:textId="77777777" w:rsidR="00A57CBB" w:rsidRDefault="00000000">
      <w:pPr>
        <w:rPr>
          <w:lang w:eastAsia="zh-CN"/>
        </w:rPr>
      </w:pPr>
      <w:r>
        <w:rPr>
          <w:lang w:eastAsia="zh-CN"/>
        </w:rPr>
        <w:t>若仓库中实际字段、能力或构建方式与本文件有出入，先在“待确认问题”中列明，并据真实代码修订对接方案；不擅自改后端。设计方案应能被另一个开发者依据交付材料接入。</w:t>
      </w:r>
    </w:p>
    <w:p w14:paraId="25FF3924" w14:textId="77777777" w:rsidR="00A57CBB" w:rsidRDefault="00000000">
      <w:pPr>
        <w:pStyle w:val="1"/>
        <w:rPr>
          <w:lang w:eastAsia="zh-CN"/>
        </w:rPr>
      </w:pPr>
      <w:r>
        <w:rPr>
          <w:lang w:eastAsia="zh-CN"/>
        </w:rPr>
        <w:t>8 交付清单与验收</w:t>
      </w:r>
    </w:p>
    <w:p w14:paraId="4B3FEDEC" w14:textId="77777777" w:rsidR="00A57CBB" w:rsidRDefault="00000000">
      <w:pPr>
        <w:rPr>
          <w:lang w:eastAsia="zh-CN"/>
        </w:rPr>
      </w:pPr>
      <w:r>
        <w:rPr>
          <w:lang w:eastAsia="zh-CN"/>
        </w:rPr>
        <w:t>交付以下内容：</w:t>
      </w:r>
    </w:p>
    <w:p w14:paraId="6E975A63" w14:textId="77777777" w:rsidR="00A57CBB" w:rsidRDefault="00000000">
      <w:pPr>
        <w:ind w:left="317" w:hanging="317"/>
        <w:rPr>
          <w:lang w:eastAsia="zh-CN"/>
        </w:rPr>
      </w:pPr>
      <w:r>
        <w:rPr>
          <w:lang w:eastAsia="zh-CN"/>
        </w:rPr>
        <w:t>1. 页面设计稿或可访问的原型，以及桌面端和窄屏端关键截图。</w:t>
      </w:r>
    </w:p>
    <w:p w14:paraId="3F737822" w14:textId="77777777" w:rsidR="00A57CBB" w:rsidRDefault="00000000">
      <w:pPr>
        <w:ind w:left="317" w:hanging="317"/>
        <w:rPr>
          <w:lang w:eastAsia="zh-CN"/>
        </w:rPr>
      </w:pPr>
      <w:r>
        <w:rPr>
          <w:lang w:eastAsia="zh-CN"/>
        </w:rPr>
        <w:t>2. 可运行的 Vue 3 前端源码、运行说明和构建结果。</w:t>
      </w:r>
    </w:p>
    <w:p w14:paraId="4BD4870B" w14:textId="77777777" w:rsidR="00A57CBB" w:rsidRDefault="00000000">
      <w:pPr>
        <w:ind w:left="317" w:hanging="317"/>
        <w:rPr>
          <w:lang w:eastAsia="zh-CN"/>
        </w:rPr>
      </w:pPr>
      <w:r>
        <w:rPr>
          <w:lang w:eastAsia="zh-CN"/>
        </w:rPr>
        <w:t>3. 页面结构图、组件清单与主要交互说明。</w:t>
      </w:r>
    </w:p>
    <w:p w14:paraId="334D90E8" w14:textId="77777777" w:rsidR="00A57CBB" w:rsidRDefault="00000000">
      <w:pPr>
        <w:ind w:left="317" w:hanging="317"/>
        <w:rPr>
          <w:lang w:eastAsia="zh-CN"/>
        </w:rPr>
      </w:pPr>
      <w:r>
        <w:rPr>
          <w:lang w:eastAsia="zh-CN"/>
        </w:rPr>
        <w:t>4. API 字段映射表，包含请求、响应、空值、告警和来源的真实样例。</w:t>
      </w:r>
    </w:p>
    <w:p w14:paraId="41BCDAF0" w14:textId="77777777" w:rsidR="00A57CBB" w:rsidRDefault="00000000">
      <w:pPr>
        <w:ind w:left="317" w:hanging="317"/>
        <w:rPr>
          <w:lang w:eastAsia="zh-CN"/>
        </w:rPr>
      </w:pPr>
      <w:r>
        <w:rPr>
          <w:lang w:eastAsia="zh-CN"/>
        </w:rPr>
        <w:t>5. mock 与真实接口的切换说明，以及未来版本能力的标注方式。</w:t>
      </w:r>
    </w:p>
    <w:p w14:paraId="05280E0B" w14:textId="77777777" w:rsidR="00A57CBB" w:rsidRDefault="00000000">
      <w:pPr>
        <w:ind w:left="317" w:hanging="317"/>
        <w:rPr>
          <w:lang w:eastAsia="zh-CN"/>
        </w:rPr>
      </w:pPr>
      <w:r>
        <w:rPr>
          <w:lang w:eastAsia="zh-CN"/>
        </w:rPr>
        <w:t>6. 测试说明：至少现场演示生产分析、事实查询、产能、无数据、接口失败和来源展开；记录每项结果。</w:t>
      </w:r>
    </w:p>
    <w:p w14:paraId="6CAF8234" w14:textId="77777777" w:rsidR="00A57CBB" w:rsidRDefault="00000000">
      <w:pPr>
        <w:ind w:left="317" w:hanging="317"/>
        <w:rPr>
          <w:lang w:eastAsia="zh-CN"/>
        </w:rPr>
      </w:pPr>
      <w:r>
        <w:rPr>
          <w:lang w:eastAsia="zh-CN"/>
        </w:rPr>
        <w:t>7. 修改文件清单、已知限制和需要后端确认的问题。</w:t>
      </w:r>
    </w:p>
    <w:p w14:paraId="2422E64D" w14:textId="77777777" w:rsidR="00A57CBB" w:rsidRDefault="00000000">
      <w:pPr>
        <w:rPr>
          <w:lang w:eastAsia="zh-CN"/>
        </w:rPr>
      </w:pPr>
      <w:r>
        <w:rPr>
          <w:b/>
          <w:lang w:eastAsia="zh-CN"/>
        </w:rPr>
        <w:t>验收标准：</w:t>
      </w:r>
      <w:r>
        <w:rPr>
          <w:lang w:eastAsia="zh-CN"/>
        </w:rPr>
        <w:t xml:space="preserve"> 新用户能从首页进入工作台并完成一条真实可复现的查询；结果与后端响应一致；无数据不被当成 0；结论能追溯来源；窄屏可用；前端构建通过；既有功能没有明显回退。未实现的路线图功能有明确标识，不冒充当前能力。</w:t>
      </w:r>
    </w:p>
    <w:sectPr w:rsidR="00A57CBB" w:rsidSect="00034616"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131055">
    <w:abstractNumId w:val="8"/>
  </w:num>
  <w:num w:numId="2" w16cid:durableId="1951550028">
    <w:abstractNumId w:val="6"/>
  </w:num>
  <w:num w:numId="3" w16cid:durableId="1022828956">
    <w:abstractNumId w:val="5"/>
  </w:num>
  <w:num w:numId="4" w16cid:durableId="514197336">
    <w:abstractNumId w:val="4"/>
  </w:num>
  <w:num w:numId="5" w16cid:durableId="1729305374">
    <w:abstractNumId w:val="7"/>
  </w:num>
  <w:num w:numId="6" w16cid:durableId="1311982723">
    <w:abstractNumId w:val="3"/>
  </w:num>
  <w:num w:numId="7" w16cid:durableId="184104253">
    <w:abstractNumId w:val="2"/>
  </w:num>
  <w:num w:numId="8" w16cid:durableId="1332369062">
    <w:abstractNumId w:val="1"/>
  </w:num>
  <w:num w:numId="9" w16cid:durableId="106345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2E3"/>
    <w:rsid w:val="005E1F8D"/>
    <w:rsid w:val="00A57C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9881C"/>
  <w14:defaultImageDpi w14:val="300"/>
  <w15:docId w15:val="{BA7D7B52-56BF-4526-AA44-C500CEB4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1" w:lineRule="auto"/>
    </w:pPr>
    <w:rPr>
      <w:rFonts w:ascii="Noto Sans CJK SC" w:eastAsia="Noto Sans CJK SC" w:hAnsi="Noto Sans CJK SC"/>
      <w:color w:val="1C2634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14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80" w:line="240" w:lineRule="auto"/>
      <w:contextualSpacing/>
    </w:pPr>
    <w:rPr>
      <w:b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Kahsin Lee</cp:lastModifiedBy>
  <cp:revision>2</cp:revision>
  <dcterms:created xsi:type="dcterms:W3CDTF">2013-12-23T23:15:00Z</dcterms:created>
  <dcterms:modified xsi:type="dcterms:W3CDTF">2026-09-29T12:02:00Z</dcterms:modified>
  <cp:category/>
</cp:coreProperties>
</file>