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经济效益</w:t>
      </w:r>
    </w:p>
    <w:p>
      <w:pPr>
        <w:numPr>
          <w:ilvl w:val="1"/>
          <w:numId w:val="1"/>
        </w:numPr>
        <w:spacing w:line="560" w:lineRule="exact"/>
        <w:ind w:firstLineChars="0"/>
        <w:outlineLvl w:val="1"/>
        <w:rPr>
          <w:rFonts w:ascii="仿宋" w:hAnsi="仿宋" w:eastAsia="仿宋"/>
          <w:b/>
          <w:bCs/>
          <w:sz w:val="32"/>
          <w:szCs w:val="32"/>
        </w:rPr>
      </w:pPr>
      <w:bookmarkStart w:id="0" w:name="_Toc7193_WPSOffice_Level2"/>
      <w:bookmarkStart w:id="1" w:name="_Toc14260_WPSOffice_Level2"/>
      <w:r>
        <w:rPr>
          <w:rFonts w:hint="eastAsia" w:ascii="仿宋" w:hAnsi="仿宋" w:eastAsia="仿宋"/>
          <w:b/>
          <w:bCs/>
          <w:sz w:val="32"/>
          <w:szCs w:val="32"/>
        </w:rPr>
        <w:t>项目概述</w:t>
      </w:r>
      <w:bookmarkEnd w:id="0"/>
      <w:bookmarkEnd w:id="1"/>
    </w:p>
    <w:p>
      <w:pPr>
        <w:spacing w:line="560" w:lineRule="exact"/>
        <w:ind w:firstLine="560"/>
        <w:rPr>
          <w:rFonts w:ascii="仿宋" w:hAnsi="仿宋" w:eastAsia="仿宋"/>
          <w:sz w:val="28"/>
          <w:szCs w:val="28"/>
        </w:rPr>
      </w:pPr>
      <w:r>
        <w:rPr>
          <w:rFonts w:hint="eastAsia" w:ascii="仿宋" w:hAnsi="仿宋" w:eastAsia="仿宋"/>
          <w:sz w:val="28"/>
          <w:szCs w:val="28"/>
        </w:rPr>
        <w:t>公司聚焦校园第二课堂，即课堂之外的学习及活动，通过技术手段将现代化信息技术与先进的管理理念相结合，致力于实现校园活动信息化管理，改善易出现的琐碎耗时、资料丢失、僵化管理等问题，重新整合校园内外资源，提高校园管理效率。从省内出发，逐步实现将公司“第二课堂成绩系统”程序推广到全国高校的目标。</w:t>
      </w:r>
    </w:p>
    <w:p>
      <w:pPr>
        <w:spacing w:line="560" w:lineRule="exact"/>
        <w:ind w:firstLine="0" w:firstLineChars="0"/>
        <w:rPr>
          <w:rFonts w:ascii="仿宋" w:hAnsi="仿宋" w:eastAsia="仿宋"/>
          <w:sz w:val="28"/>
          <w:szCs w:val="28"/>
        </w:rPr>
      </w:pPr>
      <w:r>
        <w:rPr>
          <w:rFonts w:hint="eastAsia" w:ascii="仿宋" w:hAnsi="仿宋" w:eastAsia="仿宋"/>
          <w:sz w:val="28"/>
          <w:szCs w:val="28"/>
        </w:rPr>
        <w:t>市场机遇与前景</w:t>
      </w:r>
    </w:p>
    <w:p>
      <w:pPr>
        <w:spacing w:line="560" w:lineRule="exact"/>
        <w:ind w:firstLine="560"/>
        <w:rPr>
          <w:rFonts w:ascii="仿宋" w:hAnsi="仿宋" w:eastAsia="仿宋" w:cs="Arial"/>
          <w:color w:val="333333"/>
          <w:sz w:val="28"/>
          <w:szCs w:val="28"/>
        </w:rPr>
      </w:pPr>
      <w:r>
        <w:rPr>
          <w:rFonts w:hint="eastAsia" w:ascii="仿宋" w:hAnsi="仿宋" w:eastAsia="仿宋"/>
          <w:sz w:val="28"/>
          <w:szCs w:val="28"/>
        </w:rPr>
        <w:t>2018年7月，团中央、教育部联合印发《关于在校高校实施共青团“第二课堂成绩单”制度的意见》（以下简称《意见》），</w:t>
      </w:r>
      <w:r>
        <w:rPr>
          <w:rFonts w:ascii="仿宋" w:hAnsi="仿宋" w:eastAsia="仿宋" w:cs="Arial"/>
          <w:color w:val="333333"/>
          <w:sz w:val="28"/>
          <w:szCs w:val="28"/>
        </w:rPr>
        <w:t>《意见》指出，共青团“第二课堂成绩</w:t>
      </w:r>
      <w:r>
        <w:rPr>
          <w:rFonts w:hint="eastAsia" w:ascii="仿宋" w:hAnsi="仿宋" w:eastAsia="仿宋" w:cs="Arial"/>
          <w:color w:val="333333"/>
          <w:sz w:val="28"/>
          <w:szCs w:val="28"/>
        </w:rPr>
        <w:t>单</w:t>
      </w:r>
      <w:r>
        <w:rPr>
          <w:rFonts w:ascii="仿宋" w:hAnsi="仿宋" w:eastAsia="仿宋" w:cs="Arial"/>
          <w:color w:val="333333"/>
          <w:sz w:val="28"/>
          <w:szCs w:val="28"/>
        </w:rPr>
        <w:t>”制度是充分借鉴第一课堂教学育人机理和工作体系，整体设计高校共青团工作内容、项目供给、评价机制和运行模式，实现共青团组织实施的思想政治引领、素质拓展提升、社会实践锻炼、志愿服务公益和自我管理服务等第二课堂活动的科学化、系统化、制度化、规范化，实现高校学生参与共青团第二课堂可记录、可评价、可测量、可呈现的一套工作体系和工作制度。实施共青团“第二课堂成绩</w:t>
      </w:r>
      <w:r>
        <w:rPr>
          <w:rFonts w:hint="eastAsia" w:ascii="仿宋" w:hAnsi="仿宋" w:eastAsia="仿宋" w:cs="Arial"/>
          <w:color w:val="333333"/>
          <w:sz w:val="28"/>
          <w:szCs w:val="28"/>
        </w:rPr>
        <w:t>单</w:t>
      </w:r>
      <w:r>
        <w:rPr>
          <w:rFonts w:ascii="仿宋" w:hAnsi="仿宋" w:eastAsia="仿宋" w:cs="Arial"/>
          <w:color w:val="333333"/>
          <w:sz w:val="28"/>
          <w:szCs w:val="28"/>
        </w:rPr>
        <w:t>”制度是落实习近平总书记提出的“要重视和加强第二课堂建设”重要要求、贯彻落实团十八大精神的必然举措，是持续推动高校思想政治工作改革创新、深度融入高等教育综合改革、纵深推进高校共青团改革、不断完善学生发展服务体系的迫切需要。</w:t>
      </w:r>
    </w:p>
    <w:p>
      <w:pPr>
        <w:spacing w:line="560" w:lineRule="exact"/>
        <w:ind w:firstLine="560"/>
        <w:rPr>
          <w:rFonts w:ascii="仿宋" w:hAnsi="仿宋" w:eastAsia="仿宋"/>
          <w:sz w:val="28"/>
          <w:szCs w:val="28"/>
        </w:rPr>
      </w:pPr>
      <w:r>
        <w:rPr>
          <w:rFonts w:hint="eastAsia" w:ascii="仿宋" w:hAnsi="仿宋" w:eastAsia="仿宋" w:cs="Arial"/>
          <w:color w:val="333333"/>
          <w:sz w:val="28"/>
          <w:szCs w:val="28"/>
        </w:rPr>
        <w:t>各高校现有的常见的“第二课堂成绩单”更多是基于“校园活动记录册”建立的，而线下校园活动记录册</w:t>
      </w:r>
      <w:r>
        <w:rPr>
          <w:rFonts w:hint="eastAsia" w:ascii="仿宋" w:hAnsi="仿宋" w:eastAsia="仿宋"/>
          <w:sz w:val="28"/>
          <w:szCs w:val="28"/>
        </w:rPr>
        <w:t>不仅琐碎耗时，而且容易出现资料丢失、僵化管理等问题，而公司基于该情况设计的“第二课堂成绩系统”微信小程序通过技术手段将现代化信息技术与先进的管理理念相结合，改善易出现的琐碎耗时、资料丢失、僵化管理等问题，重新整合校园内外资源，大幅提高校园管理效率。</w:t>
      </w:r>
    </w:p>
    <w:p>
      <w:pPr>
        <w:numPr>
          <w:ilvl w:val="1"/>
          <w:numId w:val="1"/>
        </w:numPr>
        <w:spacing w:line="560" w:lineRule="exact"/>
        <w:ind w:firstLineChars="0"/>
        <w:outlineLvl w:val="1"/>
        <w:rPr>
          <w:rFonts w:ascii="仿宋" w:hAnsi="仿宋" w:eastAsia="仿宋"/>
          <w:b/>
          <w:bCs/>
          <w:sz w:val="32"/>
          <w:szCs w:val="32"/>
        </w:rPr>
      </w:pPr>
      <w:bookmarkStart w:id="2" w:name="_Toc8900_WPSOffice_Level2"/>
      <w:bookmarkStart w:id="3" w:name="_Toc12972_WPSOffice_Level2"/>
      <w:r>
        <w:rPr>
          <w:rFonts w:hint="eastAsia" w:ascii="仿宋" w:hAnsi="仿宋" w:eastAsia="仿宋"/>
          <w:b/>
          <w:bCs/>
          <w:sz w:val="32"/>
          <w:szCs w:val="32"/>
        </w:rPr>
        <w:t>产品概述</w:t>
      </w:r>
      <w:bookmarkEnd w:id="2"/>
      <w:bookmarkEnd w:id="3"/>
    </w:p>
    <w:p>
      <w:pPr>
        <w:spacing w:line="560" w:lineRule="exact"/>
        <w:ind w:firstLine="560"/>
        <w:rPr>
          <w:rFonts w:ascii="仿宋" w:hAnsi="仿宋" w:eastAsia="仿宋"/>
          <w:sz w:val="28"/>
          <w:szCs w:val="28"/>
        </w:rPr>
      </w:pPr>
      <w:r>
        <w:rPr>
          <w:rFonts w:hint="eastAsia" w:ascii="仿宋" w:hAnsi="仿宋" w:eastAsia="仿宋"/>
          <w:sz w:val="28"/>
          <w:szCs w:val="28"/>
        </w:rPr>
        <w:t>公司设计的“第二课堂成绩系统”程序，聚焦校园第二课堂，即课堂之外的学习及活动，致力于实现校园活动信息化管理，现有功能包括活动管理、物资管理、财务管理、组织管理和证书管理等。本系统采取领域驱动设计，通过创建领域模型加速复杂的软件开发。为应对复杂的业务逻辑，以聚合模型代替数据表模型，以并发的事件驱动替代串联的消息驱动。本系统包含用户领域核心、活动领域核心、物资领域核心、财务领域核心、组织领域核心、证书领域核心等六大领域核心，真正实现以业务实体为核心的灵活拓展。</w:t>
      </w:r>
    </w:p>
    <w:p>
      <w:pPr>
        <w:spacing w:line="560" w:lineRule="exact"/>
        <w:ind w:firstLine="0" w:firstLineChars="0"/>
        <w:jc w:val="left"/>
        <w:rPr>
          <w:rFonts w:ascii="仿宋" w:hAnsi="仿宋" w:eastAsia="仿宋"/>
          <w:sz w:val="28"/>
          <w:szCs w:val="28"/>
        </w:rPr>
      </w:pPr>
      <w:r>
        <w:rPr>
          <w:rFonts w:hint="eastAsia" w:ascii="仿宋" w:hAnsi="仿宋" w:eastAsia="仿宋"/>
          <w:sz w:val="28"/>
          <w:szCs w:val="28"/>
        </w:rPr>
        <w:t>各领域核心的主要功能：</w:t>
      </w:r>
    </w:p>
    <w:p>
      <w:pPr>
        <w:spacing w:line="560" w:lineRule="exact"/>
        <w:ind w:firstLine="560"/>
        <w:jc w:val="left"/>
        <w:rPr>
          <w:rFonts w:ascii="仿宋" w:hAnsi="仿宋" w:eastAsia="仿宋"/>
          <w:sz w:val="28"/>
          <w:szCs w:val="28"/>
        </w:rPr>
      </w:pPr>
      <w:r>
        <w:rPr>
          <w:rFonts w:hint="eastAsia" w:ascii="仿宋" w:hAnsi="仿宋" w:eastAsia="仿宋"/>
          <w:sz w:val="28"/>
          <w:szCs w:val="28"/>
        </w:rPr>
        <w:t>用户领域核心：记录用户数据，用于系统登录。</w:t>
      </w:r>
    </w:p>
    <w:p>
      <w:pPr>
        <w:spacing w:line="560" w:lineRule="exact"/>
        <w:ind w:left="2519" w:leftChars="266" w:hanging="1960" w:hangingChars="700"/>
        <w:jc w:val="left"/>
        <w:rPr>
          <w:rFonts w:ascii="仿宋" w:hAnsi="仿宋" w:eastAsia="仿宋"/>
          <w:sz w:val="28"/>
          <w:szCs w:val="28"/>
        </w:rPr>
      </w:pPr>
      <w:r>
        <w:rPr>
          <w:rFonts w:hint="eastAsia" w:ascii="仿宋" w:hAnsi="仿宋" w:eastAsia="仿宋"/>
          <w:sz w:val="28"/>
          <w:szCs w:val="28"/>
        </w:rPr>
        <w:t>活动领域核心：记录学生参加的校园活动、志愿服务时长、社会实践、义工活动等相关信息。</w:t>
      </w:r>
    </w:p>
    <w:p>
      <w:pPr>
        <w:spacing w:line="560" w:lineRule="exact"/>
        <w:ind w:left="2519" w:leftChars="266" w:hanging="1960" w:hangingChars="700"/>
        <w:jc w:val="left"/>
        <w:rPr>
          <w:rFonts w:ascii="仿宋" w:hAnsi="仿宋" w:eastAsia="仿宋"/>
          <w:sz w:val="28"/>
          <w:szCs w:val="28"/>
        </w:rPr>
      </w:pPr>
      <w:r>
        <w:rPr>
          <w:rFonts w:hint="eastAsia" w:ascii="仿宋" w:hAnsi="仿宋" w:eastAsia="仿宋"/>
          <w:sz w:val="28"/>
          <w:szCs w:val="28"/>
        </w:rPr>
        <w:t>物资领域核心：各学生组织的物资管理，学生的物资借还管理。</w:t>
      </w:r>
    </w:p>
    <w:p>
      <w:pPr>
        <w:spacing w:line="560" w:lineRule="exact"/>
        <w:ind w:left="2519" w:leftChars="266" w:hanging="1960" w:hangingChars="700"/>
        <w:jc w:val="left"/>
        <w:rPr>
          <w:sz w:val="28"/>
          <w:szCs w:val="28"/>
        </w:rPr>
      </w:pPr>
      <w:r>
        <w:rPr>
          <w:rFonts w:hint="eastAsia" w:ascii="仿宋" w:hAnsi="仿宋" w:eastAsia="仿宋"/>
          <w:sz w:val="28"/>
          <w:szCs w:val="28"/>
        </w:rPr>
        <w:t>财务领域核心：主要用于管理社团经费，记录收入与支出，做到财务透明</w:t>
      </w:r>
      <w:r>
        <w:rPr>
          <w:rFonts w:hint="eastAsia"/>
          <w:sz w:val="28"/>
          <w:szCs w:val="28"/>
        </w:rPr>
        <w:t>。</w:t>
      </w:r>
    </w:p>
    <w:p>
      <w:pPr>
        <w:spacing w:line="560" w:lineRule="exact"/>
        <w:ind w:firstLine="560"/>
        <w:rPr>
          <w:rFonts w:ascii="仿宋" w:hAnsi="仿宋" w:eastAsia="仿宋"/>
          <w:sz w:val="28"/>
          <w:szCs w:val="28"/>
        </w:rPr>
      </w:pPr>
      <w:r>
        <w:rPr>
          <w:rFonts w:hint="eastAsia" w:ascii="仿宋" w:hAnsi="仿宋" w:eastAsia="仿宋"/>
          <w:sz w:val="28"/>
          <w:szCs w:val="28"/>
        </w:rPr>
        <w:t>组织领域核心：对学生在学生组织任职经历进行记录。</w:t>
      </w:r>
    </w:p>
    <w:p>
      <w:pPr>
        <w:spacing w:line="560" w:lineRule="exact"/>
        <w:ind w:left="2519" w:leftChars="266" w:hanging="1960" w:hangingChars="700"/>
        <w:jc w:val="left"/>
        <w:rPr>
          <w:rFonts w:ascii="仿宋" w:hAnsi="仿宋" w:eastAsia="仿宋"/>
          <w:sz w:val="28"/>
          <w:szCs w:val="28"/>
        </w:rPr>
      </w:pPr>
      <w:r>
        <w:rPr>
          <w:rFonts w:hint="eastAsia" w:ascii="仿宋" w:hAnsi="仿宋" w:eastAsia="仿宋"/>
          <w:sz w:val="28"/>
          <w:szCs w:val="28"/>
        </w:rPr>
        <w:t>证书领域核心：主要用于记录学生的资格证书，技能证书，学科竞赛获和奖记录等，将学生所获证书线上化，方便学生随时查看已有证书及获奖记录。</w:t>
      </w:r>
    </w:p>
    <w:p>
      <w:pPr>
        <w:numPr>
          <w:ilvl w:val="1"/>
          <w:numId w:val="1"/>
        </w:numPr>
        <w:spacing w:line="560" w:lineRule="exact"/>
        <w:ind w:firstLineChars="0"/>
        <w:outlineLvl w:val="1"/>
        <w:rPr>
          <w:rFonts w:ascii="仿宋" w:hAnsi="仿宋" w:eastAsia="仿宋"/>
          <w:color w:val="000000" w:themeColor="text1"/>
          <w:sz w:val="32"/>
          <w:szCs w:val="32"/>
          <w14:textFill>
            <w14:solidFill>
              <w14:schemeClr w14:val="tx1"/>
            </w14:solidFill>
          </w14:textFill>
        </w:rPr>
      </w:pPr>
      <w:r>
        <w:fldChar w:fldCharType="begin"/>
      </w:r>
      <w:r>
        <w:instrText xml:space="preserve"> HYPERLINK \l "_Toc351736043" </w:instrText>
      </w:r>
      <w:r>
        <w:fldChar w:fldCharType="separate"/>
      </w:r>
      <w:bookmarkStart w:id="4" w:name="_Toc1762_WPSOffice_Level2"/>
      <w:bookmarkStart w:id="5" w:name="_Toc30447_WPSOffice_Level2"/>
      <w:r>
        <w:rPr>
          <w:rStyle w:val="5"/>
          <w:rFonts w:hint="eastAsia" w:ascii="仿宋" w:hAnsi="仿宋" w:eastAsia="仿宋"/>
          <w:b/>
          <w:bCs/>
          <w:color w:val="000000" w:themeColor="text1"/>
          <w:sz w:val="32"/>
          <w:szCs w:val="32"/>
          <w:u w:val="none"/>
          <w14:textFill>
            <w14:solidFill>
              <w14:schemeClr w14:val="tx1"/>
            </w14:solidFill>
          </w14:textFill>
        </w:rPr>
        <w:t>竞争优势</w:t>
      </w:r>
      <w:bookmarkEnd w:id="4"/>
      <w:bookmarkEnd w:id="5"/>
      <w:r>
        <w:rPr>
          <w:rStyle w:val="5"/>
          <w:rFonts w:hint="eastAsia" w:ascii="仿宋" w:hAnsi="仿宋" w:eastAsia="仿宋"/>
          <w:b/>
          <w:bCs/>
          <w:color w:val="000000" w:themeColor="text1"/>
          <w:sz w:val="32"/>
          <w:szCs w:val="32"/>
          <w:u w:val="none"/>
          <w14:textFill>
            <w14:solidFill>
              <w14:schemeClr w14:val="tx1"/>
            </w14:solidFill>
          </w14:textFill>
        </w:rPr>
        <w:fldChar w:fldCharType="end"/>
      </w:r>
    </w:p>
    <w:p>
      <w:pPr>
        <w:spacing w:line="560" w:lineRule="exact"/>
        <w:ind w:firstLine="560"/>
        <w:rPr>
          <w:rFonts w:ascii="仿宋" w:hAnsi="仿宋" w:eastAsia="仿宋"/>
          <w:sz w:val="28"/>
          <w:szCs w:val="28"/>
        </w:rPr>
      </w:pPr>
      <w:r>
        <w:rPr>
          <w:rFonts w:hint="eastAsia" w:ascii="仿宋" w:hAnsi="仿宋" w:eastAsia="仿宋"/>
          <w:sz w:val="28"/>
          <w:szCs w:val="28"/>
        </w:rPr>
        <w:t>在与浙江海洋大学、温州医科大学、杭州电子科技大学（本校）等其他高校的交流中我们发现，部分高校创建了校园管理系统，对学生参与的活动进行简单地记录，但学生并不能查看相关记录，部分高校利用APP对相关记录进行管理，可是部分APP要求学生填写联系方式、身份证号码等个人信息，学校很难保证学生的隐私信息不被泄露。部分学校采用纸质校园活动记录册的形式，但是纸质校园活动记录册存在盖章时间长，易丢失，易造假等弊端。</w:t>
      </w:r>
    </w:p>
    <w:p>
      <w:pPr>
        <w:spacing w:line="560" w:lineRule="exact"/>
        <w:ind w:firstLine="560"/>
        <w:rPr>
          <w:rFonts w:ascii="仿宋" w:hAnsi="仿宋" w:eastAsia="仿宋"/>
          <w:sz w:val="28"/>
          <w:szCs w:val="28"/>
        </w:rPr>
      </w:pPr>
      <w:r>
        <w:rPr>
          <w:rFonts w:hint="eastAsia" w:ascii="仿宋" w:hAnsi="仿宋" w:eastAsia="仿宋"/>
          <w:sz w:val="28"/>
          <w:szCs w:val="28"/>
        </w:rPr>
        <w:t>相比其他高校，我们公司设计的“第二课堂成绩系统”程序具有不易丢失、携带方便、快速签章等优势，同时我们还将手动签章改为线上扫码，并且个人专属二维码配备动态图案以及10s自动刷新的功能，极大的降低了作弊的可能性。</w:t>
      </w:r>
    </w:p>
    <w:p>
      <w:pPr>
        <w:numPr>
          <w:ilvl w:val="1"/>
          <w:numId w:val="1"/>
        </w:numPr>
        <w:spacing w:line="560" w:lineRule="exact"/>
        <w:ind w:firstLineChars="0"/>
        <w:outlineLvl w:val="1"/>
        <w:rPr>
          <w:rFonts w:ascii="仿宋" w:hAnsi="仿宋" w:eastAsia="仿宋"/>
          <w:color w:val="000000" w:themeColor="text1"/>
          <w:sz w:val="32"/>
          <w:szCs w:val="32"/>
          <w14:textFill>
            <w14:solidFill>
              <w14:schemeClr w14:val="tx1"/>
            </w14:solidFill>
          </w14:textFill>
        </w:rPr>
      </w:pPr>
      <w:r>
        <w:fldChar w:fldCharType="begin"/>
      </w:r>
      <w:r>
        <w:instrText xml:space="preserve"> HYPERLINK \l "_Toc351736043" </w:instrText>
      </w:r>
      <w:r>
        <w:fldChar w:fldCharType="separate"/>
      </w:r>
      <w:bookmarkStart w:id="6" w:name="_Toc12371_WPSOffice_Level2"/>
      <w:bookmarkStart w:id="7" w:name="_Toc5782_WPSOffice_Level2"/>
      <w:r>
        <w:rPr>
          <w:rStyle w:val="5"/>
          <w:rFonts w:hint="eastAsia" w:ascii="仿宋" w:hAnsi="仿宋" w:eastAsia="仿宋"/>
          <w:b/>
          <w:bCs/>
          <w:color w:val="000000" w:themeColor="text1"/>
          <w:sz w:val="32"/>
          <w:szCs w:val="32"/>
          <w:u w:val="none"/>
          <w14:textFill>
            <w14:solidFill>
              <w14:schemeClr w14:val="tx1"/>
            </w14:solidFill>
          </w14:textFill>
        </w:rPr>
        <w:t>市场策略</w:t>
      </w:r>
      <w:bookmarkEnd w:id="6"/>
      <w:bookmarkEnd w:id="7"/>
      <w:r>
        <w:rPr>
          <w:rStyle w:val="5"/>
          <w:rFonts w:hint="eastAsia" w:ascii="仿宋" w:hAnsi="仿宋" w:eastAsia="仿宋"/>
          <w:b/>
          <w:bCs/>
          <w:color w:val="000000" w:themeColor="text1"/>
          <w:sz w:val="32"/>
          <w:szCs w:val="32"/>
          <w:u w:val="none"/>
          <w14:textFill>
            <w14:solidFill>
              <w14:schemeClr w14:val="tx1"/>
            </w14:solidFill>
          </w14:textFill>
        </w:rPr>
        <w:fldChar w:fldCharType="end"/>
      </w:r>
    </w:p>
    <w:p>
      <w:pPr>
        <w:spacing w:line="560" w:lineRule="exact"/>
        <w:ind w:firstLine="560"/>
        <w:rPr>
          <w:rFonts w:ascii="仿宋" w:hAnsi="仿宋" w:eastAsia="仿宋"/>
          <w:sz w:val="28"/>
          <w:szCs w:val="28"/>
        </w:rPr>
      </w:pPr>
      <w:r>
        <w:rPr>
          <w:rFonts w:hint="eastAsia" w:ascii="仿宋" w:hAnsi="仿宋" w:eastAsia="仿宋"/>
          <w:sz w:val="28"/>
          <w:szCs w:val="28"/>
        </w:rPr>
        <w:t>本公司在派出宣讲团队一对一对客户进行产品使用说明，并交代相关事宜,使客户能够尽快的熟练使用系统的基础上，在营销引入期为各大高校提供定制化服务，设计满足各大高校的不同需求的产品。在营销成长期我们将主导数据库营销和连锁营销，我们将利用大数据调整销售方案，增加客户满意度与忠诚度，取得企业与客户的双赢局面。同时我们也将制定自己企业的标准化管理流程，在各地开发分销点，扩张销售网点。营销成熟期，我们将在加强现有产品功能全面性的同时研发创新新型产品，从而扩大市场占有率与客户占有率。</w:t>
      </w:r>
    </w:p>
    <w:p>
      <w:pPr>
        <w:numPr>
          <w:ilvl w:val="1"/>
          <w:numId w:val="1"/>
        </w:numPr>
        <w:spacing w:line="560" w:lineRule="exact"/>
        <w:ind w:firstLineChars="0"/>
        <w:outlineLvl w:val="1"/>
        <w:rPr>
          <w:rFonts w:ascii="仿宋" w:hAnsi="仿宋" w:eastAsia="仿宋"/>
          <w:b/>
          <w:bCs/>
          <w:sz w:val="32"/>
          <w:szCs w:val="32"/>
        </w:rPr>
      </w:pPr>
      <w:bookmarkStart w:id="8" w:name="_Toc9898_WPSOffice_Level2"/>
      <w:bookmarkStart w:id="9" w:name="_Toc11089_WPSOffice_Level2"/>
      <w:r>
        <w:rPr>
          <w:rFonts w:hint="eastAsia" w:ascii="仿宋" w:hAnsi="仿宋" w:eastAsia="仿宋"/>
          <w:b/>
          <w:bCs/>
          <w:sz w:val="32"/>
          <w:szCs w:val="32"/>
        </w:rPr>
        <w:t>产品其他数据</w:t>
      </w:r>
      <w:bookmarkEnd w:id="8"/>
      <w:bookmarkEnd w:id="9"/>
    </w:p>
    <w:p>
      <w:pPr>
        <w:spacing w:line="560" w:lineRule="exact"/>
        <w:ind w:firstLine="560"/>
        <w:rPr>
          <w:rFonts w:ascii="仿宋" w:hAnsi="仿宋" w:eastAsia="仿宋"/>
          <w:sz w:val="28"/>
          <w:szCs w:val="28"/>
        </w:rPr>
      </w:pPr>
      <w:r>
        <w:rPr>
          <w:rFonts w:hint="eastAsia" w:ascii="仿宋" w:hAnsi="仿宋" w:eastAsia="仿宋"/>
          <w:sz w:val="28"/>
          <w:szCs w:val="28"/>
        </w:rPr>
        <w:t>公司研发的“第二课堂成绩系统”微信程序用户已达到8000余人，受到大众一致好评。</w:t>
      </w:r>
    </w:p>
    <w:p>
      <w:pPr>
        <w:spacing w:line="560" w:lineRule="exact"/>
        <w:ind w:firstLine="560"/>
        <w:rPr>
          <w:rFonts w:ascii="仿宋" w:hAnsi="仿宋" w:eastAsia="仿宋"/>
          <w:sz w:val="28"/>
          <w:szCs w:val="28"/>
        </w:rPr>
      </w:pPr>
      <w:r>
        <w:rPr>
          <w:rFonts w:hint="eastAsia" w:ascii="仿宋" w:hAnsi="仿宋" w:eastAsia="仿宋"/>
          <w:sz w:val="28"/>
          <w:szCs w:val="28"/>
        </w:rPr>
        <w:t>线下校园活动记录册签章时间为20s</w:t>
      </w:r>
      <w:r>
        <w:rPr>
          <w:rFonts w:ascii="仿宋" w:hAnsi="仿宋" w:eastAsia="仿宋"/>
          <w:sz w:val="28"/>
          <w:szCs w:val="28"/>
        </w:rPr>
        <w:t>/</w:t>
      </w:r>
      <w:r>
        <w:rPr>
          <w:rFonts w:hint="eastAsia" w:ascii="仿宋" w:hAnsi="仿宋" w:eastAsia="仿宋"/>
          <w:sz w:val="28"/>
          <w:szCs w:val="28"/>
        </w:rPr>
        <w:t>人， “第二课堂成绩系统”签章时间为0.5</w:t>
      </w:r>
      <w:r>
        <w:rPr>
          <w:rFonts w:ascii="仿宋" w:hAnsi="仿宋" w:eastAsia="仿宋"/>
          <w:sz w:val="28"/>
          <w:szCs w:val="28"/>
        </w:rPr>
        <w:t>S/</w:t>
      </w:r>
      <w:r>
        <w:rPr>
          <w:rFonts w:hint="eastAsia" w:ascii="仿宋" w:hAnsi="仿宋" w:eastAsia="仿宋"/>
          <w:sz w:val="28"/>
          <w:szCs w:val="28"/>
        </w:rPr>
        <w:t>人，签章效率提升97%。</w:t>
      </w:r>
    </w:p>
    <w:p>
      <w:pPr>
        <w:numPr>
          <w:ilvl w:val="0"/>
          <w:numId w:val="1"/>
        </w:numPr>
        <w:spacing w:line="560" w:lineRule="exact"/>
        <w:ind w:left="0" w:firstLineChars="0"/>
        <w:rPr>
          <w:rFonts w:ascii="仿宋" w:hAnsi="仿宋" w:eastAsia="仿宋"/>
          <w:b/>
          <w:bCs/>
          <w:sz w:val="44"/>
          <w:szCs w:val="44"/>
        </w:rPr>
        <w:sectPr>
          <w:pgSz w:w="11906" w:h="16838"/>
          <w:pgMar w:top="1440" w:right="1800" w:bottom="1440" w:left="1800" w:header="851" w:footer="992" w:gutter="0"/>
          <w:cols w:space="425" w:num="1"/>
          <w:docGrid w:type="lines" w:linePitch="312" w:charSpace="0"/>
        </w:sectPr>
      </w:pPr>
    </w:p>
    <w:p>
      <w:pPr>
        <w:numPr>
          <w:ilvl w:val="0"/>
          <w:numId w:val="1"/>
        </w:numPr>
        <w:spacing w:line="560" w:lineRule="exact"/>
        <w:ind w:left="0" w:firstLineChars="0"/>
        <w:outlineLvl w:val="0"/>
        <w:rPr>
          <w:rFonts w:ascii="仿宋" w:hAnsi="仿宋" w:eastAsia="仿宋"/>
          <w:b/>
          <w:bCs/>
          <w:sz w:val="44"/>
          <w:szCs w:val="44"/>
          <w:u w:val="none"/>
        </w:rPr>
      </w:pPr>
      <w:bookmarkStart w:id="10" w:name="_Toc12972_WPSOffice_Level1"/>
      <w:r>
        <w:rPr>
          <w:rFonts w:hint="eastAsia" w:ascii="仿宋" w:hAnsi="仿宋" w:eastAsia="仿宋"/>
          <w:b/>
          <w:bCs/>
          <w:sz w:val="44"/>
          <w:szCs w:val="44"/>
          <w:u w:val="none"/>
        </w:rPr>
        <w:t>市场分析</w:t>
      </w:r>
      <w:bookmarkEnd w:id="10"/>
    </w:p>
    <w:p>
      <w:pPr>
        <w:numPr>
          <w:ilvl w:val="1"/>
          <w:numId w:val="1"/>
        </w:numPr>
        <w:spacing w:line="560" w:lineRule="exact"/>
        <w:ind w:left="0" w:firstLineChars="0"/>
        <w:outlineLvl w:val="1"/>
        <w:rPr>
          <w:rFonts w:ascii="仿宋" w:hAnsi="仿宋" w:eastAsia="仿宋"/>
          <w:b/>
          <w:bCs/>
          <w:sz w:val="32"/>
          <w:szCs w:val="32"/>
          <w:u w:val="none"/>
        </w:rPr>
      </w:pPr>
      <w:bookmarkStart w:id="11" w:name="_Toc21710_WPSOffice_Level2"/>
      <w:bookmarkStart w:id="12" w:name="_Toc23421_WPSOffice_Level2"/>
      <w:bookmarkStart w:id="13" w:name="_Toc353367122"/>
      <w:bookmarkStart w:id="14" w:name="_Toc353046183"/>
      <w:r>
        <w:rPr>
          <w:rFonts w:hint="eastAsia" w:ascii="仿宋" w:hAnsi="仿宋" w:eastAsia="仿宋"/>
          <w:b/>
          <w:bCs/>
          <w:sz w:val="32"/>
          <w:szCs w:val="32"/>
          <w:u w:val="none"/>
        </w:rPr>
        <w:t>项目可行性分析</w:t>
      </w:r>
      <w:bookmarkEnd w:id="11"/>
      <w:bookmarkEnd w:id="12"/>
    </w:p>
    <w:p>
      <w:pPr>
        <w:numPr>
          <w:ilvl w:val="2"/>
          <w:numId w:val="1"/>
        </w:numPr>
        <w:spacing w:line="560" w:lineRule="exact"/>
        <w:ind w:left="0" w:firstLineChars="0"/>
        <w:outlineLvl w:val="2"/>
        <w:rPr>
          <w:rFonts w:ascii="仿宋" w:hAnsi="仿宋" w:eastAsia="仿宋"/>
          <w:b/>
          <w:bCs/>
          <w:sz w:val="30"/>
          <w:szCs w:val="30"/>
          <w:u w:val="none"/>
        </w:rPr>
      </w:pPr>
      <w:bookmarkStart w:id="15" w:name="_Toc7193_WPSOffice_Level3"/>
      <w:bookmarkStart w:id="16" w:name="_Toc8562_WPSOffice_Level3"/>
      <w:r>
        <w:rPr>
          <w:rFonts w:hint="eastAsia" w:ascii="仿宋" w:hAnsi="仿宋" w:eastAsia="仿宋"/>
          <w:b/>
          <w:bCs/>
          <w:sz w:val="30"/>
          <w:szCs w:val="30"/>
          <w:u w:val="none"/>
        </w:rPr>
        <w:t>市场可行性分析</w:t>
      </w:r>
      <w:bookmarkEnd w:id="13"/>
      <w:bookmarkEnd w:id="15"/>
      <w:bookmarkEnd w:id="16"/>
    </w:p>
    <w:p>
      <w:pPr>
        <w:spacing w:line="560" w:lineRule="exact"/>
        <w:ind w:firstLine="0" w:firstLineChars="0"/>
        <w:rPr>
          <w:rFonts w:ascii="仿宋" w:hAnsi="仿宋" w:eastAsia="仿宋"/>
          <w:sz w:val="28"/>
          <w:szCs w:val="28"/>
        </w:rPr>
      </w:pPr>
      <w:r>
        <w:rPr>
          <w:rFonts w:hint="eastAsia" w:ascii="仿宋" w:hAnsi="仿宋" w:eastAsia="仿宋"/>
          <w:sz w:val="28"/>
          <w:szCs w:val="28"/>
        </w:rPr>
        <w:t>各大大学高校的需求</w:t>
      </w:r>
    </w:p>
    <w:bookmarkEnd w:id="14"/>
    <w:p>
      <w:pPr>
        <w:spacing w:line="560" w:lineRule="exact"/>
        <w:ind w:firstLine="560"/>
        <w:rPr>
          <w:rFonts w:ascii="仿宋" w:hAnsi="仿宋" w:eastAsia="仿宋"/>
          <w:sz w:val="28"/>
          <w:szCs w:val="28"/>
        </w:rPr>
      </w:pPr>
      <w:r>
        <w:rPr>
          <w:rFonts w:hint="eastAsia" w:ascii="仿宋" w:hAnsi="仿宋" w:eastAsia="仿宋"/>
          <w:sz w:val="28"/>
          <w:szCs w:val="28"/>
        </w:rPr>
        <w:t>在和浙江海洋大学、温州医科大学、杭州电子科技大学（本校）等其他大学高校的交流中我们发现，尽管各所学校校开展了丰富课外活动，但在活动信息记录方面，并没有一个成熟完善的载体。</w:t>
      </w:r>
    </w:p>
    <w:p>
      <w:pPr>
        <w:spacing w:line="560" w:lineRule="exact"/>
        <w:ind w:firstLine="0" w:firstLineChars="0"/>
        <w:rPr>
          <w:rFonts w:ascii="仿宋" w:hAnsi="仿宋" w:eastAsia="仿宋"/>
          <w:sz w:val="28"/>
          <w:szCs w:val="28"/>
        </w:rPr>
      </w:pPr>
      <w:r>
        <w:rPr>
          <w:rFonts w:hint="eastAsia" w:ascii="仿宋" w:hAnsi="仿宋" w:eastAsia="仿宋"/>
          <w:sz w:val="28"/>
          <w:szCs w:val="28"/>
        </w:rPr>
        <w:t>校方方面：</w:t>
      </w:r>
    </w:p>
    <w:p>
      <w:pPr>
        <w:spacing w:line="560" w:lineRule="exact"/>
        <w:ind w:firstLine="560"/>
        <w:rPr>
          <w:rFonts w:ascii="仿宋" w:hAnsi="仿宋" w:eastAsia="仿宋"/>
          <w:sz w:val="28"/>
          <w:szCs w:val="28"/>
        </w:rPr>
      </w:pPr>
      <w:r>
        <w:rPr>
          <w:rFonts w:hint="eastAsia" w:ascii="仿宋" w:hAnsi="仿宋" w:eastAsia="仿宋"/>
          <w:sz w:val="28"/>
          <w:szCs w:val="28"/>
        </w:rPr>
        <w:t>使用校园自身系统</w:t>
      </w:r>
    </w:p>
    <w:p>
      <w:pPr>
        <w:spacing w:line="560" w:lineRule="exact"/>
        <w:ind w:firstLine="560"/>
        <w:rPr>
          <w:rFonts w:ascii="仿宋" w:hAnsi="仿宋" w:eastAsia="仿宋"/>
          <w:sz w:val="28"/>
          <w:szCs w:val="28"/>
        </w:rPr>
      </w:pPr>
      <w:r>
        <w:rPr>
          <w:rFonts w:hint="eastAsia" w:ascii="仿宋" w:hAnsi="仿宋" w:eastAsia="仿宋"/>
          <w:sz w:val="28"/>
          <w:szCs w:val="28"/>
        </w:rPr>
        <w:t>部分学校凭借自身校园管理系统，对参与活动进行简单地记录，但学生客户端不能进行查看信息，使用上也不方便。例如，温州医科大学是使用校园卡刷卡对活动进行记录，每个学期学期初在校园网页上下载表格查看记录。功能单一，不能创造性满足学生群体需求。</w:t>
      </w:r>
    </w:p>
    <w:p>
      <w:pPr>
        <w:spacing w:line="560" w:lineRule="exact"/>
        <w:ind w:firstLine="0" w:firstLineChars="0"/>
        <w:rPr>
          <w:rFonts w:ascii="仿宋" w:hAnsi="仿宋" w:eastAsia="仿宋"/>
          <w:sz w:val="28"/>
          <w:szCs w:val="28"/>
        </w:rPr>
      </w:pPr>
    </w:p>
    <w:p>
      <w:pPr>
        <w:spacing w:line="560" w:lineRule="exact"/>
        <w:ind w:firstLine="0" w:firstLineChars="0"/>
        <w:rPr>
          <w:rFonts w:ascii="仿宋" w:hAnsi="仿宋" w:eastAsia="仿宋"/>
          <w:sz w:val="28"/>
          <w:szCs w:val="28"/>
        </w:rPr>
      </w:pPr>
      <w:r>
        <w:rPr>
          <w:rFonts w:hint="eastAsia" w:ascii="仿宋" w:hAnsi="仿宋" w:eastAsia="仿宋"/>
          <w:sz w:val="28"/>
          <w:szCs w:val="28"/>
        </w:rPr>
        <w:t>应用商业APP</w:t>
      </w:r>
    </w:p>
    <w:p>
      <w:pPr>
        <w:spacing w:line="560" w:lineRule="exact"/>
        <w:ind w:firstLine="560"/>
        <w:rPr>
          <w:rFonts w:ascii="仿宋" w:hAnsi="仿宋" w:eastAsia="仿宋"/>
          <w:sz w:val="28"/>
          <w:szCs w:val="28"/>
        </w:rPr>
      </w:pPr>
      <w:r>
        <w:rPr>
          <w:rFonts w:hint="eastAsia" w:ascii="仿宋" w:hAnsi="仿宋" w:eastAsia="仿宋"/>
          <w:sz w:val="28"/>
          <w:szCs w:val="28"/>
        </w:rPr>
        <w:t>部分高校应用APP产品，但是效果不大，例如，浙江海洋大学是使用了口袋校园APP，但每个月有一次数据反馈。除此之外，部分APP要求填写个人信息，身份证号码等，学生群体对隐私保护安全性存在担忧。闪退、客后服务差，功能效率低等问题层出不穷。</w:t>
      </w:r>
    </w:p>
    <w:p>
      <w:pPr>
        <w:spacing w:line="560" w:lineRule="exact"/>
        <w:ind w:firstLine="560"/>
        <w:rPr>
          <w:rFonts w:ascii="仿宋" w:hAnsi="仿宋" w:eastAsia="仿宋"/>
          <w:sz w:val="28"/>
          <w:szCs w:val="28"/>
        </w:rPr>
      </w:pPr>
      <w:r>
        <w:rPr>
          <w:rFonts w:hint="eastAsia" w:ascii="仿宋" w:hAnsi="仿宋" w:eastAsia="仿宋"/>
          <w:sz w:val="28"/>
          <w:szCs w:val="28"/>
        </w:rPr>
        <w:t>使用校园活动记录册</w:t>
      </w:r>
    </w:p>
    <w:p>
      <w:pPr>
        <w:spacing w:line="560" w:lineRule="exact"/>
        <w:ind w:firstLine="560"/>
        <w:rPr>
          <w:rFonts w:ascii="仿宋" w:hAnsi="仿宋" w:eastAsia="仿宋"/>
          <w:sz w:val="28"/>
          <w:szCs w:val="28"/>
        </w:rPr>
      </w:pPr>
      <w:r>
        <w:rPr>
          <w:rFonts w:hint="eastAsia" w:ascii="仿宋" w:hAnsi="仿宋" w:eastAsia="仿宋"/>
          <w:sz w:val="28"/>
          <w:szCs w:val="28"/>
        </w:rPr>
        <w:t>一些大学采用校园活动记录册的形式，这就存在纸质成本连年不减，本子容易丢失，记载信息不全，造假现象频发等问题。由于中间环节容易出错，这些先天性缺陷不能通过行政手段完全消除影响。</w:t>
      </w:r>
    </w:p>
    <w:p>
      <w:pPr>
        <w:spacing w:line="560" w:lineRule="exact"/>
        <w:ind w:firstLine="0" w:firstLineChars="0"/>
        <w:rPr>
          <w:rFonts w:ascii="仿宋" w:hAnsi="仿宋" w:eastAsia="仿宋"/>
          <w:sz w:val="28"/>
          <w:szCs w:val="28"/>
        </w:rPr>
      </w:pPr>
    </w:p>
    <w:p>
      <w:pPr>
        <w:spacing w:line="560" w:lineRule="exact"/>
        <w:ind w:firstLine="0" w:firstLineChars="0"/>
        <w:rPr>
          <w:rFonts w:ascii="仿宋" w:hAnsi="仿宋" w:eastAsia="仿宋"/>
          <w:sz w:val="28"/>
          <w:szCs w:val="28"/>
        </w:rPr>
      </w:pPr>
      <w:r>
        <w:rPr>
          <w:rFonts w:hint="eastAsia" w:ascii="仿宋" w:hAnsi="仿宋" w:eastAsia="仿宋"/>
          <w:sz w:val="28"/>
          <w:szCs w:val="28"/>
        </w:rPr>
        <w:t>学生方面：</w:t>
      </w:r>
    </w:p>
    <w:p>
      <w:pPr>
        <w:spacing w:line="560" w:lineRule="exact"/>
        <w:ind w:firstLine="560"/>
        <w:rPr>
          <w:rFonts w:ascii="仿宋" w:hAnsi="仿宋" w:eastAsia="仿宋"/>
          <w:sz w:val="28"/>
          <w:szCs w:val="28"/>
        </w:rPr>
      </w:pPr>
      <w:r>
        <w:rPr>
          <w:rFonts w:hint="eastAsia" w:ascii="仿宋" w:hAnsi="仿宋" w:eastAsia="仿宋"/>
          <w:sz w:val="28"/>
          <w:szCs w:val="28"/>
        </w:rPr>
        <w:t>大部分消费者对现行APP的参差不齐现象表示不满。在手机应用市场，校园类APP整体评分不高，pu口袋校园3.36分，易班1.39分，皖世通2.2分，完美校园3.94分。许多使用者虽然在学校的要求下统一性使用，但是最终私下抱怨不已，因此大众接受程度较低。目前还尚未有深入贴合学生需求的APP产品占领市场。</w:t>
      </w:r>
    </w:p>
    <w:p>
      <w:pPr>
        <w:spacing w:line="560" w:lineRule="exact"/>
        <w:ind w:firstLine="0" w:firstLineChars="0"/>
        <w:rPr>
          <w:rFonts w:ascii="仿宋" w:hAnsi="仿宋" w:eastAsia="仿宋"/>
          <w:sz w:val="32"/>
          <w:szCs w:val="32"/>
        </w:rPr>
      </w:pPr>
    </w:p>
    <w:p>
      <w:pPr>
        <w:numPr>
          <w:ilvl w:val="2"/>
          <w:numId w:val="1"/>
        </w:numPr>
        <w:spacing w:line="560" w:lineRule="exact"/>
        <w:ind w:left="0" w:firstLineChars="0"/>
        <w:outlineLvl w:val="2"/>
        <w:rPr>
          <w:rFonts w:ascii="仿宋" w:hAnsi="仿宋" w:eastAsia="仿宋"/>
          <w:b/>
          <w:bCs/>
          <w:sz w:val="32"/>
          <w:szCs w:val="32"/>
        </w:rPr>
      </w:pPr>
      <w:bookmarkStart w:id="17" w:name="_Toc9898_WPSOffice_Level3"/>
      <w:bookmarkStart w:id="18" w:name="_Toc353367123"/>
      <w:bookmarkStart w:id="19" w:name="_Toc8900_WPSOffice_Level3"/>
      <w:r>
        <w:rPr>
          <w:rFonts w:hint="eastAsia" w:ascii="仿宋" w:hAnsi="仿宋" w:eastAsia="仿宋"/>
          <w:b/>
          <w:bCs/>
          <w:sz w:val="32"/>
          <w:szCs w:val="32"/>
        </w:rPr>
        <w:t>技术可行性分析</w:t>
      </w:r>
      <w:bookmarkEnd w:id="17"/>
      <w:bookmarkEnd w:id="18"/>
      <w:bookmarkEnd w:id="19"/>
      <w:bookmarkStart w:id="20" w:name="_Toc353046191"/>
    </w:p>
    <w:bookmarkEnd w:id="20"/>
    <w:p>
      <w:pPr>
        <w:spacing w:line="560" w:lineRule="exact"/>
        <w:ind w:firstLine="0" w:firstLineChars="0"/>
        <w:rPr>
          <w:rFonts w:ascii="仿宋" w:hAnsi="仿宋" w:eastAsia="仿宋"/>
          <w:sz w:val="28"/>
          <w:szCs w:val="28"/>
        </w:rPr>
      </w:pPr>
      <w:r>
        <w:rPr>
          <w:rFonts w:hint="eastAsia" w:ascii="仿宋" w:hAnsi="仿宋" w:eastAsia="仿宋"/>
          <w:sz w:val="28"/>
          <w:szCs w:val="28"/>
        </w:rPr>
        <w:t>活动章导入途径</w:t>
      </w:r>
    </w:p>
    <w:p>
      <w:pPr>
        <w:spacing w:line="560" w:lineRule="exact"/>
        <w:ind w:firstLine="560"/>
        <w:rPr>
          <w:rFonts w:ascii="仿宋" w:hAnsi="仿宋" w:eastAsia="仿宋"/>
          <w:sz w:val="28"/>
          <w:szCs w:val="28"/>
        </w:rPr>
      </w:pPr>
      <w:r>
        <w:rPr>
          <w:rFonts w:hint="eastAsia" w:ascii="仿宋" w:hAnsi="仿宋" w:eastAsia="仿宋"/>
          <w:sz w:val="28"/>
          <w:szCs w:val="28"/>
        </w:rPr>
        <w:t>我们采用的活动章导入方式有2种。第一种线下盖章，活动组织承办方负责人提供现场扫码员名单，通过管理员创建活动并授权，在活动结束后扫码员以扫描小程序个人二维码的方式，给在场参与活动的同学盖章。第二种，线上导入，由活动承办方在活动结束后提供活动参与成员名单（按照标准模板格式），后台技术端进行直接导入。相对而言此种方式导入最为简单，方便，快捷。但这也要求到前期对报名信息收集完整、准确度高，避免不正确信息导入不成功的情况。</w:t>
      </w:r>
    </w:p>
    <w:p>
      <w:pPr>
        <w:spacing w:line="560" w:lineRule="exact"/>
        <w:ind w:firstLine="0" w:firstLineChars="0"/>
        <w:rPr>
          <w:rFonts w:ascii="仿宋" w:hAnsi="仿宋" w:eastAsia="仿宋"/>
          <w:sz w:val="28"/>
          <w:szCs w:val="28"/>
        </w:rPr>
      </w:pPr>
      <w:bookmarkStart w:id="21" w:name="_Toc353046192"/>
      <w:r>
        <w:rPr>
          <w:rFonts w:hint="eastAsia" w:ascii="仿宋" w:hAnsi="仿宋" w:eastAsia="仿宋"/>
          <w:sz w:val="28"/>
          <w:szCs w:val="28"/>
        </w:rPr>
        <w:t>客户端信息与数据库的</w:t>
      </w:r>
      <w:bookmarkEnd w:id="21"/>
      <w:r>
        <w:rPr>
          <w:rFonts w:hint="eastAsia" w:ascii="仿宋" w:hAnsi="仿宋" w:eastAsia="仿宋"/>
          <w:sz w:val="28"/>
          <w:szCs w:val="28"/>
        </w:rPr>
        <w:t>储蓄</w:t>
      </w:r>
    </w:p>
    <w:p>
      <w:pPr>
        <w:spacing w:line="560" w:lineRule="exact"/>
        <w:ind w:firstLine="560"/>
        <w:rPr>
          <w:rFonts w:ascii="仿宋" w:hAnsi="仿宋" w:eastAsia="仿宋"/>
          <w:sz w:val="28"/>
          <w:szCs w:val="28"/>
        </w:rPr>
      </w:pPr>
      <w:r>
        <w:rPr>
          <w:rFonts w:hint="eastAsia" w:ascii="仿宋" w:hAnsi="仿宋" w:eastAsia="仿宋"/>
          <w:sz w:val="28"/>
          <w:szCs w:val="28"/>
        </w:rPr>
        <w:t>目前仅有一个总服务器，客户端的信息首先传输到总服务器。随着总用户量不断增加（</w:t>
      </w:r>
      <w:r>
        <w:rPr>
          <w:rFonts w:ascii="仿宋" w:hAnsi="仿宋" w:eastAsia="仿宋"/>
          <w:sz w:val="28"/>
          <w:szCs w:val="28"/>
        </w:rPr>
        <w:t>用户在线数量低峰100人次高峰</w:t>
      </w:r>
      <w:r>
        <w:rPr>
          <w:rFonts w:hint="eastAsia" w:ascii="仿宋" w:hAnsi="仿宋" w:eastAsia="仿宋"/>
          <w:sz w:val="28"/>
          <w:szCs w:val="28"/>
        </w:rPr>
        <w:t>8</w:t>
      </w:r>
      <w:r>
        <w:rPr>
          <w:rFonts w:ascii="仿宋" w:hAnsi="仿宋" w:eastAsia="仿宋"/>
          <w:sz w:val="28"/>
          <w:szCs w:val="28"/>
        </w:rPr>
        <w:t>000人次</w:t>
      </w:r>
      <w:r>
        <w:rPr>
          <w:rFonts w:hint="eastAsia" w:ascii="仿宋" w:hAnsi="仿宋" w:eastAsia="仿宋"/>
          <w:sz w:val="28"/>
          <w:szCs w:val="28"/>
        </w:rPr>
        <w:t>），系统内容框架会不断完善扩增，我们会设置分服务器，总服务器的信息传输到分服务器，实现信息交互。</w:t>
      </w:r>
    </w:p>
    <w:p>
      <w:pPr>
        <w:numPr>
          <w:ilvl w:val="2"/>
          <w:numId w:val="1"/>
        </w:numPr>
        <w:spacing w:line="560" w:lineRule="exact"/>
        <w:ind w:left="0" w:firstLineChars="0"/>
        <w:rPr>
          <w:rFonts w:ascii="仿宋" w:hAnsi="仿宋" w:eastAsia="仿宋"/>
          <w:b/>
          <w:bCs/>
          <w:sz w:val="30"/>
          <w:szCs w:val="30"/>
        </w:rPr>
        <w:sectPr>
          <w:pgSz w:w="11906" w:h="16838"/>
          <w:pgMar w:top="1440" w:right="1800" w:bottom="1440" w:left="1800" w:header="851" w:footer="992" w:gutter="0"/>
          <w:cols w:space="425" w:num="1"/>
          <w:docGrid w:type="lines" w:linePitch="312" w:charSpace="0"/>
        </w:sectPr>
      </w:pPr>
      <w:bookmarkStart w:id="22" w:name="_Toc353367124"/>
      <w:bookmarkStart w:id="23" w:name="_Toc30447_WPSOffice_Level3"/>
    </w:p>
    <w:p>
      <w:pPr>
        <w:numPr>
          <w:ilvl w:val="2"/>
          <w:numId w:val="1"/>
        </w:numPr>
        <w:spacing w:line="560" w:lineRule="exact"/>
        <w:ind w:left="0" w:firstLineChars="0"/>
        <w:outlineLvl w:val="2"/>
        <w:rPr>
          <w:rFonts w:ascii="仿宋" w:hAnsi="仿宋" w:eastAsia="仿宋"/>
          <w:sz w:val="30"/>
          <w:szCs w:val="30"/>
        </w:rPr>
      </w:pPr>
      <w:bookmarkStart w:id="24" w:name="_Toc27250_WPSOffice_Level3"/>
      <w:r>
        <w:rPr>
          <w:rFonts w:hint="eastAsia" w:ascii="仿宋" w:hAnsi="仿宋" w:eastAsia="仿宋"/>
          <w:b/>
          <w:bCs/>
          <w:sz w:val="30"/>
          <w:szCs w:val="30"/>
        </w:rPr>
        <w:t>效益可行性分析</w:t>
      </w:r>
      <w:bookmarkEnd w:id="22"/>
      <w:bookmarkEnd w:id="23"/>
      <w:bookmarkEnd w:id="24"/>
    </w:p>
    <w:p>
      <w:pPr>
        <w:spacing w:line="560" w:lineRule="exact"/>
        <w:ind w:firstLine="0" w:firstLineChars="0"/>
        <w:jc w:val="center"/>
        <w:outlineLvl w:val="1"/>
        <w:rPr>
          <w:rFonts w:ascii="仿宋" w:hAnsi="仿宋" w:eastAsia="仿宋"/>
          <w:sz w:val="28"/>
          <w:szCs w:val="28"/>
        </w:rPr>
      </w:pPr>
      <w:bookmarkStart w:id="25" w:name="_Toc20457_WPSOffice_Level2"/>
      <w:bookmarkStart w:id="26" w:name="_Toc28587_WPSOffice_Level2"/>
      <w:r>
        <w:rPr>
          <w:rFonts w:hint="eastAsia" w:ascii="仿宋" w:hAnsi="仿宋" w:eastAsia="仿宋"/>
          <w:sz w:val="28"/>
          <w:szCs w:val="28"/>
        </w:rPr>
        <w:t>表2-1-3 效益分析表</w:t>
      </w:r>
      <w:bookmarkEnd w:id="25"/>
      <w:bookmarkEnd w:id="26"/>
    </w:p>
    <w:tbl>
      <w:tblPr>
        <w:tblStyle w:val="3"/>
        <w:tblW w:w="5075" w:type="dxa"/>
        <w:jc w:val="center"/>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shd w:val="clear" w:color="auto" w:fill="CCFFFF"/>
        <w:tblLayout w:type="fixed"/>
        <w:tblCellMar>
          <w:top w:w="0" w:type="dxa"/>
          <w:left w:w="108" w:type="dxa"/>
          <w:bottom w:w="0" w:type="dxa"/>
          <w:right w:w="108" w:type="dxa"/>
        </w:tblCellMar>
      </w:tblPr>
      <w:tblGrid>
        <w:gridCol w:w="2168"/>
        <w:gridCol w:w="1299"/>
        <w:gridCol w:w="1608"/>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shd w:val="clear" w:color="auto" w:fill="CCFFFF"/>
          <w:tblCellMar>
            <w:top w:w="0" w:type="dxa"/>
            <w:left w:w="108" w:type="dxa"/>
            <w:bottom w:w="0" w:type="dxa"/>
            <w:right w:w="108" w:type="dxa"/>
          </w:tblCellMar>
        </w:tblPrEx>
        <w:trPr>
          <w:trHeight w:val="1906" w:hRule="atLeast"/>
          <w:jc w:val="center"/>
        </w:trPr>
        <w:tc>
          <w:tcPr>
            <w:tcW w:w="2168" w:type="dxa"/>
            <w:shd w:val="clear" w:color="auto" w:fill="00CCFF"/>
          </w:tcPr>
          <w:p>
            <w:pPr>
              <w:ind w:firstLine="360"/>
              <w:rPr>
                <w:rFonts w:ascii="宋体" w:hAnsi="宋体"/>
                <w:sz w:val="18"/>
                <w:szCs w:val="18"/>
              </w:rPr>
            </w:pPr>
            <w:r>
              <w:rPr>
                <w:rFonts w:hint="eastAsia" w:ascii="宋体" w:hAnsi="宋体"/>
                <w:sz w:val="18"/>
                <w:szCs w:val="18"/>
              </w:rPr>
              <w:t>项目</w:t>
            </w:r>
          </w:p>
        </w:tc>
        <w:tc>
          <w:tcPr>
            <w:tcW w:w="1299" w:type="dxa"/>
            <w:tcBorders>
              <w:bottom w:val="single" w:color="FFFFFF" w:sz="6" w:space="0"/>
            </w:tcBorders>
            <w:shd w:val="clear" w:color="auto" w:fill="00CCFF"/>
          </w:tcPr>
          <w:p>
            <w:pPr>
              <w:ind w:firstLine="360"/>
              <w:rPr>
                <w:rFonts w:ascii="宋体" w:hAnsi="宋体"/>
                <w:sz w:val="18"/>
                <w:szCs w:val="18"/>
              </w:rPr>
            </w:pPr>
            <w:r>
              <w:rPr>
                <w:rFonts w:hint="eastAsia" w:ascii="宋体" w:hAnsi="宋体"/>
                <w:sz w:val="18"/>
                <w:szCs w:val="18"/>
              </w:rPr>
              <w:t>成本/元</w:t>
            </w:r>
          </w:p>
        </w:tc>
        <w:tc>
          <w:tcPr>
            <w:tcW w:w="1608" w:type="dxa"/>
            <w:tcBorders>
              <w:bottom w:val="single" w:color="FFFFFF" w:sz="6" w:space="0"/>
            </w:tcBorders>
            <w:shd w:val="clear" w:color="auto" w:fill="00CCFF"/>
          </w:tcPr>
          <w:p>
            <w:pPr>
              <w:ind w:firstLine="360"/>
              <w:rPr>
                <w:rFonts w:ascii="宋体" w:hAnsi="宋体"/>
                <w:sz w:val="18"/>
                <w:szCs w:val="18"/>
              </w:rPr>
            </w:pPr>
            <w:r>
              <w:rPr>
                <w:rFonts w:hint="eastAsia" w:ascii="宋体" w:hAnsi="宋体"/>
                <w:sz w:val="18"/>
                <w:szCs w:val="18"/>
              </w:rPr>
              <w:t>费用/元</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942" w:hRule="atLeast"/>
          <w:jc w:val="center"/>
        </w:trPr>
        <w:tc>
          <w:tcPr>
            <w:tcW w:w="2168" w:type="dxa"/>
            <w:shd w:val="clear" w:color="auto" w:fill="00CCFF"/>
          </w:tcPr>
          <w:p>
            <w:pPr>
              <w:ind w:firstLine="0" w:firstLineChars="0"/>
              <w:jc w:val="center"/>
              <w:rPr>
                <w:sz w:val="18"/>
                <w:szCs w:val="18"/>
              </w:rPr>
            </w:pPr>
            <w:r>
              <w:rPr>
                <w:rFonts w:hint="eastAsia"/>
                <w:color w:val="000000"/>
                <w:sz w:val="18"/>
                <w:szCs w:val="18"/>
              </w:rPr>
              <w:t>服务器</w:t>
            </w:r>
          </w:p>
        </w:tc>
        <w:tc>
          <w:tcPr>
            <w:tcW w:w="1299" w:type="dxa"/>
            <w:shd w:val="clear" w:color="auto" w:fill="CCFFFF"/>
          </w:tcPr>
          <w:p>
            <w:pPr>
              <w:ind w:firstLine="360"/>
              <w:jc w:val="center"/>
              <w:rPr>
                <w:sz w:val="18"/>
                <w:szCs w:val="18"/>
              </w:rPr>
            </w:pPr>
            <w:r>
              <w:rPr>
                <w:rFonts w:hint="eastAsia"/>
                <w:color w:val="000000"/>
                <w:sz w:val="18"/>
                <w:szCs w:val="18"/>
              </w:rPr>
              <w:t>10000</w:t>
            </w:r>
          </w:p>
        </w:tc>
        <w:tc>
          <w:tcPr>
            <w:tcW w:w="1608" w:type="dxa"/>
            <w:shd w:val="clear" w:color="auto" w:fill="CCFFFF"/>
          </w:tcPr>
          <w:p>
            <w:pPr>
              <w:ind w:firstLine="0" w:firstLineChars="0"/>
              <w:jc w:val="center"/>
              <w:rPr>
                <w:sz w:val="18"/>
                <w:szCs w:val="18"/>
              </w:rPr>
            </w:pPr>
            <w:r>
              <w:rPr>
                <w:rFonts w:hint="eastAsia"/>
                <w:sz w:val="18"/>
                <w:szCs w:val="18"/>
              </w:rPr>
              <w:t>10000</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shd w:val="clear" w:color="auto" w:fill="CCFFFF"/>
          <w:tblCellMar>
            <w:top w:w="0" w:type="dxa"/>
            <w:left w:w="108" w:type="dxa"/>
            <w:bottom w:w="0" w:type="dxa"/>
            <w:right w:w="108" w:type="dxa"/>
          </w:tblCellMar>
        </w:tblPrEx>
        <w:trPr>
          <w:trHeight w:val="963" w:hRule="atLeast"/>
          <w:jc w:val="center"/>
        </w:trPr>
        <w:tc>
          <w:tcPr>
            <w:tcW w:w="2168" w:type="dxa"/>
            <w:shd w:val="clear" w:color="auto" w:fill="00CCFF"/>
          </w:tcPr>
          <w:p>
            <w:pPr>
              <w:ind w:firstLine="0" w:firstLineChars="0"/>
              <w:jc w:val="center"/>
              <w:rPr>
                <w:sz w:val="18"/>
                <w:szCs w:val="18"/>
              </w:rPr>
            </w:pPr>
            <w:r>
              <w:rPr>
                <w:rFonts w:hint="eastAsia"/>
                <w:color w:val="000000"/>
                <w:sz w:val="18"/>
                <w:szCs w:val="18"/>
              </w:rPr>
              <w:t>域名</w:t>
            </w:r>
          </w:p>
        </w:tc>
        <w:tc>
          <w:tcPr>
            <w:tcW w:w="1299" w:type="dxa"/>
            <w:shd w:val="clear" w:color="auto" w:fill="CCFFFF"/>
          </w:tcPr>
          <w:p>
            <w:pPr>
              <w:ind w:firstLine="360"/>
              <w:jc w:val="center"/>
              <w:rPr>
                <w:sz w:val="18"/>
                <w:szCs w:val="18"/>
              </w:rPr>
            </w:pPr>
            <w:r>
              <w:rPr>
                <w:rFonts w:hint="eastAsia"/>
                <w:color w:val="000000"/>
                <w:sz w:val="18"/>
                <w:szCs w:val="18"/>
              </w:rPr>
              <w:t>500</w:t>
            </w:r>
          </w:p>
        </w:tc>
        <w:tc>
          <w:tcPr>
            <w:tcW w:w="1608" w:type="dxa"/>
            <w:shd w:val="clear" w:color="auto" w:fill="CCFFFF"/>
          </w:tcPr>
          <w:p>
            <w:pPr>
              <w:ind w:firstLine="0" w:firstLineChars="0"/>
              <w:jc w:val="center"/>
              <w:rPr>
                <w:sz w:val="18"/>
                <w:szCs w:val="18"/>
              </w:rPr>
            </w:pPr>
            <w:r>
              <w:rPr>
                <w:rFonts w:hint="eastAsia"/>
                <w:sz w:val="18"/>
                <w:szCs w:val="18"/>
              </w:rPr>
              <w:t>500</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shd w:val="clear" w:color="auto" w:fill="CCFFFF"/>
          <w:tblCellMar>
            <w:top w:w="0" w:type="dxa"/>
            <w:left w:w="108" w:type="dxa"/>
            <w:bottom w:w="0" w:type="dxa"/>
            <w:right w:w="108" w:type="dxa"/>
          </w:tblCellMar>
        </w:tblPrEx>
        <w:trPr>
          <w:trHeight w:val="942" w:hRule="atLeast"/>
          <w:jc w:val="center"/>
        </w:trPr>
        <w:tc>
          <w:tcPr>
            <w:tcW w:w="2168" w:type="dxa"/>
            <w:shd w:val="clear" w:color="auto" w:fill="00CCFF"/>
          </w:tcPr>
          <w:p>
            <w:pPr>
              <w:ind w:firstLine="0" w:firstLineChars="0"/>
              <w:jc w:val="center"/>
              <w:rPr>
                <w:sz w:val="18"/>
                <w:szCs w:val="18"/>
              </w:rPr>
            </w:pPr>
            <w:r>
              <w:rPr>
                <w:rFonts w:hint="eastAsia"/>
                <w:color w:val="000000"/>
                <w:sz w:val="18"/>
                <w:szCs w:val="18"/>
              </w:rPr>
              <w:t>人力成本</w:t>
            </w:r>
          </w:p>
        </w:tc>
        <w:tc>
          <w:tcPr>
            <w:tcW w:w="1299" w:type="dxa"/>
            <w:shd w:val="clear" w:color="auto" w:fill="CCFFFF"/>
          </w:tcPr>
          <w:p>
            <w:pPr>
              <w:ind w:firstLine="360"/>
              <w:jc w:val="center"/>
              <w:rPr>
                <w:sz w:val="18"/>
                <w:szCs w:val="18"/>
              </w:rPr>
            </w:pPr>
            <w:r>
              <w:rPr>
                <w:rFonts w:hint="eastAsia"/>
                <w:color w:val="000000"/>
                <w:sz w:val="18"/>
                <w:szCs w:val="18"/>
              </w:rPr>
              <w:t>60000</w:t>
            </w:r>
          </w:p>
        </w:tc>
        <w:tc>
          <w:tcPr>
            <w:tcW w:w="1608" w:type="dxa"/>
            <w:shd w:val="clear" w:color="auto" w:fill="CCFFFF"/>
          </w:tcPr>
          <w:p>
            <w:pPr>
              <w:ind w:firstLine="0" w:firstLineChars="0"/>
              <w:jc w:val="center"/>
              <w:rPr>
                <w:sz w:val="18"/>
                <w:szCs w:val="18"/>
              </w:rPr>
            </w:pPr>
            <w:r>
              <w:rPr>
                <w:rFonts w:hint="eastAsia"/>
                <w:sz w:val="18"/>
                <w:szCs w:val="18"/>
              </w:rPr>
              <w:t>5000*12</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shd w:val="clear" w:color="auto" w:fill="CCFFFF"/>
          <w:tblCellMar>
            <w:top w:w="0" w:type="dxa"/>
            <w:left w:w="108" w:type="dxa"/>
            <w:bottom w:w="0" w:type="dxa"/>
            <w:right w:w="108" w:type="dxa"/>
          </w:tblCellMar>
        </w:tblPrEx>
        <w:trPr>
          <w:trHeight w:val="942" w:hRule="atLeast"/>
          <w:jc w:val="center"/>
        </w:trPr>
        <w:tc>
          <w:tcPr>
            <w:tcW w:w="2168" w:type="dxa"/>
            <w:shd w:val="clear" w:color="auto" w:fill="00CCFF"/>
          </w:tcPr>
          <w:p>
            <w:pPr>
              <w:ind w:firstLine="0" w:firstLineChars="0"/>
              <w:jc w:val="center"/>
              <w:rPr>
                <w:sz w:val="18"/>
                <w:szCs w:val="18"/>
              </w:rPr>
            </w:pPr>
            <w:r>
              <w:rPr>
                <w:rFonts w:hint="eastAsia"/>
                <w:color w:val="000000"/>
                <w:sz w:val="18"/>
                <w:szCs w:val="18"/>
              </w:rPr>
              <w:t>宣传成本</w:t>
            </w:r>
          </w:p>
        </w:tc>
        <w:tc>
          <w:tcPr>
            <w:tcW w:w="1299" w:type="dxa"/>
            <w:shd w:val="clear" w:color="auto" w:fill="CCFFFF"/>
          </w:tcPr>
          <w:p>
            <w:pPr>
              <w:ind w:firstLine="360"/>
              <w:jc w:val="center"/>
              <w:rPr>
                <w:sz w:val="18"/>
                <w:szCs w:val="18"/>
              </w:rPr>
            </w:pPr>
            <w:r>
              <w:rPr>
                <w:rFonts w:hint="eastAsia"/>
                <w:color w:val="000000"/>
                <w:sz w:val="18"/>
                <w:szCs w:val="18"/>
              </w:rPr>
              <w:t>2000</w:t>
            </w:r>
          </w:p>
        </w:tc>
        <w:tc>
          <w:tcPr>
            <w:tcW w:w="1608" w:type="dxa"/>
            <w:shd w:val="clear" w:color="auto" w:fill="CCFFFF"/>
          </w:tcPr>
          <w:p>
            <w:pPr>
              <w:ind w:firstLine="0" w:firstLineChars="0"/>
              <w:jc w:val="center"/>
              <w:rPr>
                <w:sz w:val="18"/>
                <w:szCs w:val="18"/>
              </w:rPr>
            </w:pPr>
            <w:r>
              <w:rPr>
                <w:rFonts w:hint="eastAsia"/>
                <w:sz w:val="18"/>
                <w:szCs w:val="18"/>
              </w:rPr>
              <w:t>2000</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942" w:hRule="atLeast"/>
          <w:jc w:val="center"/>
        </w:trPr>
        <w:tc>
          <w:tcPr>
            <w:tcW w:w="2168" w:type="dxa"/>
            <w:shd w:val="clear" w:color="auto" w:fill="00CCFF"/>
          </w:tcPr>
          <w:p>
            <w:pPr>
              <w:ind w:firstLine="0" w:firstLineChars="0"/>
              <w:jc w:val="center"/>
              <w:rPr>
                <w:sz w:val="18"/>
                <w:szCs w:val="18"/>
              </w:rPr>
            </w:pPr>
            <w:r>
              <w:rPr>
                <w:rFonts w:hint="eastAsia"/>
                <w:sz w:val="18"/>
                <w:szCs w:val="18"/>
              </w:rPr>
              <w:t>预计产生的经济效益</w:t>
            </w:r>
          </w:p>
        </w:tc>
        <w:tc>
          <w:tcPr>
            <w:tcW w:w="1299" w:type="dxa"/>
            <w:shd w:val="clear" w:color="auto" w:fill="CCFFFF"/>
          </w:tcPr>
          <w:p>
            <w:pPr>
              <w:ind w:firstLine="0" w:firstLineChars="0"/>
              <w:jc w:val="center"/>
              <w:rPr>
                <w:sz w:val="18"/>
                <w:szCs w:val="18"/>
              </w:rPr>
            </w:pPr>
          </w:p>
        </w:tc>
        <w:tc>
          <w:tcPr>
            <w:tcW w:w="1608" w:type="dxa"/>
            <w:shd w:val="clear" w:color="auto" w:fill="CCFFFF"/>
          </w:tcPr>
          <w:p>
            <w:pPr>
              <w:ind w:firstLine="0" w:firstLineChars="0"/>
              <w:jc w:val="center"/>
              <w:rPr>
                <w:sz w:val="18"/>
                <w:szCs w:val="18"/>
              </w:rPr>
            </w:pPr>
            <w:r>
              <w:rPr>
                <w:rFonts w:hint="eastAsia"/>
                <w:sz w:val="18"/>
                <w:szCs w:val="18"/>
              </w:rPr>
              <w:t>47500</w:t>
            </w:r>
          </w:p>
        </w:tc>
      </w:tr>
    </w:tbl>
    <w:p>
      <w:pPr>
        <w:spacing w:line="560" w:lineRule="exact"/>
        <w:ind w:firstLine="0" w:firstLineChars="0"/>
        <w:jc w:val="center"/>
        <w:rPr>
          <w:rFonts w:ascii="仿宋" w:hAnsi="仿宋" w:eastAsia="仿宋"/>
          <w:sz w:val="28"/>
          <w:szCs w:val="28"/>
        </w:rPr>
      </w:pPr>
    </w:p>
    <w:p>
      <w:pPr>
        <w:rPr>
          <w:rFonts w:hint="eastAsia" w:ascii="仿宋" w:hAnsi="仿宋" w:eastAsia="仿宋"/>
          <w:sz w:val="28"/>
          <w:szCs w:val="28"/>
        </w:rPr>
      </w:pPr>
      <w:r>
        <w:rPr>
          <w:rFonts w:hint="eastAsia" w:ascii="仿宋" w:hAnsi="仿宋" w:eastAsia="仿宋"/>
          <w:sz w:val="28"/>
          <w:szCs w:val="28"/>
        </w:rPr>
        <w:t>由表2-1-3可得，我们针对小程序第一年可以获得的收益进行了分析。目前小程序每年合计成本需要花费72500元，一年之中我们需要对程序进行后台维护，技术更新，防止中间使用过程中出现错误。考虑到其他费用，例如工作室成本以及日常工作物资易耗品的管理费用等等，最后审核下来超市自助结账设备可以带来4万多的收益。</w:t>
      </w:r>
    </w:p>
    <w:p>
      <w:pPr>
        <w:pStyle w:val="2"/>
        <w:numPr>
          <w:ilvl w:val="2"/>
          <w:numId w:val="1"/>
        </w:numPr>
        <w:ind w:firstLineChars="0"/>
        <w:rPr>
          <w:rFonts w:ascii="仿宋" w:hAnsi="仿宋" w:eastAsia="仿宋" w:cs="仿宋"/>
          <w:sz w:val="30"/>
          <w:szCs w:val="30"/>
        </w:rPr>
      </w:pPr>
      <w:bookmarkStart w:id="27" w:name="_Toc9499_WPSOffice_Level3"/>
      <w:bookmarkStart w:id="28" w:name="_Toc24869_WPSOffice_Level3"/>
      <w:bookmarkStart w:id="29" w:name="_Toc353367136"/>
      <w:bookmarkStart w:id="30" w:name="_Toc351736060"/>
      <w:bookmarkStart w:id="31" w:name="_Toc353286582"/>
      <w:bookmarkStart w:id="32" w:name="_Toc10858"/>
      <w:r>
        <w:rPr>
          <w:rFonts w:hint="eastAsia" w:ascii="仿宋" w:hAnsi="仿宋" w:eastAsia="仿宋" w:cs="仿宋"/>
          <w:sz w:val="30"/>
          <w:szCs w:val="30"/>
        </w:rPr>
        <w:t>潜在进入者</w:t>
      </w:r>
      <w:bookmarkEnd w:id="27"/>
      <w:bookmarkEnd w:id="28"/>
      <w:bookmarkEnd w:id="29"/>
      <w:bookmarkEnd w:id="30"/>
      <w:bookmarkEnd w:id="31"/>
      <w:bookmarkEnd w:id="32"/>
    </w:p>
    <w:p>
      <w:pPr>
        <w:ind w:firstLine="560"/>
        <w:rPr>
          <w:rFonts w:ascii="仿宋" w:hAnsi="仿宋" w:eastAsia="仿宋" w:cs="仿宋"/>
          <w:sz w:val="28"/>
          <w:szCs w:val="28"/>
        </w:rPr>
      </w:pPr>
      <w:r>
        <w:rPr>
          <w:rFonts w:hint="eastAsia" w:ascii="仿宋" w:hAnsi="仿宋" w:eastAsia="仿宋" w:cs="仿宋"/>
          <w:sz w:val="28"/>
          <w:szCs w:val="28"/>
        </w:rPr>
        <w:t>在目前看来，我们的系统还是较新颖，同类产品较少，且同类产品中我们的第二课堂成绩系统的用户体验算比较好的。但是随着科技发展，新加入者的数量以及质量都难以预测，但从准入门槛与行业趋势上看，新加入者必然不会在少数，且会对我公司造成一定威胁。因此必须起步后快速发展，占有市场，以先手发展的优势压倒他们。同时，我们讲利用知识产权这一核心竞争力，维持自己在利润链的上游，挤压新进入者的生存空间。</w:t>
      </w:r>
    </w:p>
    <w:p>
      <w:pPr>
        <w:rPr>
          <w:rFonts w:hint="default" w:ascii="仿宋" w:hAnsi="仿宋" w:eastAsia="仿宋"/>
          <w:sz w:val="28"/>
          <w:szCs w:val="28"/>
          <w:lang w:val="en-US" w:eastAsia="zh-CN"/>
        </w:rPr>
      </w:pPr>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EECD3"/>
    <w:multiLevelType w:val="multilevel"/>
    <w:tmpl w:val="367EECD3"/>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330A1"/>
    <w:rsid w:val="3083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2019-11-02T09:09:00Z</dcterms:created>
  <dc:creator>管怡琪</dc:creator>
  <cp:lastModifiedBy>管怡琪</cp:lastModifiedBy>
  <dcterms:modified xsi:type="dcterms:W3CDTF">2019-11-02T12:06:52Z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