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Folsom水库供水保障与防洪约束下的调度策略比较</w:t>
      </w:r>
    </w:p>
    <w:p>
      <w:pPr>
        <w:pStyle w:val="Subtitle"/>
      </w:pPr>
      <w:r>
        <w:t>基于官方水文输入与情景需水的可复现研究</w:t>
      </w:r>
    </w:p>
    <w:p>
      <w:r>
        <w:t>研究日期：2026-10-22。版本：数值时间步长修正版。研究性质：课程尺度的真实案例情景试验。研究对象为美国加州Folsom水库；本文不声称复现其真实历史管理，也不提出可直接投入工程运行的调度规程。原版低库容隔日振荡及相关统计已更正，以本版为准。</w:t>
      </w:r>
    </w:p>
    <w:p>
      <w:pPr>
        <w:pStyle w:val="Heading1"/>
      </w:pPr>
      <w:r>
        <w:t>摘要</w:t>
      </w:r>
    </w:p>
    <w:p>
      <w:r>
        <w:t>水库供水、防洪和生态保障之间存在取舍。本研究先审查公开项目数据，再以加州CDEC官方日入流和计算蒸发为驱动，选取七个字段完整、标记合格的完整水文年，建立带库容、出库能力、季节控制库容与最低下泄代理的日水量平衡模型。比较按需求供给A、固定分级限水B和网格优化连续限水C。仅使用2000、2003、2007年选择C的参数，2011、2012、2015、2016年用于独立检验，并补充连续枯水、历史洪水与参数敏感性分析。</w:t>
      </w:r>
    </w:p>
    <w:p>
      <w:r>
        <w:t>四个检验年份等权平均的目标下泄体积满足率：A为91.47%，B为87.15%，C为88.77%。C的相对缺水平方均值较A降低10.31%，但完全满足日比例由92.33%降为52.60%。在连续1036天枯水窗口中，B的缺水平方指标又优于C。1997年洪水窗口中三策略结果一致，说明共用防洪约束主导洪水期运行；放大入流会暴露溢流和下游安全阈值超出。</w:t>
      </w:r>
    </w:p>
    <w:p>
      <w:r>
        <w:t>结果不支持“优化限水在所有条件下更好”。常规条件下A效率更高；有明确减轻严重缺水偏好时可考虑B或C，但应接受更多限水日及较低总体满足率。真实需水、用户分配和水温资料不足，限制了经济、公平及生态结论。</w:t>
      </w:r>
    </w:p>
    <w:p>
      <w:pPr>
        <w:pStyle w:val="Heading1"/>
      </w:pPr>
      <w:r>
        <w:t>1 研究问题 系统边界与现实意义</w:t>
      </w:r>
    </w:p>
    <w:p>
      <w:r>
        <w:t>Folsom承担防洪、供水、发电及其他功能，其运行涉及USBR、USACE、地方水务机构、下游居民和生态利益相关者。[1][2] 本文研究的问题是：在相同水文输入和运行边界下，提前限水能否减轻严重缺水；这种收益需要付出多少供给效率与限制持续时间的代价；强洪水时是否仍存在不可满足的控制目标。</w:t>
      </w:r>
    </w:p>
    <w:p>
      <w:r>
        <w:t>系统边界为Folsom单库及一个汇总下游目标，不显式模拟Nimbus调节、上游水库、管网、支流、取水与河道洪水演进。总下泄只能作为供给和生态目标的代理，不能直接等同于用户消耗水或下游河段实际流量。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36"/>
        <w:gridCol w:w="2421"/>
        <w:gridCol w:w="5809"/>
      </w:tblGrid>
      <w:tr>
        <w:trPr>
          <w:tblHeader/>
          <w:cantSplit/>
        </w:trPr>
        <w:tc>
          <w:tcPr>
            <w:tcW w:type="dxa" w:w="193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利益相关者</w:t>
            </w:r>
          </w:p>
        </w:tc>
        <w:tc>
          <w:tcPr>
            <w:tcW w:type="dxa" w:w="24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关注目标</w:t>
            </w:r>
          </w:p>
        </w:tc>
        <w:tc>
          <w:tcPr>
            <w:tcW w:type="dxa" w:w="580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在本研究中的表达与限制</w:t>
            </w:r>
          </w:p>
        </w:tc>
      </w:tr>
      <w:tr>
        <w:trPr>
          <w:cantSplit/>
        </w:trPr>
        <w:tc>
          <w:tcPr>
            <w:tcW w:type="dxa" w:w="193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水库与水资源管理者</w:t>
            </w:r>
          </w:p>
        </w:tc>
        <w:tc>
          <w:tcPr>
            <w:tcW w:type="dxa" w:w="24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供给、储备、运行可行性</w:t>
            </w:r>
          </w:p>
        </w:tc>
        <w:tc>
          <w:tcPr>
            <w:tcW w:type="dxa" w:w="580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目标满足率、年末储备、出库约束</w:t>
            </w:r>
          </w:p>
        </w:tc>
      </w:tr>
      <w:tr>
        <w:trPr>
          <w:cantSplit/>
        </w:trPr>
        <w:tc>
          <w:tcPr>
            <w:tcW w:type="dxa" w:w="193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防洪管理及下游居民</w:t>
            </w:r>
          </w:p>
        </w:tc>
        <w:tc>
          <w:tcPr>
            <w:tcW w:type="dxa" w:w="24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防洪空间及下泄风险</w:t>
            </w:r>
          </w:p>
        </w:tc>
        <w:tc>
          <w:tcPr>
            <w:tcW w:type="dxa" w:w="580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控制库容超出和简化下泄阈值，非淹没损失</w:t>
            </w:r>
          </w:p>
        </w:tc>
      </w:tr>
      <w:tr>
        <w:trPr>
          <w:cantSplit/>
        </w:trPr>
        <w:tc>
          <w:tcPr>
            <w:tcW w:type="dxa" w:w="193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城乡及农业用户</w:t>
            </w:r>
          </w:p>
        </w:tc>
        <w:tc>
          <w:tcPr>
            <w:tcW w:type="dxa" w:w="24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可用水量与限水负担</w:t>
            </w:r>
          </w:p>
        </w:tc>
        <w:tc>
          <w:tcPr>
            <w:tcW w:type="dxa" w:w="580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只有汇总目标，无法分别计算群体效益</w:t>
            </w:r>
          </w:p>
        </w:tc>
      </w:tr>
      <w:tr>
        <w:trPr>
          <w:cantSplit/>
        </w:trPr>
        <w:tc>
          <w:tcPr>
            <w:tcW w:type="dxa" w:w="193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生态管理者及河流生态</w:t>
            </w:r>
          </w:p>
        </w:tc>
        <w:tc>
          <w:tcPr>
            <w:tcW w:type="dxa" w:w="24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流量、冷水、水温和栖息地</w:t>
            </w:r>
          </w:p>
        </w:tc>
        <w:tc>
          <w:tcPr>
            <w:tcW w:type="dxa" w:w="580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仅最低流量与低库容代理，未模拟水温和生物响应</w:t>
            </w:r>
          </w:p>
        </w:tc>
      </w:tr>
    </w:tbl>
    <w:p>
      <w:pPr>
        <w:spacing w:after="40"/>
      </w:pPr>
    </w:p>
    <w:p>
      <w:pPr>
        <w:pStyle w:val="Heading1"/>
      </w:pPr>
      <w:r>
        <w:t>2 数据审查与研究样本</w:t>
      </w:r>
    </w:p>
    <w:p>
      <w:pPr>
        <w:pStyle w:val="Heading2"/>
      </w:pPr>
      <w:r>
        <w:t>2.1 数据来源和清洗</w:t>
      </w:r>
    </w:p>
    <w:p>
      <w:r>
        <w:t>官方数据来自CDEC FOL站，原下载范围为1994-01-01至2016-09-30。[3] 传感器15、76、23、74、94分别对应蓄水、入流、出流、计算蒸发和防洪控制库容。原始AF除以1000转为TAF；日均CFS乘以86.4/43560转为TAF/day。1 TAF约为123.348万m³。所有原始文件、下载地址和哈希均保留。</w:t>
      </w:r>
    </w:p>
    <w:p>
      <w:r>
        <w:t>前期GitHub长序列虽在1955年后没有数值空缺，仍含疑似入流下限处理及较大水量平衡偏差。因此本文没有把“无空值”当作有效性证明，也没有用该序列填补官方缺测。[4] CDEC全量表同样保留缺失、来源标记和OBS DATE差异，详细见配套数据清洗报告。</w:t>
      </w:r>
    </w:p>
    <w:p>
      <w:r>
        <w:t>本试验的外生驱动只有入流与蒸发。入选水文年要求二者每日完整、非负、来源标记为空且无跨日观测时间问题；其他字段缺测不影响其作为驱动年份，但不能据此声称这些年份的官方防洪约束已完整。2002年虽驱动数值齐全，但存在来源标记，未纳入参数选择。没有插值、负值截零或非相邻时段拼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33"/>
        <w:gridCol w:w="2829"/>
        <w:gridCol w:w="3183"/>
        <w:gridCol w:w="2122"/>
      </w:tblGrid>
      <w:tr>
        <w:trPr>
          <w:tblHeader/>
          <w:cantSplit/>
        </w:trPr>
        <w:tc>
          <w:tcPr>
            <w:tcW w:type="dxa" w:w="203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水文年</w:t>
            </w:r>
          </w:p>
        </w:tc>
        <w:tc>
          <w:tcPr>
            <w:tcW w:type="dxa" w:w="282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用途</w:t>
            </w:r>
          </w:p>
        </w:tc>
        <w:tc>
          <w:tcPr>
            <w:tcW w:type="dxa" w:w="318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年入流/TAF</w:t>
            </w:r>
          </w:p>
        </w:tc>
        <w:tc>
          <w:tcPr>
            <w:tcW w:type="dxa" w:w="212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天数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2000</w:t>
            </w:r>
          </w:p>
        </w:tc>
        <w:tc>
          <w:tcPr>
            <w:tcW w:type="dxa" w:w="282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参数选择</w:t>
            </w:r>
          </w:p>
        </w:tc>
        <w:tc>
          <w:tcPr>
            <w:tcW w:type="dxa" w:w="318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2731.04</w:t>
            </w:r>
          </w:p>
        </w:tc>
        <w:tc>
          <w:tcPr>
            <w:tcW w:type="dxa" w:w="212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366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2003</w:t>
            </w:r>
          </w:p>
        </w:tc>
        <w:tc>
          <w:tcPr>
            <w:tcW w:type="dxa" w:w="282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参数选择</w:t>
            </w:r>
          </w:p>
        </w:tc>
        <w:tc>
          <w:tcPr>
            <w:tcW w:type="dxa" w:w="318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2401.87</w:t>
            </w:r>
          </w:p>
        </w:tc>
        <w:tc>
          <w:tcPr>
            <w:tcW w:type="dxa" w:w="212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365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2007</w:t>
            </w:r>
          </w:p>
        </w:tc>
        <w:tc>
          <w:tcPr>
            <w:tcW w:type="dxa" w:w="282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参数选择</w:t>
            </w:r>
          </w:p>
        </w:tc>
        <w:tc>
          <w:tcPr>
            <w:tcW w:type="dxa" w:w="318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1484.66</w:t>
            </w:r>
          </w:p>
        </w:tc>
        <w:tc>
          <w:tcPr>
            <w:tcW w:type="dxa" w:w="212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365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2011</w:t>
            </w:r>
          </w:p>
        </w:tc>
        <w:tc>
          <w:tcPr>
            <w:tcW w:type="dxa" w:w="282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独立检验</w:t>
            </w:r>
          </w:p>
        </w:tc>
        <w:tc>
          <w:tcPr>
            <w:tcW w:type="dxa" w:w="318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4831.60</w:t>
            </w:r>
          </w:p>
        </w:tc>
        <w:tc>
          <w:tcPr>
            <w:tcW w:type="dxa" w:w="212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365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2012</w:t>
            </w:r>
          </w:p>
        </w:tc>
        <w:tc>
          <w:tcPr>
            <w:tcW w:type="dxa" w:w="282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独立检验</w:t>
            </w:r>
          </w:p>
        </w:tc>
        <w:tc>
          <w:tcPr>
            <w:tcW w:type="dxa" w:w="318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1740.02</w:t>
            </w:r>
          </w:p>
        </w:tc>
        <w:tc>
          <w:tcPr>
            <w:tcW w:type="dxa" w:w="212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366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2015</w:t>
            </w:r>
          </w:p>
        </w:tc>
        <w:tc>
          <w:tcPr>
            <w:tcW w:type="dxa" w:w="282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独立检验</w:t>
            </w:r>
          </w:p>
        </w:tc>
        <w:tc>
          <w:tcPr>
            <w:tcW w:type="dxa" w:w="318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869.25</w:t>
            </w:r>
          </w:p>
        </w:tc>
        <w:tc>
          <w:tcPr>
            <w:tcW w:type="dxa" w:w="212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365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2016</w:t>
            </w:r>
          </w:p>
        </w:tc>
        <w:tc>
          <w:tcPr>
            <w:tcW w:type="dxa" w:w="282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独立检验</w:t>
            </w:r>
          </w:p>
        </w:tc>
        <w:tc>
          <w:tcPr>
            <w:tcW w:type="dxa" w:w="318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2536.91</w:t>
            </w:r>
          </w:p>
        </w:tc>
        <w:tc>
          <w:tcPr>
            <w:tcW w:type="dxa" w:w="212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366</w:t>
            </w:r>
          </w:p>
        </w:tc>
      </w:tr>
    </w:tbl>
    <w:p>
      <w:pPr>
        <w:spacing w:after="40"/>
      </w:pPr>
    </w:p>
    <w:p>
      <w:r>
        <w:t>七个独立年合计2558天，水文年为上一年10月1日至当年9月30日。样本按数据可用性选择，不是随机抽样，不能用其频率估计长期事件概率。各独立年均从466.1 TAF开始，属于共同初始条件，而非逐年真实初始状态。为检验这一设定的局限，另分析初始250、700 TAF及连续跨年窗口。</w:t>
      </w:r>
    </w:p>
    <w:p>
      <w:pPr>
        <w:pStyle w:val="Heading2"/>
      </w:pPr>
      <w:r>
        <w:t>2.2 需水和约束的证据等级</w:t>
      </w:r>
    </w:p>
    <w:p>
      <w:r>
        <w:t>需水采用公开项目demand.txt前365项，最后一项是第一项的重复端点，未重复计入年总量。[4] 365日合计1861.043 TAF。按月日映射；2月29日取2月28日与3月1日均值。该曲线表示汇总有益下泄目标，不是经核实的实际逐年需水。</w:t>
      </w:r>
    </w:p>
    <w:p>
      <w:r>
        <w:t>库容上限975 TAF、保留库容90 TAF、出库能力曲线和季节控制曲线来自项目配置，属于明确的模型设定。[4] 官方背景资料中的容量数值随资料和时期有所区别；本文另以977 TAF检查敏感性，不擅自将975 TAF设定称为现行官方容量。[1][2]</w:t>
      </w:r>
    </w:p>
    <w:p>
      <w:r>
        <w:t>2011水文年的五项官方字段均通过前期筛查，日平衡残差最大约0.001215 TAF。它用于单位核查以及将简化控制曲线替换为官方报告TOCS的敏感性分析。后者是约束回放，不是可预报运行策略；官方TOCS可能包含当时预测与上游信息。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2305594"/>
            <wp:docPr id="1" name="Picture 1" descr="图1 数据与控制曲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puts_and_constrai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2305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数据与控制曲线</w:t>
      </w:r>
    </w:p>
    <w:p>
      <w:r>
        <w:t>图1中2015年入流最小、2011年最大，仅表示本样本内排序。右图说明项目冬季400 TAF控制库容与2011官方报告的约577 TAF等控制库容存在明显区别；不能把固定简化曲线当作真实逐日规程。</w:t>
      </w:r>
    </w:p>
    <w:p>
      <w:pPr>
        <w:pStyle w:val="Heading1"/>
      </w:pPr>
      <w:r>
        <w:t>3 可计算模型</w:t>
      </w:r>
    </w:p>
    <w:p>
      <w:pPr>
        <w:pStyle w:val="Heading2"/>
      </w:pPr>
      <w:r>
        <w:t>3.1 状态 决策与水量平衡</w:t>
      </w:r>
    </w:p>
    <w:p>
      <w:r>
        <w:t>每日状态为日初库容S，输入为日入流Q、蒸发E、汇总目标D、最低流量代理F和控制库容T。决策为目标下泄u，经物理限制后得到控制下泄r与非控制溢流w。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255520" cy="1584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55520" cy="158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定义日可用水量A = S_begin + Q - E，主动腾库需求f = max(A - T, 0)。控制出库能力C(S_begin)由下列点线性插值得到，单位为cfs，并换为日水量：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1614"/>
        <w:gridCol w:w="1614"/>
        <w:gridCol w:w="1614"/>
        <w:gridCol w:w="1614"/>
        <w:gridCol w:w="1614"/>
      </w:tblGrid>
      <w:tr>
        <w:trPr>
          <w:tblHeader/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库容/TAF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90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100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400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600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975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控制出库能力/cfs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35000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40000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115000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130000</w:t>
            </w:r>
          </w:p>
        </w:tc>
      </w:tr>
    </w:tbl>
    <w:p>
      <w:pPr>
        <w:spacing w:after="40"/>
      </w:pPr>
    </w:p>
    <w:p>
      <w:r>
        <w:t>为避免低水位出库能力随库容急变时的日步长振荡，每日分成24个内部子步，dt=1/24天，日入流、蒸发率和目标在日内均匀分配，出库能力随子步库容更新。这是数值积分，不是获得了实际小时观测数据。子步计算为：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679448" cy="1737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79448" cy="173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548384" cy="1737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48384" cy="173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3822191" cy="1737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2191" cy="173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090928" cy="1737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90928" cy="173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554480" cy="15849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58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将子步下泄和溢流加总得到每日r、w；上式C已从cfs换算为TAF/day，子步r_k、w_k为TAF。总量守恒与出库能力约束仍逐子步、逐日检查。</w:t>
      </w:r>
    </w:p>
    <w:p>
      <w:r>
        <w:t>控制能力不足时，日末库容可能超过T；该情况作为控制目标未满足报告，不强制伪造可行性。超过物理上限的水通过w计入非控制溢流；若r+w超过130000 cfs对应日水量，则记录安全阈值超出。这个处理维持模型水量平衡，不证明真实溢洪道过程或下游行洪安全。</w:t>
      </w:r>
    </w:p>
    <w:p>
      <w:r>
        <w:t>所有策略共用相同的T、控制能力、容量和低库容约束。日内Q在计算下泄时视为可得，同日信息条件对全部策略一致；没有使用未来日入流优化。真实运行仍需预报误差、小时过程与水力模型。</w:t>
      </w:r>
    </w:p>
    <w:p>
      <w:pPr>
        <w:pStyle w:val="Heading2"/>
      </w:pPr>
      <w:r>
        <w:t>3.2 控制曲线与生态代理</w:t>
      </w:r>
    </w:p>
    <w:p>
      <w:r>
        <w:t>固定控制曲线按水文年日序线性插值：(0,975)、(50,400)、(151,400)、(200,750)、(243,975)、(366,975)，单位TAF。[4] 闰日保留，因此与原项目删除闰日的做法有一个日序差异，属于本文声明的时间约定。</w:t>
      </w:r>
    </w:p>
    <w:p>
      <w:r>
        <w:t>生态流量代理采用手册引用的D-893历史低流量线：1月1日至9月14日250 cfs，9月15日至12月31日500 cfs。[2] 这些要求针对Nimbus以下河段，且手册说明较新的生态要求通常更复杂、更高。本文只将它作为简化筛查基线，不能据此宣称满足当时或现行生态法规。</w:t>
      </w:r>
    </w:p>
    <w:p>
      <w:r>
        <w:t>最低代理通过u = max(策略目标, F)施加；它与有益下泄由同一股出流服务，没有额外重复扣水。对应目标满足量Y = min(D, r+w)。这隐含同日出流可用于目标的假设，未考虑输配能力；因此所有“供给满足率”在本文均指目标下泄满足率。</w:t>
      </w:r>
    </w:p>
    <w:p>
      <w:pPr>
        <w:pStyle w:val="Heading2"/>
      </w:pPr>
      <w:r>
        <w:t>3.3 三种管理策略</w:t>
      </w:r>
    </w:p>
    <w:p>
      <w:r>
        <w:t>策略A：u = max(D,F)。优先满足当日目标，有水且能力允许时不主动限制。</w:t>
      </w:r>
    </w:p>
    <w:p>
      <w:r>
        <w:t>策略B：定义相对有效库容z = clip((S_begin-90)/(T-90), 0, 1)。z低于0.5时给出0.6D，否则D；再与F取最大值。0.6是指令比例，物理缺水时不保证实际达到60%。</w:t>
      </w:r>
    </w:p>
    <w:p>
      <w:r>
        <w:t>策略C：目标比例a = alpha + (1-alpha) min(1, z/theta)，再取u = max(aD,F)。这是一种连续限水规则，接受较轻的当前缺口以降低后续较严重缺口的可能性，符合hedging的基本思想。[5] 本文规则及参数搜索范围是自行声明的简化实现，不直接照搬文献最优结论。</w:t>
      </w:r>
    </w:p>
    <w:p>
      <w:pPr>
        <w:pStyle w:val="Heading2"/>
      </w:pPr>
      <w:r>
        <w:t>3.4 参数选择与独立检验</w:t>
      </w:r>
    </w:p>
    <w:p>
      <w:r>
        <w:t>theta候选为0.2、0.35、0.5、0.65、0.8、1.0；alpha候选为0.1、0.25、0.4、0.55、0.7、0.85、1.0，共42组。目标函数为训练年原入流与80%入流共六个情景等权平均：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4678680" cy="5181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8680" cy="518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平方缺水惩罚表达对严重缺口的厌恶；300 TAF和0.05是储备偏好，不是法律底线或经济价值。网格内选中theta=0.65、alpha=0.55，训练目标J=0.016472。随后冻结参数，不用检验年份重新选择。结果只称为给定规则与网格内的参数优化，不称为全球最优调度。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49648" cy="3474720"/>
            <wp:docPr id="9" name="Picture 9" descr="图2 参数搜索与训练目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arameter_searc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9648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参数搜索与训练目标</w:t>
      </w:r>
    </w:p>
    <w:p>
      <w:pPr>
        <w:pStyle w:val="Heading1"/>
      </w:pPr>
      <w:r>
        <w:t>4 评价指标</w:t>
      </w:r>
    </w:p>
    <w:p>
      <w:r>
        <w:t>体积满足率为1-sum(deficit)/sum(D)；完全满足日比例要求日缺口不超过1e-7 TAF。相对缺水平方均值为日(deficit/D)平方的均值，最大日缺水率和最长连续缺水天数分别衡量严重程度与持续性。恢复率为缺水日向满足日转移次数除以存在次日的缺水日数；无缺水时记为不适用，不填0。可靠性、恢复和脆弱性分开评价的思想参考Hashimoto等。[6]</w:t>
      </w:r>
    </w:p>
    <w:p>
      <w:r>
        <w:t>为避免严格完全满足指标放大小限制的影响，另报告至少满足95%和90%目标的日比例。跨独立年份不计算边界状态转移，四个检验年份按年等权汇总，不将四年视为连续运行。</w:t>
      </w:r>
    </w:p>
    <w:p>
      <w:r>
        <w:t>生态代理不足日数与低库容天数仅是流量及储备筛查。公平方面，记录供给低于50%汇总目标的天数，作为假设性基本保障暴露；这一指标不代表真实贫困群体、农业和城镇之间的分配公平。没有实际价格、用户损失和工程投资数据，故不计算虚构的净经济收益。</w:t>
      </w:r>
    </w:p>
    <w:p>
      <w:pPr>
        <w:pStyle w:val="Heading1"/>
      </w:pPr>
      <w:r>
        <w:t>5 独立检验结果</w:t>
      </w:r>
    </w:p>
    <w:p>
      <w:pPr>
        <w:pStyle w:val="Heading2"/>
      </w:pPr>
      <w:r>
        <w:t>5.1 总体取舍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42"/>
        <w:gridCol w:w="1672"/>
        <w:gridCol w:w="1672"/>
        <w:gridCol w:w="2274"/>
        <w:gridCol w:w="2007"/>
      </w:tblGrid>
      <w:tr>
        <w:trPr>
          <w:tblHeader/>
          <w:cantSplit/>
        </w:trPr>
        <w:tc>
          <w:tcPr>
            <w:tcW w:type="dxa" w:w="25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策略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体积满足率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完全满足日比例</w:t>
            </w:r>
          </w:p>
        </w:tc>
        <w:tc>
          <w:tcPr>
            <w:tcW w:type="dxa" w:w="22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相对缺水平方均值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平均年末库容/TAF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A 按需求供给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91.47%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92.33%</w:t>
            </w:r>
          </w:p>
        </w:tc>
        <w:tc>
          <w:tcPr>
            <w:tcW w:type="dxa" w:w="22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0.04872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433.67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B 固定分级限水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87.15%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74.96%</w:t>
            </w:r>
          </w:p>
        </w:tc>
        <w:tc>
          <w:tcPr>
            <w:tcW w:type="dxa" w:w="22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0.05934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484.16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C 参数优化连续限水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88.77%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52.60%</w:t>
            </w:r>
          </w:p>
        </w:tc>
        <w:tc>
          <w:tcPr>
            <w:tcW w:type="dxa" w:w="22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0.04370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465.84</w:t>
            </w:r>
          </w:p>
        </w:tc>
      </w:tr>
    </w:tbl>
    <w:p>
      <w:pPr>
        <w:spacing w:after="40"/>
      </w:pPr>
    </w:p>
    <w:p>
      <w:r>
        <w:t>上述为四年等权平均，不是长期保证率或概率估计。C相对A降低缺水平方约10.31%，但体积满足率降低2.69个百分点，完全满足日比例降低39.72个百分点；平均年末库容提高32.17 TAF。B储备更高，但其平均缺水平方反而高于A和C。没有一个策略在全部指标上占优。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4088697"/>
            <wp:docPr id="10" name="Picture 10" descr="图3 四个独立检验年份的方案比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oldout_comparis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4088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四个独立检验年份的方案比较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33"/>
        <w:gridCol w:w="2829"/>
        <w:gridCol w:w="3183"/>
        <w:gridCol w:w="2122"/>
      </w:tblGrid>
      <w:tr>
        <w:trPr>
          <w:tblHeader/>
          <w:cantSplit/>
        </w:trPr>
        <w:tc>
          <w:tcPr>
            <w:tcW w:type="dxa" w:w="203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策略</w:t>
            </w:r>
          </w:p>
        </w:tc>
        <w:tc>
          <w:tcPr>
            <w:tcW w:type="dxa" w:w="282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完全满足</w:t>
            </w:r>
          </w:p>
        </w:tc>
        <w:tc>
          <w:tcPr>
            <w:tcW w:type="dxa" w:w="318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至少满足95%目标</w:t>
            </w:r>
          </w:p>
        </w:tc>
        <w:tc>
          <w:tcPr>
            <w:tcW w:type="dxa" w:w="212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至少满足90%目标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282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92.33%</w:t>
            </w:r>
          </w:p>
        </w:tc>
        <w:tc>
          <w:tcPr>
            <w:tcW w:type="dxa" w:w="318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92.33%</w:t>
            </w:r>
          </w:p>
        </w:tc>
        <w:tc>
          <w:tcPr>
            <w:tcW w:type="dxa" w:w="212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92.33%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B</w:t>
            </w:r>
          </w:p>
        </w:tc>
        <w:tc>
          <w:tcPr>
            <w:tcW w:type="dxa" w:w="282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74.96%</w:t>
            </w:r>
          </w:p>
        </w:tc>
        <w:tc>
          <w:tcPr>
            <w:tcW w:type="dxa" w:w="318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74.96%</w:t>
            </w:r>
          </w:p>
        </w:tc>
        <w:tc>
          <w:tcPr>
            <w:tcW w:type="dxa" w:w="212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74.96%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282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52.60%</w:t>
            </w:r>
          </w:p>
        </w:tc>
        <w:tc>
          <w:tcPr>
            <w:tcW w:type="dxa" w:w="318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59.92%</w:t>
            </w:r>
          </w:p>
        </w:tc>
        <w:tc>
          <w:tcPr>
            <w:tcW w:type="dxa" w:w="212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70.79%</w:t>
            </w:r>
          </w:p>
        </w:tc>
      </w:tr>
    </w:tbl>
    <w:p>
      <w:pPr>
        <w:spacing w:after="40"/>
      </w:pPr>
    </w:p>
    <w:p>
      <w:r>
        <w:t>改变满足阈值有助于区分轻度限制与实质缺水，但不能把C较低的完全满足比例直接解释为模型失败，也不能因平方指标下降就忽略用户经历更多限制。</w:t>
      </w:r>
    </w:p>
    <w:p>
      <w:pPr>
        <w:pStyle w:val="Heading2"/>
      </w:pPr>
      <w:r>
        <w:t>5.2 分年度结果与2015年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42"/>
        <w:gridCol w:w="1672"/>
        <w:gridCol w:w="1672"/>
        <w:gridCol w:w="2274"/>
        <w:gridCol w:w="2007"/>
      </w:tblGrid>
      <w:tr>
        <w:trPr>
          <w:tblHeader/>
          <w:cantSplit/>
        </w:trPr>
        <w:tc>
          <w:tcPr>
            <w:tcW w:type="dxa" w:w="25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水文年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策略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体积满足率</w:t>
            </w:r>
          </w:p>
        </w:tc>
        <w:tc>
          <w:tcPr>
            <w:tcW w:type="dxa" w:w="22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最大日缺水率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最长连续缺水/天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2011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100.00%</w:t>
            </w:r>
          </w:p>
        </w:tc>
        <w:tc>
          <w:tcPr>
            <w:tcW w:type="dxa" w:w="22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0.00%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2011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B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98.48%</w:t>
            </w:r>
          </w:p>
        </w:tc>
        <w:tc>
          <w:tcPr>
            <w:tcW w:type="dxa" w:w="22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40.00%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13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2011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99.02%</w:t>
            </w:r>
          </w:p>
        </w:tc>
        <w:tc>
          <w:tcPr>
            <w:tcW w:type="dxa" w:w="22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15.19%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35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2012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100.00%</w:t>
            </w:r>
          </w:p>
        </w:tc>
        <w:tc>
          <w:tcPr>
            <w:tcW w:type="dxa" w:w="22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0.00%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2012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B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89.44%</w:t>
            </w:r>
          </w:p>
        </w:tc>
        <w:tc>
          <w:tcPr>
            <w:tcW w:type="dxa" w:w="22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40.00%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50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2012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94.03%</w:t>
            </w:r>
          </w:p>
        </w:tc>
        <w:tc>
          <w:tcPr>
            <w:tcW w:type="dxa" w:w="22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21.34%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101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2015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65.87%</w:t>
            </w:r>
          </w:p>
        </w:tc>
        <w:tc>
          <w:tcPr>
            <w:tcW w:type="dxa" w:w="22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94.55%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112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2015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B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65.87%</w:t>
            </w:r>
          </w:p>
        </w:tc>
        <w:tc>
          <w:tcPr>
            <w:tcW w:type="dxa" w:w="22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90.64%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189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2015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65.87%</w:t>
            </w:r>
          </w:p>
        </w:tc>
        <w:tc>
          <w:tcPr>
            <w:tcW w:type="dxa" w:w="22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94.30%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202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2016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100.00%</w:t>
            </w:r>
          </w:p>
        </w:tc>
        <w:tc>
          <w:tcPr>
            <w:tcW w:type="dxa" w:w="22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0.00%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2016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B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94.82%</w:t>
            </w:r>
          </w:p>
        </w:tc>
        <w:tc>
          <w:tcPr>
            <w:tcW w:type="dxa" w:w="22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40.00%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19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2016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96.17%</w:t>
            </w:r>
          </w:p>
        </w:tc>
        <w:tc>
          <w:tcPr>
            <w:tcW w:type="dxa" w:w="22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19.37%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111</w:t>
            </w:r>
          </w:p>
        </w:tc>
      </w:tr>
    </w:tbl>
    <w:p>
      <w:pPr>
        <w:spacing w:after="40"/>
      </w:pPr>
    </w:p>
    <w:p>
      <w:r>
        <w:t>2011、2012、2016年，A完全满足情景目标，而B、C产生主动限制。2015年严重枯水，三策略体积满足率均约65.87%，最大日缺水率A、B、C分别为94.55%、90.64%、94.30%。修正数值步长后不再出现原版的隔日零下泄，但物理短缺依然存在，提前限水没有创造新水。</w:t>
      </w:r>
    </w:p>
    <w:p>
      <w:r>
        <w:t>2015年缺水平方：A为0.19488、B为0.16697、C为0.16097。A低于50%目标的天数为111，C为78；生态代理不足日数从6降为5。C最长连续缺水为202天，高于A的112天。C将更集中、较重的短缺部分分摊为更长时间的限制，不是全面改善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19548" cy="4572000"/>
            <wp:docPr id="11" name="Picture 11" descr="图4 2015水文年库容、满足比例及累计缺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ry_WY201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19548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图4 2015水文年库容、满足比例及累计缺口</w:t>
      </w:r>
    </w:p>
    <w:p>
      <w:pPr>
        <w:pStyle w:val="Heading1"/>
      </w:pPr>
      <w:r>
        <w:t>6 跨年与洪水补充检验</w:t>
      </w:r>
    </w:p>
    <w:p>
      <w:pPr>
        <w:pStyle w:val="Heading2"/>
      </w:pPr>
      <w:r>
        <w:t>6.1 跨年携带效应</w:t>
      </w:r>
    </w:p>
    <w:p>
      <w:r>
        <w:t>连续2009-12-16至2013-05-11共1243天的可用驱动窗口中，A体积满足率为100.00%，B为97.55%，C为98.38%。C在此情形下仍会带来不必要的目标限制，因此不能仅凭低库容比例机械地全年采用同一限水规则。</w:t>
      </w:r>
    </w:p>
    <w:p>
      <w:r>
        <w:t>另取2013-11-30至2016-09-30连续1036天，沿用前一日官方库容237.3 TAF作为共同初值，保持冻结参数并连续运行。该窗口与检验年份重叠，只是跨年稳健性检查，不是新增独立验证样本。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1614"/>
        <w:gridCol w:w="1614"/>
        <w:gridCol w:w="1614"/>
        <w:gridCol w:w="1614"/>
        <w:gridCol w:w="1614"/>
      </w:tblGrid>
      <w:tr>
        <w:trPr>
          <w:tblHeader/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策略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体积满足率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缺水平方均值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低于50%目标/天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生态代理不足/天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最长缺水/天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65.31%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0.22730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396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84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235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B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63.94%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0.19059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56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329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64.26%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0.19354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242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83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791</w:t>
            </w:r>
          </w:p>
        </w:tc>
      </w:tr>
    </w:tbl>
    <w:p>
      <w:pPr>
        <w:spacing w:after="40"/>
      </w:pPr>
    </w:p>
    <w:p>
      <w:r>
        <w:t>连续枯水中，B缺水平方最低、50%基本目标与生态代理暴露也更少；C相对A仍缓和严重短缺，但最长连续缺水达到791天。这说明逐独立年选择的参数未必适合持续多年干旱，且轻微限水也会延长连续缺水指标。不能将C的单年平均优势直接推广到跨年情形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3491328"/>
            <wp:docPr id="12" name="Picture 12" descr="图5 连续枯水窗口的跨年携带效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ultiyear_drough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3491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图5 连续枯水窗口的跨年携带效应</w:t>
      </w:r>
    </w:p>
    <w:p>
      <w:pPr>
        <w:pStyle w:val="Heading2"/>
      </w:pPr>
      <w:r>
        <w:t>6.2 洪水窗口与约束失效</w:t>
      </w:r>
    </w:p>
    <w:p>
      <w:r>
        <w:t>选择1996-12-15至1997-02-15共63天完整官方驱动，初值采用前一日官方库容535.559 TAF；1997-01-02日入流约416.251 TAF。该事件在初次基准试验后加入，参数不重新训练，作为明确标注的事后压力检查。</w:t>
      </w:r>
    </w:p>
    <w:p>
      <w:r>
        <w:t>在相同防洪规则下A、B、C结果相同，下表以A代表；入流放大1.25和1.5倍仅为压力情景，不是概率预报或气候变化预测。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42"/>
        <w:gridCol w:w="1672"/>
        <w:gridCol w:w="1672"/>
        <w:gridCol w:w="2274"/>
        <w:gridCol w:w="2007"/>
      </w:tblGrid>
      <w:tr>
        <w:trPr>
          <w:tblHeader/>
          <w:cantSplit/>
        </w:trPr>
        <w:tc>
          <w:tcPr>
            <w:tcW w:type="dxa" w:w="25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入流倍率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策略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最大控制库容超出/TAF</w:t>
            </w:r>
          </w:p>
        </w:tc>
        <w:tc>
          <w:tcPr>
            <w:tcW w:type="dxa" w:w="22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溢流总量/TAF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下泄超阈值/天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326.26</w:t>
            </w:r>
          </w:p>
        </w:tc>
        <w:tc>
          <w:tcPr>
            <w:tcW w:type="dxa" w:w="22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1.25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472.35</w:t>
            </w:r>
          </w:p>
        </w:tc>
        <w:tc>
          <w:tcPr>
            <w:tcW w:type="dxa" w:w="22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1.50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575.00</w:t>
            </w:r>
          </w:p>
        </w:tc>
        <w:tc>
          <w:tcPr>
            <w:tcW w:type="dxa" w:w="22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67.69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2</w:t>
            </w:r>
          </w:p>
        </w:tc>
      </w:tr>
    </w:tbl>
    <w:p>
      <w:pPr>
        <w:spacing w:after="40"/>
      </w:pPr>
    </w:p>
    <w:p>
      <w:r>
        <w:t>原事件无物理溢流或下泄阈值超出，但季节控制库容仍有12天未满足，最大超出326.26 TAF。原因为出库能力限制，而非水量平衡错误；没有将其隐藏为“防洪约束全部满足”。放大情景出现更严重超出，1.5倍情景还触发溢流及下泄阈值超出。因未模拟河道演进，不能把该结果换算成下游淹没概率或洪灾经济损失。另输出子步峰值，但它来自日均水量均匀分配的数值模型，不能解释为实际小时洪峰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3488035"/>
            <wp:docPr id="13" name="Picture 13" descr="图6 历史洪水窗口及放大入流压力检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lood_event_stres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3488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图6 历史洪水窗口及放大入流压力检查</w:t>
      </w:r>
    </w:p>
    <w:p>
      <w:pPr>
        <w:pStyle w:val="Heading1"/>
      </w:pPr>
      <w:r>
        <w:t>7 关键假设和参数敏感性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42"/>
        <w:gridCol w:w="1672"/>
        <w:gridCol w:w="1672"/>
        <w:gridCol w:w="2274"/>
        <w:gridCol w:w="2007"/>
      </w:tblGrid>
      <w:tr>
        <w:trPr>
          <w:tblHeader/>
          <w:cantSplit/>
        </w:trPr>
        <w:tc>
          <w:tcPr>
            <w:tcW w:type="dxa" w:w="25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情景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A体积满足率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B体积满足率</w:t>
            </w:r>
          </w:p>
        </w:tc>
        <w:tc>
          <w:tcPr>
            <w:tcW w:type="dxa" w:w="22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C体积满足率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C缺水平方均值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入流80%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87.43%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80.82%</w:t>
            </w:r>
          </w:p>
        </w:tc>
        <w:tc>
          <w:tcPr>
            <w:tcW w:type="dxa" w:w="22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83.65%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0.06708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入流60%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80.43%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73.92%</w:t>
            </w:r>
          </w:p>
        </w:tc>
        <w:tc>
          <w:tcPr>
            <w:tcW w:type="dxa" w:w="22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77.29%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0.10283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需水120%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86.90%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80.23%</w:t>
            </w:r>
          </w:p>
        </w:tc>
        <w:tc>
          <w:tcPr>
            <w:tcW w:type="dxa" w:w="22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83.03%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0.07050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需水80%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94.55%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92.59%</w:t>
            </w:r>
          </w:p>
        </w:tc>
        <w:tc>
          <w:tcPr>
            <w:tcW w:type="dxa" w:w="22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93.38%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0.02003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初始250TAF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84.84%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78.78%</w:t>
            </w:r>
          </w:p>
        </w:tc>
        <w:tc>
          <w:tcPr>
            <w:tcW w:type="dxa" w:w="22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80.85%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0.07892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初始700TAF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92.33%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90.27%</w:t>
            </w:r>
          </w:p>
        </w:tc>
        <w:tc>
          <w:tcPr>
            <w:tcW w:type="dxa" w:w="22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91.27%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0.03806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控制曲线+177TAF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91.47%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85.60%</w:t>
            </w:r>
          </w:p>
        </w:tc>
        <w:tc>
          <w:tcPr>
            <w:tcW w:type="dxa" w:w="22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87.56%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0.04359</w:t>
            </w:r>
          </w:p>
        </w:tc>
      </w:tr>
    </w:tbl>
    <w:p>
      <w:pPr>
        <w:spacing w:after="40"/>
      </w:pPr>
    </w:p>
    <w:p>
      <w:r>
        <w:t>检验参数保持不变。入流缩减、需求增加或初始库容降低都使目标满足率恶化。C对严重缺水的平方惩罚在若干压力情景中较低，但在体积满足率上仍低于A；最大日缺水率并非其优化目标，可能更差。因此不能只展示一个对C有利的指标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2302301"/>
            <wp:docPr id="14" name="Picture 14" descr="图7 入流变化下的满足率和最大缺水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inflow_sensitivit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2302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图7 入流变化下的满足率和最大缺水率</w:t>
      </w:r>
    </w:p>
    <w:p>
      <w:r>
        <w:t>容量从975增加至977 TAF在当前样本和规则下没有产生可见改善，说明微小容量修正不是本试验结论的主要驱动；不等于真实扩容没有价值。控制曲线上移会改变可保留水量，但也改变相对库容z，从而改变主动限水频次，效果不能仅解释成“放宽防洪必然增加供水”。</w:t>
      </w:r>
    </w:p>
    <w:p>
      <w:r>
        <w:t>2011年替换为官方报告TOCS后，A仍完全满足目标，C满足率约98.47%，三者均无控制库容超出；该结果验证了简化固定曲线选择的影响，不足以证明其他年份运行安全。</w:t>
      </w:r>
    </w:p>
    <w:p>
      <w:r>
        <w:t>把生态代理设为零或双倍，在本组检验情景下没有改变供给结果，因为主动目标通常高于代理，极低库容时又受到可用水和能力限制。生态不足指标本身仍会随代理改变，不能据此推断“生态要求对调度没有影响”。</w:t>
      </w:r>
    </w:p>
    <w:p>
      <w:r>
        <w:t>储备权重由0.05改为0时，选中theta=0.80、alpha=0.70；提高到0.2后alpha变为0.40。更重的储备偏好增加提前限制，在2015年降低缺水平方，却损失其他年份的满足率，说明所谓最优取决于管理偏好。</w:t>
      </w:r>
    </w:p>
    <w:p>
      <w:pPr>
        <w:pStyle w:val="Heading1"/>
      </w:pPr>
      <w:r>
        <w:t>8 管理建议及适用条件</w:t>
      </w:r>
    </w:p>
    <w:p>
      <w:r>
        <w:t>第一，不能将参数优化C直接替代常规管理。以目标下泄量和完全满足为主要目标时，A在检验样本中更有优势。若管理部门愿意以较频繁、较轻的限制换取部分严重短缺缓和，可以把C作为候选，并明确发布限制阈值和退出条件。</w:t>
      </w:r>
    </w:p>
    <w:p>
      <w:r>
        <w:t>第二，持续多年枯水应单独制定管理制度。1036天窗口中B优于C的部分风险指标，提示需要考虑跨年储备、关键用户保障和限制持续时间。本研究未检验“正常年用A、干旱年切换B/C”的完整切换算法，故该安排只是实施方向，不附会未计算的收益。</w:t>
      </w:r>
    </w:p>
    <w:p>
      <w:r>
        <w:t>第三，防洪约束应具有更高的实时执行优先级。大洪水中三种供给策略没有明显差别，改动限水参数不能解决出库能力和河道容量限制。工程采用前需接入实际水控手册、上游调度、小时级洪水预报及河道演进模型，不得把本研究的130000 cfs简化阈值当作无条件安全承诺。</w:t>
      </w:r>
    </w:p>
    <w:p>
      <w:r>
        <w:t>第四，制度上应先明确基本用水、生态与其他用途的权利和损失承担。当前数据只能显示汇总短缺如何在时间上分布，不能判断真实群体公平。实际实施应补充部门需水、供水位置、合同优先级、价格与补偿资料；限水公告、透明触发条件、用户反馈及补偿机制是必要管理组成。</w:t>
      </w:r>
    </w:p>
    <w:p>
      <w:r>
        <w:t>第五，生态评价需要由最低流量代理扩展到冷水储备、水温和生境，防止将“低流量线达标”误认为生态无损害。[2][7] 本研究保留生态不足和低库容指标，但不据其推算鱼类数量或水质改善。</w:t>
      </w:r>
    </w:p>
    <w:p>
      <w:pPr>
        <w:pStyle w:val="Heading1"/>
      </w:pPr>
      <w:r>
        <w:t>9 局限与可推广程度</w:t>
      </w:r>
    </w:p>
    <w:p>
      <w:r>
        <w:t>一是需水与部分运行参数为项目情景，不能解释真实历史效益。二是七个年份经过完整性筛选，严重事件覆盖与长期统计代表性有限。三是独立年共同初值切断前期影响，已用连续窗口补充，但仍未构成长时段完整历史重建。四是没有未来预测误差、日内洪峰、上游水库、支流、输配和取水，日模型不能用作实时防洪。五是出库曲线、容量和保留库容未按年代变化，90 TAF保留库容与出库能力的组合会导致低水位供给受限，应作为模型结构不确定性理解。六是汇总目标与下泄重合假设可能高估真实用户可用水，公平及经济评价只可讨论，不能量化货币利益。七是网格有限、训练年较少、目标权重主观，禁止将候选参数称为普适最优。</w:t>
      </w:r>
    </w:p>
    <w:p>
      <w:pPr>
        <w:pStyle w:val="Heading1"/>
      </w:pPr>
      <w:r>
        <w:t>10 结论</w:t>
      </w:r>
    </w:p>
    <w:p>
      <w:r>
        <w:t>本研究以可追溯官方输入完成了清洗、建模、三方案比较、独立年份检验、跨年与洪水窗口检查及敏感性分析。核心发现是供给效率、缺水严重程度、限制持续时间和储备之间的取舍。C在独立年份平均缺水平方上较A低10.31%，同时减少目标满足量并增加限制日；跨年枯水中B在若干风险指标上又优于C。防洪边界在极端情景下可能不可同时满足，应如实报告，而不是宣称所有方案安全。</w:t>
      </w:r>
    </w:p>
    <w:p>
      <w:r>
        <w:t>最终建议是按管理偏好和干旱持续性选择候选策略，保留A作为效率基线，审慎使用提前限水；任何工程应用均须先补齐真实需水、调度规程和下游模型。本结论适用于本文模型、样本与情景范围。</w:t>
      </w:r>
    </w:p>
    <w:p>
      <w:pPr>
        <w:pStyle w:val="Heading1"/>
      </w:pPr>
      <w:r>
        <w:t>11 可复现性与计算检查</w:t>
      </w:r>
    </w:p>
    <w:p>
      <w:r>
        <w:t>入口脚本为scripts/run_folsom_research.py，无需大模型或付费API。它读取清洗后的官方表及独立需水情景，输出42组训练目标、21条年度方案结果、132条敏感性方案结果、偏好敏感性、两段连续窗口、官方TOCS回放、9条洪水事件方案及逐日结果。所有图均提供PNG与独立PDF。</w:t>
      </w:r>
    </w:p>
    <w:p>
      <w:r>
        <w:t>模型内部检查逐日平衡、非负与容量边界、控制出库能力，验证alpha=1时C退化为A、无水时守恒、极端入流时显式报告溢流，以及控制曲线超出仅在出库能力绑定时发生。当前共有22项检查通过；这些检查证明数值实现满足所声明规则，不证明真实世界参数或管理结论已得到现场验证。落盘结果另进行独立重算校核。</w:t>
      </w:r>
    </w:p>
    <w:p>
      <w:pPr>
        <w:pStyle w:val="Heading1"/>
      </w:pPr>
      <w:r>
        <w:t>12 图表异常的原因 修正与数值收敛</w:t>
      </w:r>
    </w:p>
    <w:p>
      <w:r>
        <w:t>原版2015年下泄比例图出现大量隔日归零尖峰。逐日核查表明：同一时段官方入流保持为正，缺测、来源标记和跨日时间也未出现对应异常；问题主要来自模型实现，而非这段入流数据的隔日异常。原算法在日初库容90 TAF时将全天出库能力锁定为0，当天积水，次日再集中放水，因而产生人工隔日振荡。原版只有水量守恒和边界检查，不能排除这种数值伪影。</w:t>
      </w:r>
    </w:p>
    <w:p>
      <w:r>
        <w:t>在90-100 TAF线性出库区间，能力变化斜率约为6.94/天；按局部线性化，显式更新因子为1-6.94*dt。日步长下该因子约-5.94，结合边界裁切形成振荡；dt=1/24时约0.71。此次改为日内24子步并及时更新出库能力，保留原始日水文数据，没有对结果做移动平均，没有隐藏真实日波动。</w:t>
      </w:r>
    </w:p>
    <w:p>
      <w:r>
        <w:t>已比较每日1、4、12、24、48、96子步。2015年三策略24与96子步的体积满足率差小于0.000001、缺水平方差小于0.00001，均通过预设检查；细化后隔日零下泄消失。这里是该低库容案例的步长收敛证据，不等于对全部真实水力过程的验证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3491328"/>
            <wp:docPr id="15" name="Picture 15" descr="图8 原日步长与修正算法的对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numerical_correct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3491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图8 原日步长与修正算法的对照</w:t>
      </w:r>
    </w:p>
    <w:p>
      <w:r>
        <w:t>图8用于解释修正，正式结果图4采用重新计算的24子步输出，可以保留。原版相关统计已整体重算，不能再沿用原报告12.33%的缺水平方改善值，应以本版摘要及结果表为准。</w:t>
      </w:r>
    </w:p>
    <w:p>
      <w:pPr>
        <w:pStyle w:val="Heading1"/>
      </w:pPr>
      <w:r>
        <w:t>参考资料</w:t>
      </w:r>
    </w:p>
    <w:p>
      <w:r>
        <w:t xml:space="preserve">[1] Bureau of Reclamation. Central Valley Project. </w:t>
      </w:r>
      <w:hyperlink r:id="rId26">
        <w:r>
          <w:rPr>
            <w:color w:val="175287"/>
            <w:u w:val="single"/>
          </w:rPr>
          <w:t>https://www.usbr.gov/mp/cvp/</w:t>
        </w:r>
      </w:hyperlink>
      <w:r>
        <w:t xml:space="preserve"> （官方背景；访问2026-10-22）。</w:t>
      </w:r>
    </w:p>
    <w:p>
      <w:r>
        <w:t xml:space="preserve">[2] USACE. Folsom Dam and Lake Water Control Manual, June 2019. </w:t>
      </w:r>
      <w:hyperlink r:id="rId27">
        <w:r>
          <w:rPr>
            <w:color w:val="175287"/>
            <w:u w:val="single"/>
          </w:rPr>
          <w:t>https://water.usace.army.mil/cda/documents/wc/3098/Folsom2019WCManual%5BR%5D.pdf</w:t>
        </w:r>
      </w:hyperlink>
      <w:r>
        <w:t xml:space="preserve"> （历史与运行背景、D-893说明；并非本文全部参数的逐项验证）。</w:t>
      </w:r>
    </w:p>
    <w:p>
      <w:r>
        <w:t xml:space="preserve">[3] California DWR, CDEC. FOLSOM LAKE (FOL), station metadata and daily sensors. </w:t>
      </w:r>
      <w:hyperlink r:id="rId28">
        <w:r>
          <w:rPr>
            <w:color w:val="175287"/>
            <w:u w:val="single"/>
          </w:rPr>
          <w:t>https://cdec.water.ca.gov/dynamicapp/staMeta?station_id=FOL</w:t>
        </w:r>
      </w:hyperlink>
      <w:r>
        <w:t xml:space="preserve"> （下载地址及SHA256见docs/cdec_download.json）。</w:t>
      </w:r>
    </w:p>
    <w:p>
      <w:r>
        <w:t xml:space="preserve">[4] EILab-Polimi / ResLLM. Public data and configuration repository. </w:t>
      </w:r>
      <w:hyperlink r:id="rId29">
        <w:r>
          <w:rPr>
            <w:color w:val="175287"/>
            <w:u w:val="single"/>
          </w:rPr>
          <w:t>https://github.com/EILab-Polimi/ResLLM</w:t>
        </w:r>
      </w:hyperlink>
      <w:r>
        <w:t xml:space="preserve"> （需水、简化配置与原项目背景；输入数据文件哈希保留）。</w:t>
      </w:r>
    </w:p>
    <w:p>
      <w:r>
        <w:t xml:space="preserve">[5] You, J., Cai, X. (2008). Hedging rule for reservoir operations: 1. A theoretical analysis. Water Resources Research. </w:t>
      </w:r>
      <w:hyperlink r:id="rId30">
        <w:r>
          <w:rPr>
            <w:color w:val="175287"/>
            <w:u w:val="single"/>
          </w:rPr>
          <w:t>https://doi.org/10.1029/2006WR005481</w:t>
        </w:r>
      </w:hyperlink>
      <w:r/>
    </w:p>
    <w:p>
      <w:r>
        <w:t xml:space="preserve">[6] Hashimoto, T., Stedinger, J. R., Loucks, D. P. (1982). Reliability, resiliency, and vulnerability criteria for water resource system performance evaluation. Water Resources Research, 18(1), 14-20. </w:t>
      </w:r>
      <w:hyperlink r:id="rId31">
        <w:r>
          <w:rPr>
            <w:color w:val="175287"/>
            <w:u w:val="single"/>
          </w:rPr>
          <w:t>https://doi.org/10.1029/WR018i001p00014</w:t>
        </w:r>
      </w:hyperlink>
      <w:r/>
    </w:p>
    <w:p>
      <w:r>
        <w:t xml:space="preserve">[7] Sacramento Water Forum. Flows and Operations. </w:t>
      </w:r>
      <w:hyperlink r:id="rId32">
        <w:r>
          <w:rPr>
            <w:color w:val="175287"/>
            <w:u w:val="single"/>
          </w:rPr>
          <w:t>https://waterforum.org/flows-and-operations/</w:t>
        </w:r>
      </w:hyperlink>
      <w:r>
        <w:t xml:space="preserve"> （流量与冷水储备目标的管理背景）。</w:t>
      </w:r>
    </w:p>
    <w:p>
      <w:pPr>
        <w:pStyle w:val="Heading1"/>
      </w:pPr>
      <w:r>
        <w:t>13 代码 数据与结果的GitHub存档</w:t>
      </w:r>
    </w:p>
    <w:p>
      <w:r>
        <w:t>本研究代码文件、整理数据、逐日模拟结果、方案汇总、敏感性分析及图表存放于公开GitHub项目库：</w:t>
      </w:r>
      <w:hyperlink r:id="rId33">
        <w:r>
          <w:rPr>
            <w:color w:val="175287"/>
            <w:u w:val="single"/>
          </w:rPr>
          <w:t>https://github.com/like0009876/folsom-reservoir-study</w:t>
        </w:r>
      </w:hyperlink>
      <w:r>
        <w:t xml:space="preserve"> 。代码见scripts/，数据见data/，结果见results/research/，图表见figures/research/，Word及研究报告见report/。仓库README提供项目说明、运行顺序和数值修正摘要。历史错误版本仅作本地审计保留，不作为本次发布的研究结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79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Folsom水库供水与防洪管理情景研究 | 数值修正版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</w:pPr>
    <w:rPr>
      <w:rFonts w:ascii="Times New Roman" w:hAnsi="Times New Roman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/>
      <w:color w:val="00000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/>
      <w:color w:val="00000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Theme="majorHAnsi" w:eastAsiaTheme="majorEastAsia" w:hAnsiTheme="majorHAnsi" w:cstheme="majorBidi" w:ascii="Times New Roman" w:hAnsi="Times New Roman" w:eastAsia="宋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Times New Roman" w:hAnsi="Times New Roman" w:eastAsia="宋体"/>
      <w:b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hyperlink" Target="https://www.usbr.gov/mp/cvp/" TargetMode="External"/><Relationship Id="rId27" Type="http://schemas.openxmlformats.org/officeDocument/2006/relationships/hyperlink" Target="https://water.usace.army.mil/cda/documents/wc/3098/Folsom2019WCManual%5BR%5D.pdf" TargetMode="External"/><Relationship Id="rId28" Type="http://schemas.openxmlformats.org/officeDocument/2006/relationships/hyperlink" Target="https://cdec.water.ca.gov/dynamicapp/staMeta?station_id=FOL" TargetMode="External"/><Relationship Id="rId29" Type="http://schemas.openxmlformats.org/officeDocument/2006/relationships/hyperlink" Target="https://github.com/EILab-Polimi/ResLLM" TargetMode="External"/><Relationship Id="rId30" Type="http://schemas.openxmlformats.org/officeDocument/2006/relationships/hyperlink" Target="https://doi.org/10.1029/2006WR005481" TargetMode="External"/><Relationship Id="rId31" Type="http://schemas.openxmlformats.org/officeDocument/2006/relationships/hyperlink" Target="https://doi.org/10.1029/WR018i001p00014" TargetMode="External"/><Relationship Id="rId32" Type="http://schemas.openxmlformats.org/officeDocument/2006/relationships/hyperlink" Target="https://waterforum.org/flows-and-operations/" TargetMode="External"/><Relationship Id="rId33" Type="http://schemas.openxmlformats.org/officeDocument/2006/relationships/hyperlink" Target="https://github.com/like0009876/folsom-reservoir-stud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Folsom水库供水保障与防洪约束下的调度策略比较（数值修正版）</dc:title>
  <dc:subject>官方水文输入、数值时间步长修正及调度策略情景研究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