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30B6" w:rsidRPr="0074084C" w:rsidRDefault="0087005B" w:rsidP="00737D1A">
      <w:pPr>
        <w:pStyle w:val="Title"/>
        <w:rPr>
          <w:sz w:val="48"/>
        </w:rPr>
      </w:pPr>
      <w:r>
        <w:rPr>
          <w:sz w:val="48"/>
        </w:rPr>
        <w:t>F</w:t>
      </w:r>
      <w:r w:rsidR="008C30B6" w:rsidRPr="0074084C">
        <w:rPr>
          <w:sz w:val="48"/>
        </w:rPr>
        <w:t>orecast</w:t>
      </w:r>
      <w:r>
        <w:rPr>
          <w:sz w:val="48"/>
        </w:rPr>
        <w:t xml:space="preserve">ing </w:t>
      </w:r>
      <w:r w:rsidR="008C30B6" w:rsidRPr="0074084C">
        <w:rPr>
          <w:sz w:val="48"/>
        </w:rPr>
        <w:t>Leavenworth National Fish Hatchery returns</w:t>
      </w:r>
      <w:r>
        <w:rPr>
          <w:sz w:val="48"/>
        </w:rPr>
        <w:t xml:space="preserve"> using PIT expansion</w:t>
      </w:r>
      <w:r w:rsidR="008C30B6" w:rsidRPr="0074084C">
        <w:rPr>
          <w:sz w:val="48"/>
        </w:rPr>
        <w:t>.</w:t>
      </w:r>
    </w:p>
    <w:p w:rsidR="003B0BF9" w:rsidRDefault="008C30B6" w:rsidP="003B0BF9">
      <w:pPr>
        <w:pStyle w:val="Heading2"/>
      </w:pPr>
      <w:r>
        <w:t xml:space="preserve">Jakub Bednarek, </w:t>
      </w:r>
      <w:r w:rsidR="003B0BF9">
        <w:t>Fish Technician</w:t>
      </w:r>
      <w:r w:rsidR="003B0BF9">
        <w:br/>
        <w:t>Mid-Columbia Fish and Wildlife Conservation Office</w:t>
      </w:r>
      <w:r w:rsidR="003B0BF9">
        <w:br/>
      </w:r>
      <w:r w:rsidR="00E62DE0">
        <w:t>March 1, 2018</w:t>
      </w:r>
    </w:p>
    <w:p w:rsidR="003B0BF9" w:rsidRPr="003B0BF9" w:rsidRDefault="003B0BF9" w:rsidP="003B0BF9"/>
    <w:p w:rsidR="00B937BA" w:rsidRDefault="003B2D03" w:rsidP="003B0BF9">
      <w:pPr>
        <w:pStyle w:val="Heading2"/>
        <w:rPr>
          <w:rFonts w:ascii="Times New Roman" w:hAnsi="Times New Roman" w:cs="Times New Roman"/>
          <w:sz w:val="22"/>
          <w:szCs w:val="22"/>
        </w:rPr>
      </w:pPr>
      <w:r w:rsidRPr="003B0BF9">
        <w:rPr>
          <w:rFonts w:ascii="Times New Roman" w:hAnsi="Times New Roman" w:cs="Times New Roman"/>
          <w:sz w:val="22"/>
          <w:szCs w:val="22"/>
        </w:rPr>
        <w:t xml:space="preserve">In-season </w:t>
      </w:r>
      <w:r w:rsidR="002F7E40" w:rsidRPr="003B0BF9">
        <w:rPr>
          <w:rFonts w:ascii="Times New Roman" w:hAnsi="Times New Roman" w:cs="Times New Roman"/>
          <w:sz w:val="22"/>
          <w:szCs w:val="22"/>
        </w:rPr>
        <w:t xml:space="preserve">salmon run </w:t>
      </w:r>
      <w:r w:rsidRPr="003B0BF9">
        <w:rPr>
          <w:rFonts w:ascii="Times New Roman" w:hAnsi="Times New Roman" w:cs="Times New Roman"/>
          <w:sz w:val="22"/>
          <w:szCs w:val="22"/>
        </w:rPr>
        <w:t xml:space="preserve">forecasting </w:t>
      </w:r>
      <w:r w:rsidR="006A6FF9">
        <w:rPr>
          <w:rFonts w:ascii="Times New Roman" w:hAnsi="Times New Roman" w:cs="Times New Roman"/>
          <w:sz w:val="22"/>
          <w:szCs w:val="22"/>
        </w:rPr>
        <w:t>is</w:t>
      </w:r>
      <w:r w:rsidRPr="003B0BF9">
        <w:rPr>
          <w:rFonts w:ascii="Times New Roman" w:hAnsi="Times New Roman" w:cs="Times New Roman"/>
          <w:sz w:val="22"/>
          <w:szCs w:val="22"/>
        </w:rPr>
        <w:t xml:space="preserve"> used in supplement with pre-season forecasts to make </w:t>
      </w:r>
      <w:r w:rsidR="006A6DF1" w:rsidRPr="003B0BF9">
        <w:rPr>
          <w:rFonts w:ascii="Times New Roman" w:hAnsi="Times New Roman" w:cs="Times New Roman"/>
          <w:sz w:val="22"/>
          <w:szCs w:val="22"/>
        </w:rPr>
        <w:t>fisheri</w:t>
      </w:r>
      <w:r w:rsidR="00D4174A" w:rsidRPr="003B0BF9">
        <w:rPr>
          <w:rFonts w:ascii="Times New Roman" w:hAnsi="Times New Roman" w:cs="Times New Roman"/>
          <w:sz w:val="22"/>
          <w:szCs w:val="22"/>
        </w:rPr>
        <w:t>es management decisions</w:t>
      </w:r>
      <w:r w:rsidR="00CA413A">
        <w:rPr>
          <w:rFonts w:ascii="Times New Roman" w:hAnsi="Times New Roman" w:cs="Times New Roman"/>
          <w:sz w:val="22"/>
          <w:szCs w:val="22"/>
        </w:rPr>
        <w:t xml:space="preserve"> at the Leavenworth National Fisheries Complex</w:t>
      </w:r>
      <w:r w:rsidR="006A6DF1" w:rsidRPr="003B0BF9">
        <w:rPr>
          <w:rFonts w:ascii="Times New Roman" w:hAnsi="Times New Roman" w:cs="Times New Roman"/>
          <w:sz w:val="22"/>
          <w:szCs w:val="22"/>
        </w:rPr>
        <w:t xml:space="preserve">. </w:t>
      </w:r>
      <w:r w:rsidR="007C4A97">
        <w:rPr>
          <w:rFonts w:ascii="Times New Roman" w:hAnsi="Times New Roman" w:cs="Times New Roman"/>
          <w:sz w:val="22"/>
          <w:szCs w:val="22"/>
        </w:rPr>
        <w:t>At Leavenworth National Fish Hatchery (LNFH), f</w:t>
      </w:r>
      <w:r w:rsidR="00D4174A" w:rsidRPr="003B0BF9">
        <w:rPr>
          <w:rFonts w:ascii="Times New Roman" w:hAnsi="Times New Roman" w:cs="Times New Roman"/>
          <w:sz w:val="22"/>
          <w:szCs w:val="22"/>
        </w:rPr>
        <w:t>orecasting adult Sprin</w:t>
      </w:r>
      <w:r w:rsidR="00B937BA" w:rsidRPr="003B0BF9">
        <w:rPr>
          <w:rFonts w:ascii="Times New Roman" w:hAnsi="Times New Roman" w:cs="Times New Roman"/>
          <w:sz w:val="22"/>
          <w:szCs w:val="22"/>
        </w:rPr>
        <w:t xml:space="preserve">g Chinook returns to Icicle Creek </w:t>
      </w:r>
      <w:r w:rsidR="00CA413A">
        <w:rPr>
          <w:rFonts w:ascii="Times New Roman" w:hAnsi="Times New Roman" w:cs="Times New Roman"/>
          <w:sz w:val="22"/>
          <w:szCs w:val="22"/>
        </w:rPr>
        <w:t>allows for managing</w:t>
      </w:r>
      <w:r w:rsidR="0087530C" w:rsidRPr="003B0BF9">
        <w:rPr>
          <w:rFonts w:ascii="Times New Roman" w:hAnsi="Times New Roman" w:cs="Times New Roman"/>
          <w:sz w:val="22"/>
          <w:szCs w:val="22"/>
        </w:rPr>
        <w:t xml:space="preserve"> </w:t>
      </w:r>
      <w:r w:rsidR="00CB3895" w:rsidRPr="003B0BF9">
        <w:rPr>
          <w:rFonts w:ascii="Times New Roman" w:hAnsi="Times New Roman" w:cs="Times New Roman"/>
          <w:sz w:val="22"/>
          <w:szCs w:val="22"/>
        </w:rPr>
        <w:t>harvest</w:t>
      </w:r>
      <w:r w:rsidR="0087530C" w:rsidRPr="003B0BF9">
        <w:rPr>
          <w:rFonts w:ascii="Times New Roman" w:hAnsi="Times New Roman" w:cs="Times New Roman"/>
          <w:sz w:val="22"/>
          <w:szCs w:val="22"/>
        </w:rPr>
        <w:t xml:space="preserve"> fisheries as well as operating the Leavenworth National Fish Hatchery (LNFH). </w:t>
      </w:r>
      <w:r w:rsidR="007C4A97">
        <w:rPr>
          <w:rFonts w:ascii="Times New Roman" w:hAnsi="Times New Roman" w:cs="Times New Roman"/>
          <w:sz w:val="22"/>
          <w:szCs w:val="22"/>
        </w:rPr>
        <w:t>The</w:t>
      </w:r>
      <w:r w:rsidR="00CA413A">
        <w:rPr>
          <w:rFonts w:ascii="Times New Roman" w:hAnsi="Times New Roman" w:cs="Times New Roman"/>
          <w:sz w:val="22"/>
          <w:szCs w:val="22"/>
        </w:rPr>
        <w:t xml:space="preserve"> tool helped secure brood stock for the </w:t>
      </w:r>
      <w:r w:rsidR="007C4A97">
        <w:rPr>
          <w:rFonts w:ascii="Times New Roman" w:hAnsi="Times New Roman" w:cs="Times New Roman"/>
          <w:sz w:val="22"/>
          <w:szCs w:val="22"/>
        </w:rPr>
        <w:t>LNFH in 2017 when</w:t>
      </w:r>
      <w:r w:rsidR="00CA413A">
        <w:rPr>
          <w:rFonts w:ascii="Times New Roman" w:hAnsi="Times New Roman" w:cs="Times New Roman"/>
          <w:sz w:val="22"/>
          <w:szCs w:val="22"/>
        </w:rPr>
        <w:t xml:space="preserve"> low number of </w:t>
      </w:r>
      <w:r w:rsidR="007C4A97">
        <w:rPr>
          <w:rFonts w:ascii="Times New Roman" w:hAnsi="Times New Roman" w:cs="Times New Roman"/>
          <w:sz w:val="22"/>
          <w:szCs w:val="22"/>
        </w:rPr>
        <w:t>adult returns</w:t>
      </w:r>
      <w:r w:rsidR="00CA413A">
        <w:rPr>
          <w:rFonts w:ascii="Times New Roman" w:hAnsi="Times New Roman" w:cs="Times New Roman"/>
          <w:sz w:val="22"/>
          <w:szCs w:val="22"/>
        </w:rPr>
        <w:t xml:space="preserve"> was fore</w:t>
      </w:r>
      <w:r w:rsidR="007C4A97">
        <w:rPr>
          <w:rFonts w:ascii="Times New Roman" w:hAnsi="Times New Roman" w:cs="Times New Roman"/>
          <w:sz w:val="22"/>
          <w:szCs w:val="22"/>
        </w:rPr>
        <w:t xml:space="preserve">casted and harvest fisheries were reduced. </w:t>
      </w:r>
      <w:r w:rsidR="002C0DC5">
        <w:rPr>
          <w:rFonts w:ascii="Times New Roman" w:hAnsi="Times New Roman" w:cs="Times New Roman"/>
          <w:sz w:val="22"/>
          <w:szCs w:val="22"/>
        </w:rPr>
        <w:t>We used PIT tag interrogation data</w:t>
      </w:r>
      <w:r w:rsidR="007C4A97" w:rsidRPr="003B0BF9">
        <w:rPr>
          <w:rFonts w:ascii="Times New Roman" w:hAnsi="Times New Roman" w:cs="Times New Roman"/>
          <w:sz w:val="22"/>
          <w:szCs w:val="22"/>
        </w:rPr>
        <w:t xml:space="preserve"> </w:t>
      </w:r>
      <w:r w:rsidR="002C0DC5">
        <w:rPr>
          <w:rFonts w:ascii="Times New Roman" w:hAnsi="Times New Roman" w:cs="Times New Roman"/>
          <w:sz w:val="22"/>
          <w:szCs w:val="22"/>
        </w:rPr>
        <w:t xml:space="preserve">as our </w:t>
      </w:r>
      <w:r w:rsidR="007C4A97" w:rsidRPr="003B0BF9">
        <w:rPr>
          <w:rFonts w:ascii="Times New Roman" w:hAnsi="Times New Roman" w:cs="Times New Roman"/>
          <w:sz w:val="22"/>
          <w:szCs w:val="22"/>
        </w:rPr>
        <w:t>method of inferring the total expected adult returns to from a proportion of tagged fish.</w:t>
      </w:r>
    </w:p>
    <w:p w:rsidR="003B0BF9" w:rsidRPr="003B0BF9" w:rsidRDefault="003B0BF9" w:rsidP="003B0BF9"/>
    <w:p w:rsidR="00E362FF" w:rsidRPr="00E362FF" w:rsidRDefault="005201BC">
      <w:pPr>
        <w:rPr>
          <w:rFonts w:ascii="Times New Roman" w:eastAsiaTheme="minorEastAsia" w:hAnsi="Times New Roman" w:cs="Times New Roman"/>
        </w:rPr>
      </w:pPr>
      <w:r w:rsidRPr="003B0BF9">
        <w:rPr>
          <w:rFonts w:ascii="Times New Roman" w:hAnsi="Times New Roman" w:cs="Times New Roman"/>
        </w:rPr>
        <w:t>PIT tag detection data was</w:t>
      </w:r>
      <w:r w:rsidR="0087530C" w:rsidRPr="003B0BF9">
        <w:rPr>
          <w:rFonts w:ascii="Times New Roman" w:hAnsi="Times New Roman" w:cs="Times New Roman"/>
        </w:rPr>
        <w:t xml:space="preserve"> </w:t>
      </w:r>
      <w:r w:rsidR="00523967" w:rsidRPr="003B0BF9">
        <w:rPr>
          <w:rFonts w:ascii="Times New Roman" w:hAnsi="Times New Roman" w:cs="Times New Roman"/>
        </w:rPr>
        <w:t>obtained</w:t>
      </w:r>
      <w:r w:rsidR="0087530C" w:rsidRPr="003B0BF9">
        <w:rPr>
          <w:rFonts w:ascii="Times New Roman" w:hAnsi="Times New Roman" w:cs="Times New Roman"/>
        </w:rPr>
        <w:t xml:space="preserve"> </w:t>
      </w:r>
      <w:r w:rsidRPr="003B0BF9">
        <w:rPr>
          <w:rFonts w:ascii="Times New Roman" w:hAnsi="Times New Roman" w:cs="Times New Roman"/>
        </w:rPr>
        <w:t>for</w:t>
      </w:r>
      <w:r w:rsidR="0087530C" w:rsidRPr="003B0BF9">
        <w:rPr>
          <w:rFonts w:ascii="Times New Roman" w:hAnsi="Times New Roman" w:cs="Times New Roman"/>
        </w:rPr>
        <w:t xml:space="preserve"> LNFH origin Spring Chinook salmon </w:t>
      </w:r>
      <w:r w:rsidR="00346CED" w:rsidRPr="003B0BF9">
        <w:rPr>
          <w:rFonts w:ascii="Times New Roman" w:hAnsi="Times New Roman" w:cs="Times New Roman"/>
        </w:rPr>
        <w:t>at Bonneville Dam and Icicle Creek using</w:t>
      </w:r>
      <w:r w:rsidR="00523967" w:rsidRPr="003B0BF9">
        <w:rPr>
          <w:rFonts w:ascii="Times New Roman" w:hAnsi="Times New Roman" w:cs="Times New Roman"/>
        </w:rPr>
        <w:t xml:space="preserve"> the PIT Tag Information System</w:t>
      </w:r>
      <w:r w:rsidR="00346CED" w:rsidRPr="003B0BF9">
        <w:rPr>
          <w:rFonts w:ascii="Times New Roman" w:hAnsi="Times New Roman" w:cs="Times New Roman"/>
        </w:rPr>
        <w:t xml:space="preserve"> (PTAGIS). </w:t>
      </w:r>
      <w:r w:rsidR="00777BA0">
        <w:rPr>
          <w:rFonts w:ascii="Times New Roman" w:hAnsi="Times New Roman" w:cs="Times New Roman"/>
        </w:rPr>
        <w:t xml:space="preserve">We join the release year data read from unique PIT tags detected at Bonneville dam to their respective tagging ratios for that release cohort. Table </w:t>
      </w:r>
      <w:r w:rsidR="00346CED" w:rsidRPr="006206E7">
        <w:rPr>
          <w:rFonts w:ascii="Times New Roman" w:hAnsi="Times New Roman" w:cs="Times New Roman"/>
        </w:rPr>
        <w:t>1</w:t>
      </w:r>
      <w:r w:rsidR="00346CED" w:rsidRPr="003B0BF9">
        <w:rPr>
          <w:rFonts w:ascii="Times New Roman" w:hAnsi="Times New Roman" w:cs="Times New Roman"/>
        </w:rPr>
        <w:t xml:space="preserve"> shows the rate at which juvenile Spring Chinook salmon were </w:t>
      </w:r>
      <w:r w:rsidR="00650F99" w:rsidRPr="003B0BF9">
        <w:rPr>
          <w:rFonts w:ascii="Times New Roman" w:hAnsi="Times New Roman" w:cs="Times New Roman"/>
        </w:rPr>
        <w:t>PIT tag</w:t>
      </w:r>
      <w:r w:rsidR="00346CED" w:rsidRPr="003B0BF9">
        <w:rPr>
          <w:rFonts w:ascii="Times New Roman" w:hAnsi="Times New Roman" w:cs="Times New Roman"/>
        </w:rPr>
        <w:t>ged</w:t>
      </w:r>
      <w:r w:rsidR="00650F99" w:rsidRPr="003B0BF9">
        <w:rPr>
          <w:rFonts w:ascii="Times New Roman" w:hAnsi="Times New Roman" w:cs="Times New Roman"/>
        </w:rPr>
        <w:t xml:space="preserve"> be</w:t>
      </w:r>
      <w:r w:rsidR="00DE0A4A">
        <w:rPr>
          <w:rFonts w:ascii="Times New Roman" w:hAnsi="Times New Roman" w:cs="Times New Roman"/>
        </w:rPr>
        <w:t>tween 2009</w:t>
      </w:r>
      <w:r w:rsidR="003C60E3" w:rsidRPr="003B0BF9">
        <w:rPr>
          <w:rFonts w:ascii="Times New Roman" w:hAnsi="Times New Roman" w:cs="Times New Roman"/>
        </w:rPr>
        <w:t xml:space="preserve"> and 2016</w:t>
      </w:r>
      <w:r w:rsidR="007C4A97">
        <w:rPr>
          <w:rFonts w:ascii="Times New Roman" w:hAnsi="Times New Roman" w:cs="Times New Roman"/>
        </w:rPr>
        <w:t xml:space="preserve">. </w:t>
      </w:r>
      <w:r w:rsidR="00777BA0">
        <w:rPr>
          <w:rFonts w:ascii="Times New Roman" w:hAnsi="Times New Roman" w:cs="Times New Roman"/>
        </w:rPr>
        <w:t xml:space="preserve">We then calculate the survival of adults between Bonneville Dam and the lower Icicle River array. The forecast LNFH returns to Icicle River can be summarized by </w:t>
      </w:r>
      <m:oMath>
        <m:r>
          <w:rPr>
            <w:rFonts w:ascii="Cambria Math" w:hAnsi="Cambria Math" w:cs="Times New Roman"/>
          </w:rPr>
          <m:t>N=R*F*C</m:t>
        </m:r>
      </m:oMath>
      <w:r w:rsidR="00E362FF">
        <w:rPr>
          <w:rFonts w:ascii="Times New Roman" w:eastAsiaTheme="minorEastAsia" w:hAnsi="Times New Roman" w:cs="Times New Roman"/>
        </w:rPr>
        <w:t xml:space="preserve"> where the ratio (R) expands the number of fish</w:t>
      </w:r>
      <w:r w:rsidR="0049397E">
        <w:rPr>
          <w:rFonts w:ascii="Times New Roman" w:eastAsiaTheme="minorEastAsia" w:hAnsi="Times New Roman" w:cs="Times New Roman"/>
        </w:rPr>
        <w:t xml:space="preserve"> (F)</w:t>
      </w:r>
      <w:r w:rsidR="00E362FF">
        <w:rPr>
          <w:rFonts w:ascii="Times New Roman" w:eastAsiaTheme="minorEastAsia" w:hAnsi="Times New Roman" w:cs="Times New Roman"/>
        </w:rPr>
        <w:t xml:space="preserve"> </w:t>
      </w:r>
      <w:r w:rsidR="0049397E">
        <w:rPr>
          <w:rFonts w:ascii="Times New Roman" w:eastAsiaTheme="minorEastAsia" w:hAnsi="Times New Roman" w:cs="Times New Roman"/>
        </w:rPr>
        <w:t xml:space="preserve">detected </w:t>
      </w:r>
      <w:r w:rsidR="00E362FF">
        <w:rPr>
          <w:rFonts w:ascii="Times New Roman" w:eastAsiaTheme="minorEastAsia" w:hAnsi="Times New Roman" w:cs="Times New Roman"/>
        </w:rPr>
        <w:t xml:space="preserve">at Bonneville </w:t>
      </w:r>
      <w:r w:rsidR="00CB01AA">
        <w:rPr>
          <w:rFonts w:ascii="Times New Roman" w:eastAsiaTheme="minorEastAsia" w:hAnsi="Times New Roman" w:cs="Times New Roman"/>
        </w:rPr>
        <w:t xml:space="preserve">dam from each release </w:t>
      </w:r>
      <w:r w:rsidR="0049397E">
        <w:rPr>
          <w:rFonts w:ascii="Times New Roman" w:eastAsiaTheme="minorEastAsia" w:hAnsi="Times New Roman" w:cs="Times New Roman"/>
        </w:rPr>
        <w:t>group</w:t>
      </w:r>
      <w:r w:rsidR="00E362FF">
        <w:rPr>
          <w:rFonts w:ascii="Times New Roman" w:eastAsiaTheme="minorEastAsia" w:hAnsi="Times New Roman" w:cs="Times New Roman"/>
        </w:rPr>
        <w:t xml:space="preserve"> and then multiplied by the average conversion rate (C).</w:t>
      </w:r>
    </w:p>
    <w:p w:rsidR="00E362FF" w:rsidRPr="00E362FF" w:rsidRDefault="00E362FF" w:rsidP="00E362FF">
      <w:pPr>
        <w:pStyle w:val="Caption"/>
        <w:keepNext/>
        <w:rPr>
          <w:b/>
          <w:i w:val="0"/>
          <w:color w:val="auto"/>
        </w:rPr>
      </w:pPr>
      <w:r w:rsidRPr="00E362FF">
        <w:rPr>
          <w:b/>
          <w:i w:val="0"/>
          <w:color w:val="auto"/>
        </w:rPr>
        <w:t xml:space="preserve">Table </w:t>
      </w:r>
      <w:r w:rsidRPr="00E362FF">
        <w:rPr>
          <w:b/>
          <w:i w:val="0"/>
          <w:color w:val="auto"/>
        </w:rPr>
        <w:fldChar w:fldCharType="begin"/>
      </w:r>
      <w:r w:rsidRPr="00E362FF">
        <w:rPr>
          <w:b/>
          <w:i w:val="0"/>
          <w:color w:val="auto"/>
        </w:rPr>
        <w:instrText xml:space="preserve"> SEQ Table \* ARABIC </w:instrText>
      </w:r>
      <w:r w:rsidRPr="00E362FF">
        <w:rPr>
          <w:b/>
          <w:i w:val="0"/>
          <w:color w:val="auto"/>
        </w:rPr>
        <w:fldChar w:fldCharType="separate"/>
      </w:r>
      <w:r w:rsidR="00CA4671">
        <w:rPr>
          <w:b/>
          <w:i w:val="0"/>
          <w:noProof/>
          <w:color w:val="auto"/>
        </w:rPr>
        <w:t>1</w:t>
      </w:r>
      <w:r w:rsidRPr="00E362FF">
        <w:rPr>
          <w:b/>
          <w:i w:val="0"/>
          <w:color w:val="auto"/>
        </w:rPr>
        <w:fldChar w:fldCharType="end"/>
      </w:r>
      <w:r w:rsidRPr="00E362FF">
        <w:rPr>
          <w:b/>
          <w:i w:val="0"/>
          <w:color w:val="auto"/>
        </w:rPr>
        <w:t xml:space="preserve"> PIT tagging ratios at LNFH</w:t>
      </w:r>
    </w:p>
    <w:tbl>
      <w:tblPr>
        <w:tblW w:w="5164" w:type="dxa"/>
        <w:jc w:val="center"/>
        <w:tblLook w:val="04A0" w:firstRow="1" w:lastRow="0" w:firstColumn="1" w:lastColumn="0" w:noHBand="0" w:noVBand="1"/>
      </w:tblPr>
      <w:tblGrid>
        <w:gridCol w:w="976"/>
        <w:gridCol w:w="1236"/>
        <w:gridCol w:w="1676"/>
        <w:gridCol w:w="1276"/>
      </w:tblGrid>
      <w:tr w:rsidR="007C4A97" w:rsidRPr="007C4A97" w:rsidTr="007C4A97">
        <w:trPr>
          <w:trHeight w:val="300"/>
          <w:jc w:val="center"/>
        </w:trPr>
        <w:tc>
          <w:tcPr>
            <w:tcW w:w="976" w:type="dxa"/>
            <w:tcBorders>
              <w:top w:val="single" w:sz="4" w:space="0" w:color="auto"/>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i/>
                <w:iCs/>
                <w:color w:val="000000"/>
              </w:rPr>
            </w:pPr>
            <w:r w:rsidRPr="007C4A97">
              <w:rPr>
                <w:rFonts w:ascii="Times New Roman" w:eastAsia="Times New Roman" w:hAnsi="Times New Roman" w:cs="Times New Roman"/>
                <w:i/>
                <w:iCs/>
                <w:color w:val="000000"/>
              </w:rPr>
              <w:t>Rel</w:t>
            </w:r>
            <w:r w:rsidR="002C0DC5">
              <w:rPr>
                <w:rFonts w:ascii="Times New Roman" w:eastAsia="Times New Roman" w:hAnsi="Times New Roman" w:cs="Times New Roman"/>
                <w:i/>
                <w:iCs/>
                <w:color w:val="000000"/>
              </w:rPr>
              <w:t>ease</w:t>
            </w:r>
            <w:r w:rsidRPr="007C4A97">
              <w:rPr>
                <w:rFonts w:ascii="Times New Roman" w:eastAsia="Times New Roman" w:hAnsi="Times New Roman" w:cs="Times New Roman"/>
                <w:i/>
                <w:iCs/>
                <w:color w:val="000000"/>
              </w:rPr>
              <w:t xml:space="preserve"> Year</w:t>
            </w:r>
          </w:p>
        </w:tc>
        <w:tc>
          <w:tcPr>
            <w:tcW w:w="1236" w:type="dxa"/>
            <w:tcBorders>
              <w:top w:val="single" w:sz="4" w:space="0" w:color="auto"/>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i/>
                <w:iCs/>
                <w:color w:val="000000"/>
              </w:rPr>
            </w:pPr>
            <w:r w:rsidRPr="007C4A97">
              <w:rPr>
                <w:rFonts w:ascii="Times New Roman" w:eastAsia="Times New Roman" w:hAnsi="Times New Roman" w:cs="Times New Roman"/>
                <w:i/>
                <w:iCs/>
                <w:color w:val="000000"/>
              </w:rPr>
              <w:t>Total Released</w:t>
            </w:r>
          </w:p>
        </w:tc>
        <w:tc>
          <w:tcPr>
            <w:tcW w:w="1676" w:type="dxa"/>
            <w:tcBorders>
              <w:top w:val="single" w:sz="4" w:space="0" w:color="auto"/>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i/>
                <w:iCs/>
                <w:color w:val="000000"/>
              </w:rPr>
            </w:pPr>
            <w:r w:rsidRPr="007C4A97">
              <w:rPr>
                <w:rFonts w:ascii="Times New Roman" w:eastAsia="Times New Roman" w:hAnsi="Times New Roman" w:cs="Times New Roman"/>
                <w:i/>
                <w:iCs/>
                <w:color w:val="000000"/>
              </w:rPr>
              <w:t># PIT</w:t>
            </w:r>
            <w:r w:rsidR="002C0DC5">
              <w:rPr>
                <w:rFonts w:ascii="Times New Roman" w:eastAsia="Times New Roman" w:hAnsi="Times New Roman" w:cs="Times New Roman"/>
                <w:i/>
                <w:iCs/>
                <w:color w:val="000000"/>
              </w:rPr>
              <w:t xml:space="preserve"> tagged</w:t>
            </w:r>
          </w:p>
        </w:tc>
        <w:tc>
          <w:tcPr>
            <w:tcW w:w="1276" w:type="dxa"/>
            <w:tcBorders>
              <w:top w:val="single" w:sz="4" w:space="0" w:color="auto"/>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i/>
                <w:iCs/>
                <w:color w:val="000000"/>
              </w:rPr>
            </w:pPr>
            <w:r w:rsidRPr="007C4A97">
              <w:rPr>
                <w:rFonts w:ascii="Times New Roman" w:eastAsia="Times New Roman" w:hAnsi="Times New Roman" w:cs="Times New Roman"/>
                <w:i/>
                <w:iCs/>
                <w:color w:val="000000"/>
              </w:rPr>
              <w:t>PIT Ratio</w:t>
            </w:r>
          </w:p>
        </w:tc>
      </w:tr>
      <w:tr w:rsidR="00DE0A4A" w:rsidRPr="007C4A97" w:rsidTr="007C4A97">
        <w:trPr>
          <w:trHeight w:val="300"/>
          <w:jc w:val="center"/>
        </w:trPr>
        <w:tc>
          <w:tcPr>
            <w:tcW w:w="976" w:type="dxa"/>
            <w:tcBorders>
              <w:top w:val="nil"/>
              <w:left w:val="nil"/>
              <w:bottom w:val="nil"/>
              <w:right w:val="nil"/>
            </w:tcBorders>
            <w:shd w:val="clear" w:color="auto" w:fill="auto"/>
            <w:noWrap/>
            <w:vAlign w:val="bottom"/>
          </w:tcPr>
          <w:p w:rsidR="00DE0A4A" w:rsidRPr="007C4A97" w:rsidRDefault="00DE0A4A" w:rsidP="007C4A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2017</w:t>
            </w:r>
          </w:p>
        </w:tc>
        <w:tc>
          <w:tcPr>
            <w:tcW w:w="1236" w:type="dxa"/>
            <w:tcBorders>
              <w:top w:val="nil"/>
              <w:left w:val="nil"/>
              <w:bottom w:val="nil"/>
              <w:right w:val="nil"/>
            </w:tcBorders>
            <w:shd w:val="clear" w:color="auto" w:fill="auto"/>
            <w:noWrap/>
            <w:vAlign w:val="bottom"/>
          </w:tcPr>
          <w:p w:rsidR="00DE0A4A" w:rsidRPr="00DE0A4A" w:rsidRDefault="00DE0A4A" w:rsidP="007C4A97">
            <w:pPr>
              <w:spacing w:after="0" w:line="240" w:lineRule="auto"/>
              <w:jc w:val="center"/>
              <w:rPr>
                <w:rFonts w:ascii="Times New Roman" w:eastAsia="Times New Roman" w:hAnsi="Times New Roman" w:cs="Times New Roman"/>
                <w:color w:val="000000"/>
              </w:rPr>
            </w:pPr>
            <w:r w:rsidRPr="00DE0A4A">
              <w:rPr>
                <w:rFonts w:ascii="Times New Roman" w:hAnsi="Times New Roman" w:cs="Times New Roman"/>
                <w:color w:val="000000"/>
              </w:rPr>
              <w:t>1,131,913</w:t>
            </w:r>
          </w:p>
        </w:tc>
        <w:tc>
          <w:tcPr>
            <w:tcW w:w="1676" w:type="dxa"/>
            <w:tcBorders>
              <w:top w:val="nil"/>
              <w:left w:val="nil"/>
              <w:bottom w:val="nil"/>
              <w:right w:val="nil"/>
            </w:tcBorders>
            <w:shd w:val="clear" w:color="auto" w:fill="auto"/>
            <w:noWrap/>
            <w:vAlign w:val="bottom"/>
          </w:tcPr>
          <w:p w:rsidR="00DE0A4A" w:rsidRPr="00DE0A4A" w:rsidRDefault="00DE0A4A" w:rsidP="007C4A97">
            <w:pPr>
              <w:spacing w:after="0" w:line="240" w:lineRule="auto"/>
              <w:jc w:val="center"/>
              <w:rPr>
                <w:rFonts w:ascii="Times New Roman" w:eastAsia="Times New Roman" w:hAnsi="Times New Roman" w:cs="Times New Roman"/>
                <w:color w:val="000000"/>
              </w:rPr>
            </w:pPr>
            <w:r w:rsidRPr="00DE0A4A">
              <w:rPr>
                <w:rFonts w:ascii="Times New Roman" w:hAnsi="Times New Roman" w:cs="Times New Roman"/>
                <w:color w:val="000000"/>
              </w:rPr>
              <w:t>20,158</w:t>
            </w:r>
          </w:p>
        </w:tc>
        <w:tc>
          <w:tcPr>
            <w:tcW w:w="1276" w:type="dxa"/>
            <w:tcBorders>
              <w:top w:val="nil"/>
              <w:left w:val="nil"/>
              <w:bottom w:val="nil"/>
              <w:right w:val="nil"/>
            </w:tcBorders>
            <w:shd w:val="clear" w:color="auto" w:fill="auto"/>
            <w:noWrap/>
            <w:vAlign w:val="bottom"/>
          </w:tcPr>
          <w:p w:rsidR="00DE0A4A" w:rsidRPr="00DE0A4A" w:rsidRDefault="00DE0A4A" w:rsidP="007C4A97">
            <w:pPr>
              <w:spacing w:after="0" w:line="240" w:lineRule="auto"/>
              <w:jc w:val="center"/>
              <w:rPr>
                <w:rFonts w:ascii="Times New Roman" w:eastAsia="Times New Roman" w:hAnsi="Times New Roman" w:cs="Times New Roman"/>
                <w:color w:val="000000"/>
              </w:rPr>
            </w:pPr>
            <w:r w:rsidRPr="00DE0A4A">
              <w:rPr>
                <w:rFonts w:ascii="Times New Roman" w:hAnsi="Times New Roman" w:cs="Times New Roman"/>
                <w:color w:val="000000"/>
              </w:rPr>
              <w:t>56</w:t>
            </w:r>
          </w:p>
        </w:tc>
      </w:tr>
      <w:tr w:rsidR="007C4A97" w:rsidRPr="007C4A97" w:rsidTr="007C4A97">
        <w:trPr>
          <w:trHeight w:val="300"/>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2016</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945,277</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19,957</w:t>
            </w:r>
          </w:p>
        </w:tc>
        <w:tc>
          <w:tcPr>
            <w:tcW w:w="1276" w:type="dxa"/>
            <w:tcBorders>
              <w:top w:val="nil"/>
              <w:left w:val="nil"/>
              <w:bottom w:val="nil"/>
              <w:right w:val="nil"/>
            </w:tcBorders>
            <w:shd w:val="clear" w:color="auto" w:fill="auto"/>
            <w:noWrap/>
            <w:vAlign w:val="bottom"/>
            <w:hideMark/>
          </w:tcPr>
          <w:p w:rsidR="007C4A97" w:rsidRPr="007C4A97" w:rsidRDefault="00DE0A4A" w:rsidP="007C4A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47</w:t>
            </w:r>
          </w:p>
        </w:tc>
      </w:tr>
      <w:tr w:rsidR="007C4A97" w:rsidRPr="007C4A97" w:rsidTr="007C4A97">
        <w:trPr>
          <w:trHeight w:val="300"/>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2015</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1,139,567</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14,994</w:t>
            </w:r>
          </w:p>
        </w:tc>
        <w:tc>
          <w:tcPr>
            <w:tcW w:w="12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76</w:t>
            </w:r>
          </w:p>
        </w:tc>
      </w:tr>
      <w:tr w:rsidR="007C4A97" w:rsidRPr="007C4A97" w:rsidTr="007C4A97">
        <w:trPr>
          <w:trHeight w:val="300"/>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2014</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1,239,025</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13,380</w:t>
            </w:r>
          </w:p>
        </w:tc>
        <w:tc>
          <w:tcPr>
            <w:tcW w:w="12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93</w:t>
            </w:r>
          </w:p>
        </w:tc>
      </w:tr>
      <w:tr w:rsidR="007C4A97" w:rsidRPr="007C4A97" w:rsidTr="007C4A97">
        <w:trPr>
          <w:trHeight w:val="405"/>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2013</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1,289,293</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14,951</w:t>
            </w:r>
          </w:p>
        </w:tc>
        <w:tc>
          <w:tcPr>
            <w:tcW w:w="1276" w:type="dxa"/>
            <w:tcBorders>
              <w:top w:val="nil"/>
              <w:left w:val="nil"/>
              <w:bottom w:val="nil"/>
              <w:right w:val="nil"/>
            </w:tcBorders>
            <w:shd w:val="clear" w:color="auto" w:fill="auto"/>
            <w:noWrap/>
            <w:vAlign w:val="bottom"/>
            <w:hideMark/>
          </w:tcPr>
          <w:p w:rsidR="007C4A97" w:rsidRPr="007C4A97" w:rsidRDefault="00DE0A4A" w:rsidP="007C4A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86</w:t>
            </w:r>
          </w:p>
        </w:tc>
      </w:tr>
      <w:tr w:rsidR="007C4A97" w:rsidRPr="007C4A97" w:rsidTr="007C4A97">
        <w:trPr>
          <w:trHeight w:val="300"/>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2012</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1,186,622</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14,901</w:t>
            </w:r>
          </w:p>
        </w:tc>
        <w:tc>
          <w:tcPr>
            <w:tcW w:w="12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80</w:t>
            </w:r>
          </w:p>
        </w:tc>
      </w:tr>
      <w:tr w:rsidR="007C4A97" w:rsidRPr="007C4A97" w:rsidTr="007C4A97">
        <w:trPr>
          <w:trHeight w:val="300"/>
          <w:jc w:val="center"/>
        </w:trPr>
        <w:tc>
          <w:tcPr>
            <w:tcW w:w="9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2011</w:t>
            </w:r>
          </w:p>
        </w:tc>
        <w:tc>
          <w:tcPr>
            <w:tcW w:w="123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1,189,442</w:t>
            </w:r>
          </w:p>
        </w:tc>
        <w:tc>
          <w:tcPr>
            <w:tcW w:w="1676" w:type="dxa"/>
            <w:tcBorders>
              <w:top w:val="nil"/>
              <w:left w:val="nil"/>
              <w:bottom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14,875</w:t>
            </w:r>
          </w:p>
        </w:tc>
        <w:tc>
          <w:tcPr>
            <w:tcW w:w="1276" w:type="dxa"/>
            <w:tcBorders>
              <w:top w:val="nil"/>
              <w:left w:val="nil"/>
              <w:bottom w:val="nil"/>
              <w:right w:val="nil"/>
            </w:tcBorders>
            <w:shd w:val="clear" w:color="auto" w:fill="auto"/>
            <w:noWrap/>
            <w:vAlign w:val="bottom"/>
            <w:hideMark/>
          </w:tcPr>
          <w:p w:rsidR="007C4A97" w:rsidRPr="007C4A97" w:rsidRDefault="00DE0A4A" w:rsidP="007C4A97">
            <w:pPr>
              <w:spacing w:after="0" w:line="24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80</w:t>
            </w:r>
          </w:p>
        </w:tc>
      </w:tr>
      <w:tr w:rsidR="007C4A97" w:rsidRPr="007C4A97" w:rsidTr="007C4A97">
        <w:trPr>
          <w:trHeight w:val="300"/>
          <w:jc w:val="center"/>
        </w:trPr>
        <w:tc>
          <w:tcPr>
            <w:tcW w:w="976" w:type="dxa"/>
            <w:tcBorders>
              <w:top w:val="nil"/>
              <w:left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2010</w:t>
            </w:r>
          </w:p>
        </w:tc>
        <w:tc>
          <w:tcPr>
            <w:tcW w:w="1236" w:type="dxa"/>
            <w:tcBorders>
              <w:top w:val="nil"/>
              <w:left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1,284,653</w:t>
            </w:r>
          </w:p>
        </w:tc>
        <w:tc>
          <w:tcPr>
            <w:tcW w:w="1676" w:type="dxa"/>
            <w:tcBorders>
              <w:top w:val="nil"/>
              <w:left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14,948</w:t>
            </w:r>
          </w:p>
        </w:tc>
        <w:tc>
          <w:tcPr>
            <w:tcW w:w="1276" w:type="dxa"/>
            <w:tcBorders>
              <w:top w:val="nil"/>
              <w:left w:val="nil"/>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86</w:t>
            </w:r>
          </w:p>
        </w:tc>
      </w:tr>
      <w:tr w:rsidR="007C4A97" w:rsidRPr="007C4A97" w:rsidTr="007C4A97">
        <w:trPr>
          <w:trHeight w:val="300"/>
          <w:jc w:val="center"/>
        </w:trPr>
        <w:tc>
          <w:tcPr>
            <w:tcW w:w="976" w:type="dxa"/>
            <w:tcBorders>
              <w:top w:val="nil"/>
              <w:left w:val="nil"/>
              <w:bottom w:val="single" w:sz="4" w:space="0" w:color="auto"/>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2009</w:t>
            </w:r>
          </w:p>
        </w:tc>
        <w:tc>
          <w:tcPr>
            <w:tcW w:w="1236" w:type="dxa"/>
            <w:tcBorders>
              <w:top w:val="nil"/>
              <w:left w:val="nil"/>
              <w:bottom w:val="single" w:sz="4" w:space="0" w:color="auto"/>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1,685,038</w:t>
            </w:r>
          </w:p>
        </w:tc>
        <w:tc>
          <w:tcPr>
            <w:tcW w:w="1676" w:type="dxa"/>
            <w:tcBorders>
              <w:top w:val="nil"/>
              <w:left w:val="nil"/>
              <w:bottom w:val="single" w:sz="4" w:space="0" w:color="auto"/>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14,931</w:t>
            </w:r>
          </w:p>
        </w:tc>
        <w:tc>
          <w:tcPr>
            <w:tcW w:w="1276" w:type="dxa"/>
            <w:tcBorders>
              <w:top w:val="nil"/>
              <w:left w:val="nil"/>
              <w:bottom w:val="single" w:sz="4" w:space="0" w:color="auto"/>
              <w:right w:val="nil"/>
            </w:tcBorders>
            <w:shd w:val="clear" w:color="auto" w:fill="auto"/>
            <w:noWrap/>
            <w:vAlign w:val="bottom"/>
            <w:hideMark/>
          </w:tcPr>
          <w:p w:rsidR="007C4A97" w:rsidRPr="007C4A97" w:rsidRDefault="007C4A97" w:rsidP="007C4A97">
            <w:pPr>
              <w:spacing w:after="0" w:line="240" w:lineRule="auto"/>
              <w:jc w:val="center"/>
              <w:rPr>
                <w:rFonts w:ascii="Times New Roman" w:eastAsia="Times New Roman" w:hAnsi="Times New Roman" w:cs="Times New Roman"/>
                <w:color w:val="000000"/>
              </w:rPr>
            </w:pPr>
            <w:r w:rsidRPr="007C4A97">
              <w:rPr>
                <w:rFonts w:ascii="Times New Roman" w:eastAsia="Times New Roman" w:hAnsi="Times New Roman" w:cs="Times New Roman"/>
                <w:color w:val="000000"/>
              </w:rPr>
              <w:t>113</w:t>
            </w:r>
          </w:p>
        </w:tc>
      </w:tr>
    </w:tbl>
    <w:p w:rsidR="00AF5D77" w:rsidRDefault="00AF5D77" w:rsidP="007C4A97">
      <w:pPr>
        <w:rPr>
          <w:rFonts w:ascii="Times New Roman" w:hAnsi="Times New Roman" w:cs="Times New Roman"/>
        </w:rPr>
      </w:pPr>
    </w:p>
    <w:p w:rsidR="00E362FF" w:rsidRDefault="00E362FF">
      <w:pPr>
        <w:rPr>
          <w:rFonts w:ascii="Times New Roman" w:hAnsi="Times New Roman" w:cs="Times New Roman"/>
        </w:rPr>
      </w:pPr>
      <w:r>
        <w:rPr>
          <w:rFonts w:ascii="Times New Roman" w:hAnsi="Times New Roman" w:cs="Times New Roman"/>
        </w:rPr>
        <w:t xml:space="preserve">Table 2 shows the </w:t>
      </w:r>
      <w:r w:rsidR="003C60E3">
        <w:rPr>
          <w:rFonts w:ascii="Times New Roman" w:hAnsi="Times New Roman" w:cs="Times New Roman"/>
        </w:rPr>
        <w:t xml:space="preserve">average </w:t>
      </w:r>
      <w:r w:rsidR="00EA2A62">
        <w:rPr>
          <w:rFonts w:ascii="Times New Roman" w:hAnsi="Times New Roman" w:cs="Times New Roman"/>
        </w:rPr>
        <w:t>conversion rate</w:t>
      </w:r>
      <w:r>
        <w:rPr>
          <w:rFonts w:ascii="Times New Roman" w:hAnsi="Times New Roman" w:cs="Times New Roman"/>
        </w:rPr>
        <w:t>s</w:t>
      </w:r>
      <w:r w:rsidR="00EA2A62">
        <w:rPr>
          <w:rFonts w:ascii="Times New Roman" w:hAnsi="Times New Roman" w:cs="Times New Roman"/>
        </w:rPr>
        <w:t xml:space="preserve"> </w:t>
      </w:r>
      <w:r>
        <w:rPr>
          <w:rFonts w:ascii="Times New Roman" w:hAnsi="Times New Roman" w:cs="Times New Roman"/>
        </w:rPr>
        <w:t>as well as the average 0.64</w:t>
      </w:r>
      <w:r w:rsidR="002C0DC5">
        <w:rPr>
          <w:rFonts w:ascii="Times New Roman" w:hAnsi="Times New Roman" w:cs="Times New Roman"/>
        </w:rPr>
        <w:t>7</w:t>
      </w:r>
      <w:r>
        <w:rPr>
          <w:rFonts w:ascii="Times New Roman" w:hAnsi="Times New Roman" w:cs="Times New Roman"/>
        </w:rPr>
        <w:t>.</w:t>
      </w:r>
      <w:r w:rsidR="00EA2A62">
        <w:rPr>
          <w:rFonts w:ascii="Times New Roman" w:hAnsi="Times New Roman" w:cs="Times New Roman"/>
        </w:rPr>
        <w:t xml:space="preserve"> </w:t>
      </w:r>
      <w:r>
        <w:rPr>
          <w:rFonts w:ascii="Times New Roman" w:hAnsi="Times New Roman" w:cs="Times New Roman"/>
        </w:rPr>
        <w:t>No data is available prior to the installation of the lower Icicle River PIT antenna array (ICL)</w:t>
      </w:r>
      <w:r w:rsidR="00AF1737">
        <w:rPr>
          <w:rFonts w:ascii="Times New Roman" w:hAnsi="Times New Roman" w:cs="Times New Roman"/>
        </w:rPr>
        <w:t xml:space="preserve"> in 2012</w:t>
      </w:r>
      <w:r>
        <w:rPr>
          <w:rFonts w:ascii="Times New Roman" w:hAnsi="Times New Roman" w:cs="Times New Roman"/>
        </w:rPr>
        <w:t xml:space="preserve">. </w:t>
      </w:r>
      <w:r w:rsidR="00AF1737">
        <w:rPr>
          <w:rFonts w:ascii="Times New Roman" w:hAnsi="Times New Roman" w:cs="Times New Roman"/>
        </w:rPr>
        <w:t xml:space="preserve"> We use the trend observed between 2012 until the present to forecast the next years’ return. </w:t>
      </w:r>
    </w:p>
    <w:p w:rsidR="00CA413A" w:rsidRPr="00CA413A" w:rsidRDefault="00CA413A" w:rsidP="00CA413A">
      <w:pPr>
        <w:pStyle w:val="Caption"/>
        <w:keepNext/>
        <w:rPr>
          <w:rFonts w:cs="Times New Roman"/>
          <w:b/>
          <w:i w:val="0"/>
          <w:color w:val="auto"/>
          <w:sz w:val="22"/>
          <w:szCs w:val="22"/>
        </w:rPr>
      </w:pPr>
      <w:r w:rsidRPr="00CA413A">
        <w:rPr>
          <w:rFonts w:cs="Times New Roman"/>
          <w:b/>
          <w:i w:val="0"/>
          <w:color w:val="auto"/>
          <w:sz w:val="22"/>
          <w:szCs w:val="22"/>
        </w:rPr>
        <w:lastRenderedPageBreak/>
        <w:t xml:space="preserve">Table </w:t>
      </w:r>
      <w:r w:rsidRPr="00CA413A">
        <w:rPr>
          <w:rFonts w:cs="Times New Roman"/>
          <w:b/>
          <w:i w:val="0"/>
          <w:color w:val="auto"/>
          <w:sz w:val="22"/>
          <w:szCs w:val="22"/>
        </w:rPr>
        <w:fldChar w:fldCharType="begin"/>
      </w:r>
      <w:r w:rsidRPr="00CA413A">
        <w:rPr>
          <w:rFonts w:cs="Times New Roman"/>
          <w:b/>
          <w:i w:val="0"/>
          <w:color w:val="auto"/>
          <w:sz w:val="22"/>
          <w:szCs w:val="22"/>
        </w:rPr>
        <w:instrText xml:space="preserve"> SEQ Table \* ARABIC </w:instrText>
      </w:r>
      <w:r w:rsidRPr="00CA413A">
        <w:rPr>
          <w:rFonts w:cs="Times New Roman"/>
          <w:b/>
          <w:i w:val="0"/>
          <w:color w:val="auto"/>
          <w:sz w:val="22"/>
          <w:szCs w:val="22"/>
        </w:rPr>
        <w:fldChar w:fldCharType="separate"/>
      </w:r>
      <w:r w:rsidR="00CA4671">
        <w:rPr>
          <w:rFonts w:cs="Times New Roman"/>
          <w:b/>
          <w:i w:val="0"/>
          <w:noProof/>
          <w:color w:val="auto"/>
          <w:sz w:val="22"/>
          <w:szCs w:val="22"/>
        </w:rPr>
        <w:t>2</w:t>
      </w:r>
      <w:r w:rsidRPr="00CA413A">
        <w:rPr>
          <w:rFonts w:cs="Times New Roman"/>
          <w:b/>
          <w:i w:val="0"/>
          <w:color w:val="auto"/>
          <w:sz w:val="22"/>
          <w:szCs w:val="22"/>
        </w:rPr>
        <w:fldChar w:fldCharType="end"/>
      </w:r>
      <w:r w:rsidRPr="00CA413A">
        <w:rPr>
          <w:rFonts w:cs="Times New Roman"/>
          <w:b/>
          <w:i w:val="0"/>
          <w:color w:val="auto"/>
          <w:sz w:val="22"/>
          <w:szCs w:val="22"/>
        </w:rPr>
        <w:t xml:space="preserve"> </w:t>
      </w:r>
      <w:r w:rsidR="00624783">
        <w:rPr>
          <w:rFonts w:cs="Times New Roman"/>
          <w:b/>
          <w:i w:val="0"/>
          <w:color w:val="auto"/>
          <w:sz w:val="22"/>
          <w:szCs w:val="22"/>
        </w:rPr>
        <w:t xml:space="preserve">Age Weighted </w:t>
      </w:r>
      <w:r w:rsidR="00E362FF">
        <w:rPr>
          <w:rFonts w:cs="Times New Roman"/>
          <w:b/>
          <w:i w:val="0"/>
          <w:color w:val="auto"/>
          <w:sz w:val="22"/>
          <w:szCs w:val="22"/>
        </w:rPr>
        <w:t>Conversion rates between 2012 and 2017</w:t>
      </w:r>
    </w:p>
    <w:tbl>
      <w:tblPr>
        <w:tblW w:w="4207" w:type="dxa"/>
        <w:tblLook w:val="04A0" w:firstRow="1" w:lastRow="0" w:firstColumn="1" w:lastColumn="0" w:noHBand="0" w:noVBand="1"/>
      </w:tblPr>
      <w:tblGrid>
        <w:gridCol w:w="1806"/>
        <w:gridCol w:w="1170"/>
        <w:gridCol w:w="1231"/>
      </w:tblGrid>
      <w:tr w:rsidR="00D10B8D" w:rsidRPr="00D10B8D" w:rsidTr="00531E92">
        <w:trPr>
          <w:trHeight w:val="300"/>
        </w:trPr>
        <w:tc>
          <w:tcPr>
            <w:tcW w:w="1806" w:type="dxa"/>
            <w:tcBorders>
              <w:top w:val="single" w:sz="4" w:space="0" w:color="auto"/>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i/>
                <w:iCs/>
                <w:color w:val="000000"/>
              </w:rPr>
            </w:pPr>
            <w:r w:rsidRPr="00D10B8D">
              <w:rPr>
                <w:rFonts w:ascii="Times New Roman" w:eastAsia="Times New Roman" w:hAnsi="Times New Roman" w:cs="Times New Roman"/>
                <w:i/>
                <w:iCs/>
                <w:color w:val="000000"/>
              </w:rPr>
              <w:t>BON</w:t>
            </w:r>
          </w:p>
        </w:tc>
        <w:tc>
          <w:tcPr>
            <w:tcW w:w="1170" w:type="dxa"/>
            <w:tcBorders>
              <w:top w:val="single" w:sz="4" w:space="0" w:color="auto"/>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i/>
                <w:iCs/>
                <w:color w:val="000000"/>
              </w:rPr>
            </w:pPr>
            <w:r w:rsidRPr="00D10B8D">
              <w:rPr>
                <w:rFonts w:ascii="Times New Roman" w:eastAsia="Times New Roman" w:hAnsi="Times New Roman" w:cs="Times New Roman"/>
                <w:i/>
                <w:iCs/>
                <w:color w:val="000000"/>
              </w:rPr>
              <w:t>ICL</w:t>
            </w:r>
          </w:p>
        </w:tc>
        <w:tc>
          <w:tcPr>
            <w:tcW w:w="1231" w:type="dxa"/>
            <w:tcBorders>
              <w:top w:val="single" w:sz="4" w:space="0" w:color="auto"/>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i/>
                <w:iCs/>
                <w:color w:val="000000"/>
              </w:rPr>
            </w:pPr>
            <w:r w:rsidRPr="00D10B8D">
              <w:rPr>
                <w:rFonts w:ascii="Times New Roman" w:eastAsia="Times New Roman" w:hAnsi="Times New Roman" w:cs="Times New Roman"/>
                <w:i/>
                <w:iCs/>
                <w:color w:val="000000"/>
              </w:rPr>
              <w:t>Conversion</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98</w:t>
            </w: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63</w:t>
            </w:r>
          </w:p>
        </w:tc>
        <w:tc>
          <w:tcPr>
            <w:tcW w:w="1231"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0.739</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40</w:t>
            </w: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30</w:t>
            </w:r>
          </w:p>
        </w:tc>
        <w:tc>
          <w:tcPr>
            <w:tcW w:w="1231"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0.862</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121</w:t>
            </w: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56</w:t>
            </w:r>
          </w:p>
        </w:tc>
        <w:tc>
          <w:tcPr>
            <w:tcW w:w="1231"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0.532</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80</w:t>
            </w: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60</w:t>
            </w:r>
          </w:p>
        </w:tc>
        <w:tc>
          <w:tcPr>
            <w:tcW w:w="1231"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0.862</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68</w:t>
            </w: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36</w:t>
            </w:r>
          </w:p>
        </w:tc>
        <w:tc>
          <w:tcPr>
            <w:tcW w:w="1231" w:type="dxa"/>
            <w:tcBorders>
              <w:top w:val="nil"/>
              <w:left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0.609</w:t>
            </w:r>
          </w:p>
        </w:tc>
      </w:tr>
      <w:tr w:rsidR="00D10B8D" w:rsidRPr="00D10B8D" w:rsidTr="00531E92">
        <w:trPr>
          <w:trHeight w:val="300"/>
        </w:trPr>
        <w:tc>
          <w:tcPr>
            <w:tcW w:w="1806" w:type="dxa"/>
            <w:tcBorders>
              <w:top w:val="nil"/>
              <w:left w:val="nil"/>
              <w:bottom w:val="single" w:sz="4" w:space="0" w:color="auto"/>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17</w:t>
            </w:r>
          </w:p>
        </w:tc>
        <w:tc>
          <w:tcPr>
            <w:tcW w:w="1170" w:type="dxa"/>
            <w:tcBorders>
              <w:top w:val="nil"/>
              <w:left w:val="nil"/>
              <w:bottom w:val="single" w:sz="4" w:space="0" w:color="auto"/>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8</w:t>
            </w:r>
          </w:p>
        </w:tc>
        <w:tc>
          <w:tcPr>
            <w:tcW w:w="1231" w:type="dxa"/>
            <w:tcBorders>
              <w:top w:val="nil"/>
              <w:left w:val="nil"/>
              <w:bottom w:val="single" w:sz="4" w:space="0" w:color="auto"/>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0.541</w:t>
            </w:r>
          </w:p>
        </w:tc>
      </w:tr>
      <w:tr w:rsidR="00D10B8D" w:rsidRPr="00D10B8D" w:rsidTr="00531E92">
        <w:trPr>
          <w:trHeight w:val="300"/>
        </w:trPr>
        <w:tc>
          <w:tcPr>
            <w:tcW w:w="1806"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p>
        </w:tc>
        <w:tc>
          <w:tcPr>
            <w:tcW w:w="1170" w:type="dxa"/>
            <w:tcBorders>
              <w:top w:val="nil"/>
              <w:left w:val="nil"/>
              <w:bottom w:val="nil"/>
              <w:right w:val="nil"/>
            </w:tcBorders>
            <w:shd w:val="clear" w:color="auto" w:fill="auto"/>
            <w:noWrap/>
            <w:vAlign w:val="bottom"/>
            <w:hideMark/>
          </w:tcPr>
          <w:p w:rsidR="00D10B8D" w:rsidRPr="00D10B8D" w:rsidRDefault="00D10B8D" w:rsidP="00D10B8D">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Average:</w:t>
            </w:r>
          </w:p>
        </w:tc>
        <w:tc>
          <w:tcPr>
            <w:tcW w:w="1231" w:type="dxa"/>
            <w:tcBorders>
              <w:top w:val="single" w:sz="4" w:space="0" w:color="auto"/>
              <w:left w:val="nil"/>
              <w:bottom w:val="nil"/>
              <w:right w:val="nil"/>
            </w:tcBorders>
            <w:shd w:val="clear" w:color="auto" w:fill="auto"/>
            <w:noWrap/>
            <w:vAlign w:val="bottom"/>
            <w:hideMark/>
          </w:tcPr>
          <w:p w:rsidR="00D10B8D" w:rsidRPr="00D10B8D" w:rsidRDefault="00D10B8D" w:rsidP="00D10B8D">
            <w:pPr>
              <w:spacing w:after="0" w:line="240" w:lineRule="auto"/>
              <w:jc w:val="center"/>
              <w:rPr>
                <w:rFonts w:ascii="Times New Roman" w:eastAsia="Times New Roman" w:hAnsi="Times New Roman" w:cs="Times New Roman"/>
                <w:color w:val="000000"/>
              </w:rPr>
            </w:pPr>
            <w:r w:rsidRPr="00D10B8D">
              <w:rPr>
                <w:rFonts w:ascii="Times New Roman" w:eastAsia="Times New Roman" w:hAnsi="Times New Roman" w:cs="Times New Roman"/>
                <w:color w:val="000000"/>
              </w:rPr>
              <w:t>0.691</w:t>
            </w:r>
          </w:p>
        </w:tc>
      </w:tr>
    </w:tbl>
    <w:p w:rsidR="00C131DC" w:rsidRDefault="00C131DC">
      <w:pPr>
        <w:rPr>
          <w:rFonts w:ascii="Times New Roman" w:hAnsi="Times New Roman" w:cs="Times New Roman"/>
        </w:rPr>
      </w:pPr>
      <w:bookmarkStart w:id="0" w:name="_GoBack"/>
      <w:bookmarkEnd w:id="0"/>
    </w:p>
    <w:p w:rsidR="003B0BF9" w:rsidRDefault="005925E5">
      <w:pPr>
        <w:rPr>
          <w:rFonts w:ascii="Times New Roman" w:hAnsi="Times New Roman" w:cs="Times New Roman"/>
        </w:rPr>
      </w:pPr>
      <w:r>
        <w:rPr>
          <w:rFonts w:ascii="Times New Roman" w:hAnsi="Times New Roman" w:cs="Times New Roman"/>
        </w:rPr>
        <w:t>We further adjust the in</w:t>
      </w:r>
      <w:r w:rsidR="00EC73B0">
        <w:rPr>
          <w:rFonts w:ascii="Times New Roman" w:hAnsi="Times New Roman" w:cs="Times New Roman"/>
        </w:rPr>
        <w:t>-season</w:t>
      </w:r>
      <w:r>
        <w:rPr>
          <w:rFonts w:ascii="Times New Roman" w:hAnsi="Times New Roman" w:cs="Times New Roman"/>
        </w:rPr>
        <w:t xml:space="preserve"> forecast</w:t>
      </w:r>
      <w:r w:rsidR="00EC73B0">
        <w:rPr>
          <w:rFonts w:ascii="Times New Roman" w:hAnsi="Times New Roman" w:cs="Times New Roman"/>
        </w:rPr>
        <w:t xml:space="preserve"> </w:t>
      </w:r>
      <w:r w:rsidR="003A0408">
        <w:rPr>
          <w:rFonts w:ascii="Times New Roman" w:hAnsi="Times New Roman" w:cs="Times New Roman"/>
        </w:rPr>
        <w:t>based on</w:t>
      </w:r>
      <w:r w:rsidR="00EC73B0">
        <w:rPr>
          <w:rFonts w:ascii="Times New Roman" w:hAnsi="Times New Roman" w:cs="Times New Roman"/>
        </w:rPr>
        <w:t xml:space="preserve"> the m</w:t>
      </w:r>
      <w:r w:rsidR="00C32907">
        <w:rPr>
          <w:rFonts w:ascii="Times New Roman" w:hAnsi="Times New Roman" w:cs="Times New Roman"/>
        </w:rPr>
        <w:t>igration timing characteristics of</w:t>
      </w:r>
      <w:r w:rsidR="009A4533">
        <w:rPr>
          <w:rFonts w:ascii="Times New Roman" w:hAnsi="Times New Roman" w:cs="Times New Roman"/>
        </w:rPr>
        <w:t xml:space="preserve"> adult Spring Chino</w:t>
      </w:r>
      <w:r w:rsidR="00C131DC">
        <w:rPr>
          <w:rFonts w:ascii="Times New Roman" w:hAnsi="Times New Roman" w:cs="Times New Roman"/>
        </w:rPr>
        <w:t>ok</w:t>
      </w:r>
      <w:r w:rsidR="00EC73B0">
        <w:rPr>
          <w:rFonts w:ascii="Times New Roman" w:hAnsi="Times New Roman" w:cs="Times New Roman"/>
        </w:rPr>
        <w:t xml:space="preserve">. </w:t>
      </w:r>
      <w:r w:rsidR="003A0408">
        <w:rPr>
          <w:rFonts w:ascii="Times New Roman" w:hAnsi="Times New Roman" w:cs="Times New Roman"/>
        </w:rPr>
        <w:t>PIT tag data shows that t</w:t>
      </w:r>
      <w:r w:rsidR="00C131DC">
        <w:rPr>
          <w:rFonts w:ascii="Times New Roman" w:hAnsi="Times New Roman" w:cs="Times New Roman"/>
        </w:rPr>
        <w:t>he first LNFH origin</w:t>
      </w:r>
      <w:r w:rsidR="00AF5D77">
        <w:rPr>
          <w:rFonts w:ascii="Times New Roman" w:hAnsi="Times New Roman" w:cs="Times New Roman"/>
        </w:rPr>
        <w:t xml:space="preserve"> adults be</w:t>
      </w:r>
      <w:r w:rsidR="00C131DC">
        <w:rPr>
          <w:rFonts w:ascii="Times New Roman" w:hAnsi="Times New Roman" w:cs="Times New Roman"/>
        </w:rPr>
        <w:t>gin passing over Bonneville Dam in early April</w:t>
      </w:r>
      <w:r w:rsidR="009A4533">
        <w:rPr>
          <w:rFonts w:ascii="Times New Roman" w:hAnsi="Times New Roman" w:cs="Times New Roman"/>
        </w:rPr>
        <w:t xml:space="preserve"> and o</w:t>
      </w:r>
      <w:r w:rsidR="00C131DC">
        <w:rPr>
          <w:rFonts w:ascii="Times New Roman" w:hAnsi="Times New Roman" w:cs="Times New Roman"/>
        </w:rPr>
        <w:t xml:space="preserve">n average 50% passage </w:t>
      </w:r>
      <w:r w:rsidR="0052346A">
        <w:rPr>
          <w:rFonts w:ascii="Times New Roman" w:hAnsi="Times New Roman" w:cs="Times New Roman"/>
        </w:rPr>
        <w:t>occurs</w:t>
      </w:r>
      <w:r w:rsidR="00C131DC">
        <w:rPr>
          <w:rFonts w:ascii="Times New Roman" w:hAnsi="Times New Roman" w:cs="Times New Roman"/>
        </w:rPr>
        <w:t xml:space="preserve"> May </w:t>
      </w:r>
      <w:r w:rsidR="0052346A">
        <w:rPr>
          <w:rFonts w:ascii="Times New Roman" w:hAnsi="Times New Roman" w:cs="Times New Roman"/>
        </w:rPr>
        <w:t>3</w:t>
      </w:r>
      <w:r w:rsidR="00C131DC" w:rsidRPr="00C131DC">
        <w:rPr>
          <w:rFonts w:ascii="Times New Roman" w:hAnsi="Times New Roman" w:cs="Times New Roman"/>
          <w:vertAlign w:val="superscript"/>
        </w:rPr>
        <w:t>nd</w:t>
      </w:r>
      <w:r w:rsidR="00EC73B0">
        <w:rPr>
          <w:rFonts w:ascii="Times New Roman" w:hAnsi="Times New Roman" w:cs="Times New Roman"/>
          <w:vertAlign w:val="superscript"/>
        </w:rPr>
        <w:t xml:space="preserve"> </w:t>
      </w:r>
      <w:r w:rsidR="00CA4671">
        <w:rPr>
          <w:rFonts w:ascii="Times New Roman" w:hAnsi="Times New Roman" w:cs="Times New Roman"/>
        </w:rPr>
        <w:t>(Table 3</w:t>
      </w:r>
      <w:r w:rsidR="00792BD1">
        <w:rPr>
          <w:rFonts w:ascii="Times New Roman" w:hAnsi="Times New Roman" w:cs="Times New Roman"/>
        </w:rPr>
        <w:t>.)</w:t>
      </w:r>
      <w:r w:rsidR="00510ABD">
        <w:rPr>
          <w:rFonts w:ascii="Times New Roman" w:hAnsi="Times New Roman" w:cs="Times New Roman"/>
        </w:rPr>
        <w:t xml:space="preserve"> </w:t>
      </w:r>
      <w:r w:rsidR="003A0408">
        <w:rPr>
          <w:rFonts w:ascii="Times New Roman" w:hAnsi="Times New Roman" w:cs="Times New Roman"/>
        </w:rPr>
        <w:t xml:space="preserve">Run timing allows us to make and adjust the in-season forecast in real time as returns are detected over Bonneville Dam. </w:t>
      </w:r>
      <w:r w:rsidR="00F4397A">
        <w:rPr>
          <w:rFonts w:ascii="Times New Roman" w:hAnsi="Times New Roman" w:cs="Times New Roman"/>
        </w:rPr>
        <w:t xml:space="preserve">Forecasting can be used to make management decisions </w:t>
      </w:r>
      <w:r w:rsidR="0052346A">
        <w:rPr>
          <w:rFonts w:ascii="Times New Roman" w:hAnsi="Times New Roman" w:cs="Times New Roman"/>
        </w:rPr>
        <w:t xml:space="preserve">as far as 30 days before fish begin returning to the Icicle with regards to fish ladder operation or harvest season dates and limits. </w:t>
      </w:r>
    </w:p>
    <w:p w:rsidR="00CA4671" w:rsidRPr="00CA4671" w:rsidRDefault="00CA4671" w:rsidP="00CA4671">
      <w:pPr>
        <w:pStyle w:val="Caption"/>
        <w:keepNext/>
        <w:rPr>
          <w:b/>
          <w:i w:val="0"/>
          <w:color w:val="auto"/>
          <w:sz w:val="22"/>
        </w:rPr>
      </w:pPr>
      <w:r w:rsidRPr="00CA4671">
        <w:rPr>
          <w:b/>
          <w:i w:val="0"/>
          <w:color w:val="auto"/>
          <w:sz w:val="22"/>
        </w:rPr>
        <w:t xml:space="preserve">Table </w:t>
      </w:r>
      <w:r w:rsidRPr="00CA4671">
        <w:rPr>
          <w:b/>
          <w:i w:val="0"/>
          <w:color w:val="auto"/>
          <w:sz w:val="22"/>
        </w:rPr>
        <w:fldChar w:fldCharType="begin"/>
      </w:r>
      <w:r w:rsidRPr="00CA4671">
        <w:rPr>
          <w:b/>
          <w:i w:val="0"/>
          <w:color w:val="auto"/>
          <w:sz w:val="22"/>
        </w:rPr>
        <w:instrText xml:space="preserve"> SEQ Table \* ARABIC </w:instrText>
      </w:r>
      <w:r w:rsidRPr="00CA4671">
        <w:rPr>
          <w:b/>
          <w:i w:val="0"/>
          <w:color w:val="auto"/>
          <w:sz w:val="22"/>
        </w:rPr>
        <w:fldChar w:fldCharType="separate"/>
      </w:r>
      <w:r w:rsidRPr="00CA4671">
        <w:rPr>
          <w:b/>
          <w:i w:val="0"/>
          <w:noProof/>
          <w:color w:val="auto"/>
          <w:sz w:val="22"/>
        </w:rPr>
        <w:t>3</w:t>
      </w:r>
      <w:r w:rsidRPr="00CA4671">
        <w:rPr>
          <w:b/>
          <w:i w:val="0"/>
          <w:color w:val="auto"/>
          <w:sz w:val="22"/>
        </w:rPr>
        <w:fldChar w:fldCharType="end"/>
      </w:r>
      <w:r w:rsidRPr="00CA4671">
        <w:rPr>
          <w:b/>
          <w:i w:val="0"/>
          <w:color w:val="auto"/>
          <w:sz w:val="22"/>
        </w:rPr>
        <w:t>. Migration Timing Characteristics adult PIT tag Hatchery Spring Chinook Released in Icicle Creek, Bonneville Dam</w:t>
      </w:r>
      <w:r w:rsidR="00177148">
        <w:rPr>
          <w:b/>
          <w:i w:val="0"/>
          <w:color w:val="auto"/>
          <w:sz w:val="22"/>
        </w:rPr>
        <w:t xml:space="preserve"> 2007 – 2017 (</w:t>
      </w:r>
      <w:r w:rsidR="00557F7F">
        <w:rPr>
          <w:b/>
          <w:i w:val="0"/>
          <w:color w:val="auto"/>
          <w:sz w:val="22"/>
        </w:rPr>
        <w:t>Columbia River DART 2018)</w:t>
      </w:r>
    </w:p>
    <w:tbl>
      <w:tblPr>
        <w:tblStyle w:val="TableGrid"/>
        <w:tblW w:w="957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
        <w:gridCol w:w="900"/>
        <w:gridCol w:w="900"/>
        <w:gridCol w:w="828"/>
        <w:gridCol w:w="972"/>
        <w:gridCol w:w="1042"/>
        <w:gridCol w:w="1007"/>
        <w:gridCol w:w="1007"/>
        <w:gridCol w:w="1007"/>
        <w:gridCol w:w="995"/>
      </w:tblGrid>
      <w:tr w:rsidR="00855A0A" w:rsidRPr="00855A0A" w:rsidTr="00CA4671">
        <w:trPr>
          <w:trHeight w:val="300"/>
        </w:trPr>
        <w:tc>
          <w:tcPr>
            <w:tcW w:w="9576" w:type="dxa"/>
            <w:gridSpan w:val="10"/>
            <w:tcBorders>
              <w:top w:val="single" w:sz="4" w:space="0" w:color="auto"/>
            </w:tcBorders>
            <w:noWrap/>
          </w:tcPr>
          <w:p w:rsidR="00855A0A" w:rsidRPr="00855A0A" w:rsidRDefault="00855A0A" w:rsidP="00855A0A">
            <w:pPr>
              <w:rPr>
                <w:rFonts w:ascii="Arial" w:hAnsi="Arial" w:cs="Arial"/>
                <w:b/>
                <w:sz w:val="20"/>
                <w:szCs w:val="20"/>
              </w:rPr>
            </w:pPr>
          </w:p>
        </w:tc>
      </w:tr>
      <w:tr w:rsidR="00855A0A" w:rsidRPr="00855A0A" w:rsidTr="00CA4671">
        <w:trPr>
          <w:trHeight w:val="300"/>
        </w:trPr>
        <w:tc>
          <w:tcPr>
            <w:tcW w:w="918"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Year</w:t>
            </w:r>
          </w:p>
        </w:tc>
        <w:tc>
          <w:tcPr>
            <w:tcW w:w="900"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First Passage Date</w:t>
            </w:r>
          </w:p>
        </w:tc>
        <w:tc>
          <w:tcPr>
            <w:tcW w:w="900"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5% Passage Date</w:t>
            </w:r>
          </w:p>
        </w:tc>
        <w:tc>
          <w:tcPr>
            <w:tcW w:w="828"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10% Passage Date</w:t>
            </w:r>
          </w:p>
        </w:tc>
        <w:tc>
          <w:tcPr>
            <w:tcW w:w="972"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25% Passage Date</w:t>
            </w:r>
          </w:p>
        </w:tc>
        <w:tc>
          <w:tcPr>
            <w:tcW w:w="1042"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50% Passage Date</w:t>
            </w:r>
          </w:p>
        </w:tc>
        <w:tc>
          <w:tcPr>
            <w:tcW w:w="1007"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75% Passage Date</w:t>
            </w:r>
          </w:p>
        </w:tc>
        <w:tc>
          <w:tcPr>
            <w:tcW w:w="1007"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90% Passage Date</w:t>
            </w:r>
          </w:p>
        </w:tc>
        <w:tc>
          <w:tcPr>
            <w:tcW w:w="1007"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95% Passage Date</w:t>
            </w:r>
          </w:p>
        </w:tc>
        <w:tc>
          <w:tcPr>
            <w:tcW w:w="995"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Last Passage Date</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i/>
                <w:sz w:val="20"/>
                <w:szCs w:val="20"/>
              </w:rPr>
            </w:pPr>
            <w:r w:rsidRPr="00855A0A">
              <w:rPr>
                <w:rFonts w:ascii="Times New Roman" w:hAnsi="Times New Roman" w:cs="Times New Roman"/>
                <w:i/>
                <w:sz w:val="20"/>
                <w:szCs w:val="20"/>
              </w:rPr>
              <w:t xml:space="preserve">Average </w:t>
            </w:r>
          </w:p>
        </w:tc>
        <w:tc>
          <w:tcPr>
            <w:tcW w:w="900"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03/</w:t>
            </w:r>
            <w:r w:rsidR="00855A0A" w:rsidRPr="00855A0A">
              <w:rPr>
                <w:rFonts w:ascii="Times New Roman" w:hAnsi="Times New Roman" w:cs="Times New Roman"/>
                <w:sz w:val="20"/>
                <w:szCs w:val="20"/>
              </w:rPr>
              <w:t>2</w:t>
            </w:r>
            <w:r>
              <w:rPr>
                <w:rFonts w:ascii="Times New Roman" w:hAnsi="Times New Roman" w:cs="Times New Roman"/>
                <w:sz w:val="20"/>
                <w:szCs w:val="20"/>
              </w:rPr>
              <w:t>9</w:t>
            </w:r>
          </w:p>
        </w:tc>
        <w:tc>
          <w:tcPr>
            <w:tcW w:w="900" w:type="dxa"/>
            <w:noWrap/>
            <w:hideMark/>
          </w:tcPr>
          <w:p w:rsidR="00855A0A" w:rsidRPr="00855A0A" w:rsidRDefault="00855A0A" w:rsidP="00BB1571">
            <w:pPr>
              <w:rPr>
                <w:rFonts w:ascii="Times New Roman" w:hAnsi="Times New Roman" w:cs="Times New Roman"/>
                <w:sz w:val="20"/>
                <w:szCs w:val="20"/>
              </w:rPr>
            </w:pPr>
            <w:r w:rsidRPr="00855A0A">
              <w:rPr>
                <w:rFonts w:ascii="Times New Roman" w:hAnsi="Times New Roman" w:cs="Times New Roman"/>
                <w:sz w:val="20"/>
                <w:szCs w:val="20"/>
              </w:rPr>
              <w:t>04/1</w:t>
            </w:r>
            <w:r w:rsidR="00BB1571">
              <w:rPr>
                <w:rFonts w:ascii="Times New Roman" w:hAnsi="Times New Roman" w:cs="Times New Roman"/>
                <w:sz w:val="20"/>
                <w:szCs w:val="20"/>
              </w:rPr>
              <w:t>3</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04/21</w:t>
            </w:r>
          </w:p>
        </w:tc>
        <w:tc>
          <w:tcPr>
            <w:tcW w:w="972" w:type="dxa"/>
            <w:noWrap/>
            <w:hideMark/>
          </w:tcPr>
          <w:p w:rsidR="00855A0A" w:rsidRPr="00855A0A" w:rsidRDefault="00855A0A" w:rsidP="00BB1571">
            <w:pPr>
              <w:rPr>
                <w:rFonts w:ascii="Times New Roman" w:hAnsi="Times New Roman" w:cs="Times New Roman"/>
                <w:sz w:val="20"/>
                <w:szCs w:val="20"/>
              </w:rPr>
            </w:pPr>
            <w:r w:rsidRPr="00855A0A">
              <w:rPr>
                <w:rFonts w:ascii="Times New Roman" w:hAnsi="Times New Roman" w:cs="Times New Roman"/>
                <w:sz w:val="20"/>
                <w:szCs w:val="20"/>
              </w:rPr>
              <w:t>04/2</w:t>
            </w:r>
            <w:r w:rsidR="00BB1571">
              <w:rPr>
                <w:rFonts w:ascii="Times New Roman" w:hAnsi="Times New Roman" w:cs="Times New Roman"/>
                <w:sz w:val="20"/>
                <w:szCs w:val="20"/>
              </w:rPr>
              <w:t>5</w:t>
            </w:r>
          </w:p>
        </w:tc>
        <w:tc>
          <w:tcPr>
            <w:tcW w:w="1042" w:type="dxa"/>
            <w:noWrap/>
            <w:hideMark/>
          </w:tcPr>
          <w:p w:rsidR="00855A0A" w:rsidRPr="00855A0A" w:rsidRDefault="00855A0A" w:rsidP="00BB1571">
            <w:pPr>
              <w:rPr>
                <w:rFonts w:ascii="Times New Roman" w:hAnsi="Times New Roman" w:cs="Times New Roman"/>
                <w:sz w:val="20"/>
                <w:szCs w:val="20"/>
              </w:rPr>
            </w:pPr>
            <w:r w:rsidRPr="00855A0A">
              <w:rPr>
                <w:rFonts w:ascii="Times New Roman" w:hAnsi="Times New Roman" w:cs="Times New Roman"/>
                <w:sz w:val="20"/>
                <w:szCs w:val="20"/>
              </w:rPr>
              <w:t>05/0</w:t>
            </w:r>
            <w:r w:rsidR="00BB1571">
              <w:rPr>
                <w:rFonts w:ascii="Times New Roman" w:hAnsi="Times New Roman" w:cs="Times New Roman"/>
                <w:sz w:val="20"/>
                <w:szCs w:val="20"/>
              </w:rPr>
              <w:t>2</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w:t>
            </w:r>
            <w:r w:rsidR="00BB1571">
              <w:rPr>
                <w:rFonts w:ascii="Times New Roman" w:hAnsi="Times New Roman" w:cs="Times New Roman"/>
                <w:sz w:val="20"/>
                <w:szCs w:val="20"/>
              </w:rPr>
              <w:t>5/19</w:t>
            </w:r>
          </w:p>
        </w:tc>
        <w:tc>
          <w:tcPr>
            <w:tcW w:w="1007"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06/12</w:t>
            </w:r>
          </w:p>
        </w:tc>
        <w:tc>
          <w:tcPr>
            <w:tcW w:w="1007"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06/21</w:t>
            </w:r>
          </w:p>
        </w:tc>
        <w:tc>
          <w:tcPr>
            <w:tcW w:w="995"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07/15</w:t>
            </w:r>
          </w:p>
        </w:tc>
      </w:tr>
      <w:tr w:rsidR="00855A0A" w:rsidRPr="00855A0A" w:rsidTr="00CA4671">
        <w:trPr>
          <w:trHeight w:val="300"/>
        </w:trPr>
        <w:tc>
          <w:tcPr>
            <w:tcW w:w="918" w:type="dxa"/>
            <w:noWrap/>
            <w:hideMark/>
          </w:tcPr>
          <w:p w:rsidR="00855A0A" w:rsidRPr="00855A0A" w:rsidRDefault="00855A0A">
            <w:pPr>
              <w:rPr>
                <w:rFonts w:ascii="Times New Roman" w:hAnsi="Times New Roman" w:cs="Times New Roman"/>
                <w:i/>
                <w:sz w:val="20"/>
                <w:szCs w:val="20"/>
              </w:rPr>
            </w:pPr>
            <w:r w:rsidRPr="00855A0A">
              <w:rPr>
                <w:rFonts w:ascii="Times New Roman" w:hAnsi="Times New Roman" w:cs="Times New Roman"/>
                <w:i/>
                <w:sz w:val="20"/>
                <w:szCs w:val="20"/>
              </w:rPr>
              <w:t>Median</w:t>
            </w:r>
          </w:p>
        </w:tc>
        <w:tc>
          <w:tcPr>
            <w:tcW w:w="900"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04/05</w:t>
            </w:r>
          </w:p>
        </w:tc>
        <w:tc>
          <w:tcPr>
            <w:tcW w:w="900"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04/17</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04/22</w:t>
            </w:r>
          </w:p>
        </w:tc>
        <w:tc>
          <w:tcPr>
            <w:tcW w:w="972"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04/26</w:t>
            </w:r>
          </w:p>
        </w:tc>
        <w:tc>
          <w:tcPr>
            <w:tcW w:w="1042"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05/02</w:t>
            </w:r>
          </w:p>
        </w:tc>
        <w:tc>
          <w:tcPr>
            <w:tcW w:w="1007"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05/10</w:t>
            </w:r>
          </w:p>
        </w:tc>
        <w:tc>
          <w:tcPr>
            <w:tcW w:w="1007"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06/26</w:t>
            </w:r>
          </w:p>
        </w:tc>
        <w:tc>
          <w:tcPr>
            <w:tcW w:w="1007"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07/06</w:t>
            </w:r>
          </w:p>
        </w:tc>
        <w:tc>
          <w:tcPr>
            <w:tcW w:w="995" w:type="dxa"/>
            <w:noWrap/>
            <w:hideMark/>
          </w:tcPr>
          <w:p w:rsidR="00855A0A"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07/19</w:t>
            </w:r>
          </w:p>
        </w:tc>
      </w:tr>
      <w:tr w:rsidR="00BB1571" w:rsidRPr="00855A0A" w:rsidTr="00CA4671">
        <w:trPr>
          <w:trHeight w:val="300"/>
        </w:trPr>
        <w:tc>
          <w:tcPr>
            <w:tcW w:w="918"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2017</w:t>
            </w:r>
          </w:p>
        </w:tc>
        <w:tc>
          <w:tcPr>
            <w:tcW w:w="900"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02/27</w:t>
            </w:r>
          </w:p>
        </w:tc>
        <w:tc>
          <w:tcPr>
            <w:tcW w:w="900"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02/27</w:t>
            </w:r>
          </w:p>
        </w:tc>
        <w:tc>
          <w:tcPr>
            <w:tcW w:w="828"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05/01</w:t>
            </w:r>
          </w:p>
        </w:tc>
        <w:tc>
          <w:tcPr>
            <w:tcW w:w="972"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05/05</w:t>
            </w:r>
          </w:p>
        </w:tc>
        <w:tc>
          <w:tcPr>
            <w:tcW w:w="1042"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05/17</w:t>
            </w:r>
          </w:p>
        </w:tc>
        <w:tc>
          <w:tcPr>
            <w:tcW w:w="1007"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05/23</w:t>
            </w:r>
          </w:p>
        </w:tc>
        <w:tc>
          <w:tcPr>
            <w:tcW w:w="1007"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07/01</w:t>
            </w:r>
          </w:p>
        </w:tc>
        <w:tc>
          <w:tcPr>
            <w:tcW w:w="1007"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07/05</w:t>
            </w:r>
          </w:p>
        </w:tc>
        <w:tc>
          <w:tcPr>
            <w:tcW w:w="995" w:type="dxa"/>
            <w:noWrap/>
          </w:tcPr>
          <w:p w:rsidR="00BB1571" w:rsidRPr="00855A0A" w:rsidRDefault="00BB1571" w:rsidP="00855A0A">
            <w:pPr>
              <w:rPr>
                <w:rFonts w:ascii="Times New Roman" w:hAnsi="Times New Roman" w:cs="Times New Roman"/>
                <w:sz w:val="20"/>
                <w:szCs w:val="20"/>
              </w:rPr>
            </w:pPr>
            <w:r>
              <w:rPr>
                <w:rFonts w:ascii="Times New Roman" w:hAnsi="Times New Roman" w:cs="Times New Roman"/>
                <w:sz w:val="20"/>
                <w:szCs w:val="20"/>
              </w:rPr>
              <w:t>07/05</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2016</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04/02</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04/16</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04/21</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04/27</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04/30</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05/07</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05/15</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05/24</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07/10</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2015</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04/09</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04/12</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04/16</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04/20</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05/09</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05/25</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06/27</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08/27</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2014</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04/07</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04/18</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04/20</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04/25</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04/30</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05/07</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06/25</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07/10</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08/08</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2013</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03/05</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04/23</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04/25</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04/29</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05/06</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06/24</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07/07</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07/18</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08/04</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2012</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04/07</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04/20</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04/23</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05/02</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05/14</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07/04</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07/06</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07/17</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2011</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04/20</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04/26</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04/28</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05/03</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05/09</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05/18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07/06</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07/15</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07/27</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2010</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03/29</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04/13</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04/15</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04/21</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05/06</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07/03</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07/11</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07/19</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2009</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04/22</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04/24</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04/26</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05/02</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05/16</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06/28</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07/09</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07/17</w:t>
            </w:r>
          </w:p>
        </w:tc>
      </w:tr>
      <w:tr w:rsidR="00855A0A" w:rsidRPr="00855A0A" w:rsidTr="00CA4671">
        <w:trPr>
          <w:trHeight w:val="300"/>
        </w:trPr>
        <w:tc>
          <w:tcPr>
            <w:tcW w:w="91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2008</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03/02</w:t>
            </w:r>
          </w:p>
        </w:tc>
        <w:tc>
          <w:tcPr>
            <w:tcW w:w="900"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04/15</w:t>
            </w:r>
          </w:p>
        </w:tc>
        <w:tc>
          <w:tcPr>
            <w:tcW w:w="828"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04/19</w:t>
            </w:r>
          </w:p>
        </w:tc>
        <w:tc>
          <w:tcPr>
            <w:tcW w:w="97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04/27</w:t>
            </w:r>
          </w:p>
        </w:tc>
        <w:tc>
          <w:tcPr>
            <w:tcW w:w="1042"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05/11</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07/05</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07/14</w:t>
            </w:r>
          </w:p>
        </w:tc>
        <w:tc>
          <w:tcPr>
            <w:tcW w:w="1007"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07/17</w:t>
            </w:r>
          </w:p>
        </w:tc>
        <w:tc>
          <w:tcPr>
            <w:tcW w:w="995" w:type="dxa"/>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08/01</w:t>
            </w:r>
          </w:p>
        </w:tc>
      </w:tr>
      <w:tr w:rsidR="00855A0A" w:rsidRPr="00855A0A" w:rsidTr="00CA4671">
        <w:trPr>
          <w:trHeight w:val="300"/>
        </w:trPr>
        <w:tc>
          <w:tcPr>
            <w:tcW w:w="918"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2007</w:t>
            </w:r>
          </w:p>
        </w:tc>
        <w:tc>
          <w:tcPr>
            <w:tcW w:w="900"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04/12</w:t>
            </w:r>
          </w:p>
        </w:tc>
        <w:tc>
          <w:tcPr>
            <w:tcW w:w="900"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04/13</w:t>
            </w:r>
          </w:p>
        </w:tc>
        <w:tc>
          <w:tcPr>
            <w:tcW w:w="828"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04/15</w:t>
            </w:r>
          </w:p>
        </w:tc>
        <w:tc>
          <w:tcPr>
            <w:tcW w:w="972"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04/19</w:t>
            </w:r>
          </w:p>
        </w:tc>
        <w:tc>
          <w:tcPr>
            <w:tcW w:w="1042"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04/26</w:t>
            </w:r>
          </w:p>
        </w:tc>
        <w:tc>
          <w:tcPr>
            <w:tcW w:w="1007"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05/09</w:t>
            </w:r>
          </w:p>
        </w:tc>
        <w:tc>
          <w:tcPr>
            <w:tcW w:w="1007"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06/21</w:t>
            </w:r>
          </w:p>
        </w:tc>
        <w:tc>
          <w:tcPr>
            <w:tcW w:w="1007"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06/29</w:t>
            </w:r>
          </w:p>
        </w:tc>
        <w:tc>
          <w:tcPr>
            <w:tcW w:w="995" w:type="dxa"/>
            <w:tcBorders>
              <w:bottom w:val="single" w:sz="4" w:space="0" w:color="auto"/>
            </w:tcBorders>
            <w:noWrap/>
            <w:hideMark/>
          </w:tcPr>
          <w:p w:rsidR="00855A0A" w:rsidRPr="00855A0A" w:rsidRDefault="00855A0A" w:rsidP="00855A0A">
            <w:pPr>
              <w:rPr>
                <w:rFonts w:ascii="Times New Roman" w:hAnsi="Times New Roman" w:cs="Times New Roman"/>
                <w:sz w:val="20"/>
                <w:szCs w:val="20"/>
              </w:rPr>
            </w:pPr>
            <w:r w:rsidRPr="00855A0A">
              <w:rPr>
                <w:rFonts w:ascii="Times New Roman" w:hAnsi="Times New Roman" w:cs="Times New Roman"/>
                <w:sz w:val="20"/>
                <w:szCs w:val="20"/>
              </w:rPr>
              <w:t>07/19</w:t>
            </w:r>
          </w:p>
        </w:tc>
      </w:tr>
    </w:tbl>
    <w:p w:rsidR="00C14A8F" w:rsidRDefault="00C14A8F">
      <w:pPr>
        <w:rPr>
          <w:rFonts w:ascii="Times New Roman" w:hAnsi="Times New Roman" w:cs="Times New Roman"/>
        </w:rPr>
      </w:pPr>
    </w:p>
    <w:p w:rsidR="00AF1737" w:rsidRDefault="00AF1737" w:rsidP="00AF1737">
      <w:pPr>
        <w:rPr>
          <w:rFonts w:ascii="Times New Roman" w:hAnsi="Times New Roman" w:cs="Times New Roman"/>
        </w:rPr>
      </w:pPr>
      <w:r>
        <w:rPr>
          <w:rFonts w:ascii="Times New Roman" w:hAnsi="Times New Roman" w:cs="Times New Roman"/>
        </w:rPr>
        <w:t xml:space="preserve">Our forecast was compared to historical returns.  Historical returns are were reconstructed using the sum of fish that returned to LNFH, the sport and tribal harvest estimates, and the number that are observed during spawning ground surveys. Our PIT expansion ranges within 35% to 104% of the run reconstruction estimate but on average is within 72% of the actual </w:t>
      </w:r>
      <w:r w:rsidRPr="00CA4671">
        <w:rPr>
          <w:rFonts w:ascii="Times New Roman" w:hAnsi="Times New Roman" w:cs="Times New Roman"/>
        </w:rPr>
        <w:t>run (</w:t>
      </w:r>
      <w:r w:rsidR="00CA4671" w:rsidRPr="00CA4671">
        <w:rPr>
          <w:rFonts w:ascii="Times New Roman" w:hAnsi="Times New Roman" w:cs="Times New Roman"/>
        </w:rPr>
        <w:t>Table 4</w:t>
      </w:r>
      <w:r w:rsidRPr="00CA4671">
        <w:rPr>
          <w:rFonts w:ascii="Times New Roman" w:hAnsi="Times New Roman" w:cs="Times New Roman"/>
        </w:rPr>
        <w:t>.)</w:t>
      </w:r>
      <w:r>
        <w:rPr>
          <w:rFonts w:ascii="Times New Roman" w:hAnsi="Times New Roman" w:cs="Times New Roman"/>
        </w:rPr>
        <w:t xml:space="preserve">   Figure 1 shows a gr</w:t>
      </w:r>
      <w:r w:rsidR="00CA4671">
        <w:rPr>
          <w:rFonts w:ascii="Times New Roman" w:hAnsi="Times New Roman" w:cs="Times New Roman"/>
        </w:rPr>
        <w:t>aphical visualization of Table 4</w:t>
      </w:r>
      <w:r>
        <w:rPr>
          <w:rFonts w:ascii="Times New Roman" w:hAnsi="Times New Roman" w:cs="Times New Roman"/>
        </w:rPr>
        <w:t>.</w:t>
      </w:r>
    </w:p>
    <w:p w:rsidR="00AF1737" w:rsidRPr="00AE30AB" w:rsidRDefault="00AF1737" w:rsidP="00AF1737">
      <w:pPr>
        <w:pStyle w:val="Caption"/>
        <w:keepNext/>
        <w:rPr>
          <w:b/>
          <w:i w:val="0"/>
          <w:color w:val="auto"/>
          <w:sz w:val="22"/>
        </w:rPr>
      </w:pPr>
      <w:r w:rsidRPr="00AE30AB">
        <w:rPr>
          <w:b/>
          <w:i w:val="0"/>
          <w:color w:val="auto"/>
          <w:sz w:val="22"/>
        </w:rPr>
        <w:lastRenderedPageBreak/>
        <w:t xml:space="preserve">Table </w:t>
      </w:r>
      <w:r w:rsidRPr="00AE30AB">
        <w:rPr>
          <w:b/>
          <w:i w:val="0"/>
          <w:color w:val="auto"/>
          <w:sz w:val="22"/>
        </w:rPr>
        <w:fldChar w:fldCharType="begin"/>
      </w:r>
      <w:r w:rsidRPr="00AE30AB">
        <w:rPr>
          <w:b/>
          <w:i w:val="0"/>
          <w:color w:val="auto"/>
          <w:sz w:val="22"/>
        </w:rPr>
        <w:instrText xml:space="preserve"> SEQ Table \* ARABIC </w:instrText>
      </w:r>
      <w:r w:rsidRPr="00AE30AB">
        <w:rPr>
          <w:b/>
          <w:i w:val="0"/>
          <w:color w:val="auto"/>
          <w:sz w:val="22"/>
        </w:rPr>
        <w:fldChar w:fldCharType="separate"/>
      </w:r>
      <w:r w:rsidR="00CA4671">
        <w:rPr>
          <w:b/>
          <w:i w:val="0"/>
          <w:noProof/>
          <w:color w:val="auto"/>
          <w:sz w:val="22"/>
        </w:rPr>
        <w:t>4</w:t>
      </w:r>
      <w:r w:rsidRPr="00AE30AB">
        <w:rPr>
          <w:b/>
          <w:i w:val="0"/>
          <w:color w:val="auto"/>
          <w:sz w:val="22"/>
        </w:rPr>
        <w:fldChar w:fldCharType="end"/>
      </w:r>
      <w:r w:rsidRPr="00AE30AB">
        <w:rPr>
          <w:b/>
          <w:i w:val="0"/>
          <w:color w:val="auto"/>
          <w:sz w:val="22"/>
        </w:rPr>
        <w:t xml:space="preserve"> Comparison of PIT expansion and run reconstruction, Icicle Cr.</w:t>
      </w:r>
    </w:p>
    <w:tbl>
      <w:tblPr>
        <w:tblW w:w="0" w:type="auto"/>
        <w:tblInd w:w="93" w:type="dxa"/>
        <w:tblBorders>
          <w:top w:val="single" w:sz="4" w:space="0" w:color="auto"/>
          <w:bottom w:val="single" w:sz="4" w:space="0" w:color="auto"/>
        </w:tblBorders>
        <w:tblLook w:val="04A0" w:firstRow="1" w:lastRow="0" w:firstColumn="1" w:lastColumn="0" w:noHBand="0" w:noVBand="1"/>
      </w:tblPr>
      <w:tblGrid>
        <w:gridCol w:w="656"/>
        <w:gridCol w:w="1090"/>
        <w:gridCol w:w="999"/>
        <w:gridCol w:w="1981"/>
      </w:tblGrid>
      <w:tr w:rsidR="00AF1737" w:rsidRPr="00840E1D" w:rsidTr="00CA4671">
        <w:trPr>
          <w:trHeight w:val="450"/>
        </w:trPr>
        <w:tc>
          <w:tcPr>
            <w:tcW w:w="0" w:type="auto"/>
            <w:shd w:val="clear" w:color="auto" w:fill="auto"/>
            <w:noWrap/>
            <w:vAlign w:val="bottom"/>
            <w:hideMark/>
          </w:tcPr>
          <w:p w:rsidR="00AF1737" w:rsidRPr="00840E1D" w:rsidRDefault="00AF1737" w:rsidP="00DB7510">
            <w:pPr>
              <w:spacing w:after="0" w:line="240" w:lineRule="auto"/>
              <w:jc w:val="center"/>
              <w:rPr>
                <w:rFonts w:ascii="Times New Roman" w:eastAsia="Times New Roman" w:hAnsi="Times New Roman" w:cs="Times New Roman"/>
                <w:i/>
                <w:iCs/>
                <w:color w:val="000000"/>
              </w:rPr>
            </w:pPr>
            <w:r w:rsidRPr="00840E1D">
              <w:rPr>
                <w:rFonts w:ascii="Times New Roman" w:eastAsia="Times New Roman" w:hAnsi="Times New Roman" w:cs="Times New Roman"/>
                <w:i/>
                <w:iCs/>
                <w:color w:val="000000"/>
              </w:rPr>
              <w:t>Year</w:t>
            </w:r>
          </w:p>
        </w:tc>
        <w:tc>
          <w:tcPr>
            <w:tcW w:w="0" w:type="auto"/>
            <w:shd w:val="clear" w:color="auto" w:fill="auto"/>
            <w:noWrap/>
            <w:vAlign w:val="bottom"/>
            <w:hideMark/>
          </w:tcPr>
          <w:p w:rsidR="00AF1737" w:rsidRPr="00840E1D" w:rsidRDefault="00AF1737" w:rsidP="00DB7510">
            <w:pPr>
              <w:spacing w:after="0" w:line="240" w:lineRule="auto"/>
              <w:jc w:val="center"/>
              <w:rPr>
                <w:rFonts w:ascii="Times New Roman" w:eastAsia="Times New Roman" w:hAnsi="Times New Roman" w:cs="Times New Roman"/>
                <w:i/>
                <w:iCs/>
                <w:color w:val="000000"/>
              </w:rPr>
            </w:pPr>
            <w:r w:rsidRPr="00840E1D">
              <w:rPr>
                <w:rFonts w:ascii="Times New Roman" w:eastAsia="Times New Roman" w:hAnsi="Times New Roman" w:cs="Times New Roman"/>
                <w:i/>
                <w:iCs/>
                <w:color w:val="000000"/>
              </w:rPr>
              <w:t>Total Run</w:t>
            </w:r>
          </w:p>
        </w:tc>
        <w:tc>
          <w:tcPr>
            <w:tcW w:w="0" w:type="auto"/>
            <w:shd w:val="clear" w:color="auto" w:fill="auto"/>
            <w:noWrap/>
            <w:vAlign w:val="bottom"/>
            <w:hideMark/>
          </w:tcPr>
          <w:p w:rsidR="00AF1737" w:rsidRPr="00840E1D" w:rsidRDefault="00AF1737" w:rsidP="00DB7510">
            <w:pPr>
              <w:spacing w:after="0" w:line="240" w:lineRule="auto"/>
              <w:jc w:val="center"/>
              <w:rPr>
                <w:rFonts w:ascii="Times New Roman" w:eastAsia="Times New Roman" w:hAnsi="Times New Roman" w:cs="Times New Roman"/>
                <w:i/>
                <w:iCs/>
                <w:color w:val="000000"/>
              </w:rPr>
            </w:pPr>
            <w:r w:rsidRPr="00840E1D">
              <w:rPr>
                <w:rFonts w:ascii="Times New Roman" w:eastAsia="Times New Roman" w:hAnsi="Times New Roman" w:cs="Times New Roman"/>
                <w:i/>
                <w:iCs/>
                <w:color w:val="000000"/>
              </w:rPr>
              <w:t>Forecast</w:t>
            </w:r>
          </w:p>
        </w:tc>
        <w:tc>
          <w:tcPr>
            <w:tcW w:w="1981" w:type="dxa"/>
            <w:shd w:val="clear" w:color="auto" w:fill="auto"/>
            <w:vAlign w:val="bottom"/>
            <w:hideMark/>
          </w:tcPr>
          <w:p w:rsidR="00AF1737" w:rsidRPr="00840E1D" w:rsidRDefault="00AF1737" w:rsidP="00DB7510">
            <w:pPr>
              <w:spacing w:after="0" w:line="240" w:lineRule="auto"/>
              <w:jc w:val="center"/>
              <w:rPr>
                <w:rFonts w:ascii="Times New Roman" w:eastAsia="Times New Roman" w:hAnsi="Times New Roman" w:cs="Times New Roman"/>
                <w:i/>
                <w:iCs/>
                <w:color w:val="000000"/>
              </w:rPr>
            </w:pPr>
            <w:r w:rsidRPr="00840E1D">
              <w:rPr>
                <w:rFonts w:ascii="Times New Roman" w:eastAsia="Times New Roman" w:hAnsi="Times New Roman" w:cs="Times New Roman"/>
                <w:i/>
                <w:iCs/>
                <w:color w:val="000000"/>
              </w:rPr>
              <w:t>% of Total Run</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2006</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3147</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1</w:t>
            </w:r>
            <w:r w:rsidR="00840D40">
              <w:rPr>
                <w:rFonts w:ascii="Times New Roman" w:hAnsi="Times New Roman" w:cs="Times New Roman"/>
                <w:color w:val="000000"/>
              </w:rPr>
              <w:t>,</w:t>
            </w:r>
            <w:r w:rsidRPr="00840E1D">
              <w:rPr>
                <w:rFonts w:ascii="Times New Roman" w:hAnsi="Times New Roman" w:cs="Times New Roman"/>
                <w:color w:val="000000"/>
              </w:rPr>
              <w:t>579</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50.2</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2007</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w:t>
            </w:r>
            <w:r w:rsidR="00840D40">
              <w:rPr>
                <w:rFonts w:ascii="Times New Roman" w:hAnsi="Times New Roman" w:cs="Times New Roman"/>
                <w:color w:val="000000"/>
              </w:rPr>
              <w:t>,</w:t>
            </w:r>
            <w:r w:rsidRPr="00840E1D">
              <w:rPr>
                <w:rFonts w:ascii="Times New Roman" w:hAnsi="Times New Roman" w:cs="Times New Roman"/>
                <w:color w:val="000000"/>
              </w:rPr>
              <w:t>622</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908</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34.6</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2008</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4</w:t>
            </w:r>
            <w:r w:rsidR="00840D40">
              <w:rPr>
                <w:rFonts w:ascii="Times New Roman" w:hAnsi="Times New Roman" w:cs="Times New Roman"/>
                <w:color w:val="000000"/>
              </w:rPr>
              <w:t>,</w:t>
            </w:r>
            <w:r w:rsidRPr="00840E1D">
              <w:rPr>
                <w:rFonts w:ascii="Times New Roman" w:hAnsi="Times New Roman" w:cs="Times New Roman"/>
                <w:color w:val="000000"/>
              </w:rPr>
              <w:t>692</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3</w:t>
            </w:r>
            <w:r w:rsidR="00840D40">
              <w:rPr>
                <w:rFonts w:ascii="Times New Roman" w:hAnsi="Times New Roman" w:cs="Times New Roman"/>
                <w:color w:val="000000"/>
              </w:rPr>
              <w:t>,</w:t>
            </w:r>
            <w:r w:rsidRPr="00840E1D">
              <w:rPr>
                <w:rFonts w:ascii="Times New Roman" w:hAnsi="Times New Roman" w:cs="Times New Roman"/>
                <w:color w:val="000000"/>
              </w:rPr>
              <w:t>560</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75.9</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2009</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4</w:t>
            </w:r>
            <w:r w:rsidR="00840D40">
              <w:rPr>
                <w:rFonts w:ascii="Times New Roman" w:hAnsi="Times New Roman" w:cs="Times New Roman"/>
                <w:color w:val="000000"/>
              </w:rPr>
              <w:t>,</w:t>
            </w:r>
            <w:r w:rsidRPr="00840E1D">
              <w:rPr>
                <w:rFonts w:ascii="Times New Roman" w:hAnsi="Times New Roman" w:cs="Times New Roman"/>
                <w:color w:val="000000"/>
              </w:rPr>
              <w:t>977</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4</w:t>
            </w:r>
            <w:r w:rsidR="00840D40">
              <w:rPr>
                <w:rFonts w:ascii="Times New Roman" w:hAnsi="Times New Roman" w:cs="Times New Roman"/>
                <w:color w:val="000000"/>
              </w:rPr>
              <w:t>,</w:t>
            </w:r>
            <w:r w:rsidRPr="00840E1D">
              <w:rPr>
                <w:rFonts w:ascii="Times New Roman" w:hAnsi="Times New Roman" w:cs="Times New Roman"/>
                <w:color w:val="000000"/>
              </w:rPr>
              <w:t>198</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84.3</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2010</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13</w:t>
            </w:r>
            <w:r w:rsidR="00840D40">
              <w:rPr>
                <w:rFonts w:ascii="Times New Roman" w:hAnsi="Times New Roman" w:cs="Times New Roman"/>
                <w:color w:val="000000"/>
              </w:rPr>
              <w:t>,</w:t>
            </w:r>
            <w:r w:rsidRPr="00840E1D">
              <w:rPr>
                <w:rFonts w:ascii="Times New Roman" w:hAnsi="Times New Roman" w:cs="Times New Roman"/>
                <w:color w:val="000000"/>
              </w:rPr>
              <w:t>862</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11</w:t>
            </w:r>
            <w:r w:rsidR="00840D40">
              <w:rPr>
                <w:rFonts w:ascii="Times New Roman" w:hAnsi="Times New Roman" w:cs="Times New Roman"/>
                <w:color w:val="000000"/>
              </w:rPr>
              <w:t>,</w:t>
            </w:r>
            <w:r w:rsidRPr="00840E1D">
              <w:rPr>
                <w:rFonts w:ascii="Times New Roman" w:hAnsi="Times New Roman" w:cs="Times New Roman"/>
                <w:color w:val="000000"/>
              </w:rPr>
              <w:t>948</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86.2</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2011</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6</w:t>
            </w:r>
            <w:r w:rsidR="00840D40">
              <w:rPr>
                <w:rFonts w:ascii="Times New Roman" w:hAnsi="Times New Roman" w:cs="Times New Roman"/>
                <w:color w:val="000000"/>
              </w:rPr>
              <w:t>,</w:t>
            </w:r>
            <w:r w:rsidRPr="00840E1D">
              <w:rPr>
                <w:rFonts w:ascii="Times New Roman" w:hAnsi="Times New Roman" w:cs="Times New Roman"/>
                <w:color w:val="000000"/>
              </w:rPr>
              <w:t>990</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6</w:t>
            </w:r>
            <w:r w:rsidR="00840D40">
              <w:rPr>
                <w:rFonts w:ascii="Times New Roman" w:hAnsi="Times New Roman" w:cs="Times New Roman"/>
                <w:color w:val="000000"/>
              </w:rPr>
              <w:t>,</w:t>
            </w:r>
            <w:r w:rsidRPr="00840E1D">
              <w:rPr>
                <w:rFonts w:ascii="Times New Roman" w:hAnsi="Times New Roman" w:cs="Times New Roman"/>
                <w:color w:val="000000"/>
              </w:rPr>
              <w:t>634</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94.9</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2012</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7</w:t>
            </w:r>
            <w:r w:rsidR="00840D40">
              <w:rPr>
                <w:rFonts w:ascii="Times New Roman" w:hAnsi="Times New Roman" w:cs="Times New Roman"/>
                <w:color w:val="000000"/>
              </w:rPr>
              <w:t>,</w:t>
            </w:r>
            <w:r w:rsidRPr="00840E1D">
              <w:rPr>
                <w:rFonts w:ascii="Times New Roman" w:hAnsi="Times New Roman" w:cs="Times New Roman"/>
                <w:color w:val="000000"/>
              </w:rPr>
              <w:t>074</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5</w:t>
            </w:r>
            <w:r w:rsidR="00840D40">
              <w:rPr>
                <w:rFonts w:ascii="Times New Roman" w:hAnsi="Times New Roman" w:cs="Times New Roman"/>
                <w:color w:val="000000"/>
              </w:rPr>
              <w:t>,</w:t>
            </w:r>
            <w:r w:rsidRPr="00840E1D">
              <w:rPr>
                <w:rFonts w:ascii="Times New Roman" w:hAnsi="Times New Roman" w:cs="Times New Roman"/>
                <w:color w:val="000000"/>
              </w:rPr>
              <w:t>595</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79.1</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2013</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3</w:t>
            </w:r>
            <w:r w:rsidR="00840D40">
              <w:rPr>
                <w:rFonts w:ascii="Times New Roman" w:hAnsi="Times New Roman" w:cs="Times New Roman"/>
                <w:color w:val="000000"/>
              </w:rPr>
              <w:t>,</w:t>
            </w:r>
            <w:r w:rsidRPr="00840E1D">
              <w:rPr>
                <w:rFonts w:ascii="Times New Roman" w:hAnsi="Times New Roman" w:cs="Times New Roman"/>
                <w:color w:val="000000"/>
              </w:rPr>
              <w:t>309</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w:t>
            </w:r>
            <w:r w:rsidR="00840D40">
              <w:rPr>
                <w:rFonts w:ascii="Times New Roman" w:hAnsi="Times New Roman" w:cs="Times New Roman"/>
                <w:color w:val="000000"/>
              </w:rPr>
              <w:t>,</w:t>
            </w:r>
            <w:r w:rsidRPr="00840E1D">
              <w:rPr>
                <w:rFonts w:ascii="Times New Roman" w:hAnsi="Times New Roman" w:cs="Times New Roman"/>
                <w:color w:val="000000"/>
              </w:rPr>
              <w:t>098</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63.4</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2014</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6</w:t>
            </w:r>
            <w:r w:rsidR="00840D40">
              <w:rPr>
                <w:rFonts w:ascii="Times New Roman" w:hAnsi="Times New Roman" w:cs="Times New Roman"/>
                <w:color w:val="000000"/>
              </w:rPr>
              <w:t>,</w:t>
            </w:r>
            <w:r w:rsidRPr="00840E1D">
              <w:rPr>
                <w:rFonts w:ascii="Times New Roman" w:hAnsi="Times New Roman" w:cs="Times New Roman"/>
                <w:color w:val="000000"/>
              </w:rPr>
              <w:t>005</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6</w:t>
            </w:r>
            <w:r w:rsidR="00840D40">
              <w:rPr>
                <w:rFonts w:ascii="Times New Roman" w:hAnsi="Times New Roman" w:cs="Times New Roman"/>
                <w:color w:val="000000"/>
              </w:rPr>
              <w:t>,</w:t>
            </w:r>
            <w:r w:rsidRPr="00840E1D">
              <w:rPr>
                <w:rFonts w:ascii="Times New Roman" w:hAnsi="Times New Roman" w:cs="Times New Roman"/>
                <w:color w:val="000000"/>
              </w:rPr>
              <w:t>294</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104.8</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2015</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8</w:t>
            </w:r>
            <w:r w:rsidR="00840D40">
              <w:rPr>
                <w:rFonts w:ascii="Times New Roman" w:hAnsi="Times New Roman" w:cs="Times New Roman"/>
                <w:color w:val="000000"/>
              </w:rPr>
              <w:t>,</w:t>
            </w:r>
            <w:r w:rsidRPr="00840E1D">
              <w:rPr>
                <w:rFonts w:ascii="Times New Roman" w:hAnsi="Times New Roman" w:cs="Times New Roman"/>
                <w:color w:val="000000"/>
              </w:rPr>
              <w:t>149</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4</w:t>
            </w:r>
            <w:r w:rsidR="00840D40">
              <w:rPr>
                <w:rFonts w:ascii="Times New Roman" w:hAnsi="Times New Roman" w:cs="Times New Roman"/>
                <w:color w:val="000000"/>
              </w:rPr>
              <w:t>,</w:t>
            </w:r>
            <w:r w:rsidRPr="00840E1D">
              <w:rPr>
                <w:rFonts w:ascii="Times New Roman" w:hAnsi="Times New Roman" w:cs="Times New Roman"/>
                <w:color w:val="000000"/>
              </w:rPr>
              <w:t>508</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55.3</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2016</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5</w:t>
            </w:r>
            <w:r w:rsidR="00840D40">
              <w:rPr>
                <w:rFonts w:ascii="Times New Roman" w:hAnsi="Times New Roman" w:cs="Times New Roman"/>
                <w:color w:val="000000"/>
              </w:rPr>
              <w:t>,</w:t>
            </w:r>
            <w:r w:rsidRPr="00840E1D">
              <w:rPr>
                <w:rFonts w:ascii="Times New Roman" w:hAnsi="Times New Roman" w:cs="Times New Roman"/>
                <w:color w:val="000000"/>
              </w:rPr>
              <w:t>224</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3</w:t>
            </w:r>
            <w:r w:rsidR="00840D40">
              <w:rPr>
                <w:rFonts w:ascii="Times New Roman" w:hAnsi="Times New Roman" w:cs="Times New Roman"/>
                <w:color w:val="000000"/>
              </w:rPr>
              <w:t>,</w:t>
            </w:r>
            <w:r w:rsidRPr="00840E1D">
              <w:rPr>
                <w:rFonts w:ascii="Times New Roman" w:hAnsi="Times New Roman" w:cs="Times New Roman"/>
                <w:color w:val="000000"/>
              </w:rPr>
              <w:t>996</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76.5</w:t>
            </w:r>
          </w:p>
        </w:tc>
      </w:tr>
      <w:tr w:rsidR="00AF1737" w:rsidRPr="00840E1D" w:rsidTr="00CA4671">
        <w:trPr>
          <w:trHeight w:val="324"/>
        </w:trPr>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2017</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1</w:t>
            </w:r>
            <w:r w:rsidR="00840D40">
              <w:rPr>
                <w:rFonts w:ascii="Times New Roman" w:hAnsi="Times New Roman" w:cs="Times New Roman"/>
                <w:color w:val="000000"/>
              </w:rPr>
              <w:t>,</w:t>
            </w:r>
            <w:r w:rsidRPr="00840E1D">
              <w:rPr>
                <w:rFonts w:ascii="Times New Roman" w:hAnsi="Times New Roman" w:cs="Times New Roman"/>
                <w:color w:val="000000"/>
              </w:rPr>
              <w:t>417</w:t>
            </w:r>
          </w:p>
        </w:tc>
        <w:tc>
          <w:tcPr>
            <w:tcW w:w="0" w:type="auto"/>
            <w:shd w:val="clear" w:color="auto" w:fill="auto"/>
            <w:noWrap/>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791</w:t>
            </w:r>
          </w:p>
        </w:tc>
        <w:tc>
          <w:tcPr>
            <w:tcW w:w="1981" w:type="dxa"/>
            <w:shd w:val="clear" w:color="auto" w:fill="auto"/>
            <w:vAlign w:val="bottom"/>
            <w:hideMark/>
          </w:tcPr>
          <w:p w:rsidR="00AF1737" w:rsidRPr="00840E1D" w:rsidRDefault="00AF1737" w:rsidP="00DB7510">
            <w:pPr>
              <w:jc w:val="center"/>
              <w:rPr>
                <w:rFonts w:ascii="Times New Roman" w:hAnsi="Times New Roman" w:cs="Times New Roman"/>
                <w:color w:val="000000"/>
              </w:rPr>
            </w:pPr>
            <w:r w:rsidRPr="00840E1D">
              <w:rPr>
                <w:rFonts w:ascii="Times New Roman" w:hAnsi="Times New Roman" w:cs="Times New Roman"/>
                <w:color w:val="000000"/>
              </w:rPr>
              <w:t>55.8</w:t>
            </w:r>
          </w:p>
        </w:tc>
      </w:tr>
    </w:tbl>
    <w:p w:rsidR="00AF1737" w:rsidRDefault="00AF1737">
      <w:pPr>
        <w:rPr>
          <w:rFonts w:ascii="Times New Roman" w:hAnsi="Times New Roman" w:cs="Times New Roman"/>
        </w:rPr>
      </w:pPr>
    </w:p>
    <w:p w:rsidR="00FE1938" w:rsidRDefault="00A045E7" w:rsidP="00FE1938">
      <w:pPr>
        <w:keepNext/>
      </w:pPr>
      <w:r>
        <w:rPr>
          <w:noProof/>
        </w:rPr>
        <w:drawing>
          <wp:inline distT="0" distB="0" distL="0" distR="0" wp14:anchorId="7D01DB5D" wp14:editId="4B4973D3">
            <wp:extent cx="5038725" cy="2438400"/>
            <wp:effectExtent l="0" t="0" r="9525"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FE4B66" w:rsidRPr="00FE1938" w:rsidRDefault="00FE1938" w:rsidP="00FE1938">
      <w:pPr>
        <w:pStyle w:val="Caption"/>
        <w:rPr>
          <w:rFonts w:ascii="Times New Roman" w:hAnsi="Times New Roman" w:cs="Times New Roman"/>
          <w:b/>
          <w:i w:val="0"/>
          <w:color w:val="auto"/>
          <w:sz w:val="22"/>
        </w:rPr>
      </w:pPr>
      <w:r w:rsidRPr="00FE1938">
        <w:rPr>
          <w:b/>
          <w:i w:val="0"/>
          <w:color w:val="auto"/>
          <w:sz w:val="22"/>
        </w:rPr>
        <w:t xml:space="preserve">Figure </w:t>
      </w:r>
      <w:r w:rsidRPr="00FE1938">
        <w:rPr>
          <w:b/>
          <w:i w:val="0"/>
          <w:color w:val="auto"/>
          <w:sz w:val="22"/>
        </w:rPr>
        <w:fldChar w:fldCharType="begin"/>
      </w:r>
      <w:r w:rsidRPr="00FE1938">
        <w:rPr>
          <w:b/>
          <w:i w:val="0"/>
          <w:color w:val="auto"/>
          <w:sz w:val="22"/>
        </w:rPr>
        <w:instrText xml:space="preserve"> SEQ Figure \* ARABIC </w:instrText>
      </w:r>
      <w:r w:rsidRPr="00FE1938">
        <w:rPr>
          <w:b/>
          <w:i w:val="0"/>
          <w:color w:val="auto"/>
          <w:sz w:val="22"/>
        </w:rPr>
        <w:fldChar w:fldCharType="separate"/>
      </w:r>
      <w:r w:rsidRPr="00FE1938">
        <w:rPr>
          <w:b/>
          <w:i w:val="0"/>
          <w:noProof/>
          <w:color w:val="auto"/>
          <w:sz w:val="22"/>
        </w:rPr>
        <w:t>1</w:t>
      </w:r>
      <w:r w:rsidRPr="00FE1938">
        <w:rPr>
          <w:b/>
          <w:i w:val="0"/>
          <w:color w:val="auto"/>
          <w:sz w:val="22"/>
        </w:rPr>
        <w:fldChar w:fldCharType="end"/>
      </w:r>
      <w:r w:rsidRPr="00FE1938">
        <w:rPr>
          <w:b/>
          <w:i w:val="0"/>
          <w:color w:val="auto"/>
          <w:sz w:val="22"/>
        </w:rPr>
        <w:t>PIT tag expansion plotted with Actual Adult Returns base on Run Reconstruction</w:t>
      </w:r>
    </w:p>
    <w:p w:rsidR="00FE1938" w:rsidRDefault="00FE1938" w:rsidP="00D515CA">
      <w:pPr>
        <w:rPr>
          <w:rFonts w:ascii="Times New Roman" w:hAnsi="Times New Roman" w:cs="Times New Roman"/>
          <w:b/>
        </w:rPr>
      </w:pPr>
    </w:p>
    <w:sectPr w:rsidR="00FE19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38B4"/>
    <w:rsid w:val="00006C76"/>
    <w:rsid w:val="000A63B7"/>
    <w:rsid w:val="00100A32"/>
    <w:rsid w:val="00125C1C"/>
    <w:rsid w:val="00150AA6"/>
    <w:rsid w:val="00177148"/>
    <w:rsid w:val="001E7AD4"/>
    <w:rsid w:val="002C0DC5"/>
    <w:rsid w:val="002F7E40"/>
    <w:rsid w:val="00313F16"/>
    <w:rsid w:val="00326DA9"/>
    <w:rsid w:val="00346CED"/>
    <w:rsid w:val="00353839"/>
    <w:rsid w:val="003A0408"/>
    <w:rsid w:val="003B0BF9"/>
    <w:rsid w:val="003B2D03"/>
    <w:rsid w:val="003C60E3"/>
    <w:rsid w:val="0049350C"/>
    <w:rsid w:val="0049397E"/>
    <w:rsid w:val="00495009"/>
    <w:rsid w:val="004C3A9C"/>
    <w:rsid w:val="004F67F4"/>
    <w:rsid w:val="00510ABD"/>
    <w:rsid w:val="005201BC"/>
    <w:rsid w:val="0052346A"/>
    <w:rsid w:val="00523967"/>
    <w:rsid w:val="00527184"/>
    <w:rsid w:val="00531E92"/>
    <w:rsid w:val="0054208C"/>
    <w:rsid w:val="00557F7F"/>
    <w:rsid w:val="005702B1"/>
    <w:rsid w:val="00585F30"/>
    <w:rsid w:val="005925E5"/>
    <w:rsid w:val="005944DB"/>
    <w:rsid w:val="005E3EEE"/>
    <w:rsid w:val="005F3BBA"/>
    <w:rsid w:val="006206E7"/>
    <w:rsid w:val="00624783"/>
    <w:rsid w:val="00637E4A"/>
    <w:rsid w:val="00650F99"/>
    <w:rsid w:val="0069195E"/>
    <w:rsid w:val="006A3483"/>
    <w:rsid w:val="006A6DF1"/>
    <w:rsid w:val="006A6FF9"/>
    <w:rsid w:val="00707123"/>
    <w:rsid w:val="00713F55"/>
    <w:rsid w:val="00717BE7"/>
    <w:rsid w:val="00737D1A"/>
    <w:rsid w:val="0074084C"/>
    <w:rsid w:val="00777BA0"/>
    <w:rsid w:val="00792BD1"/>
    <w:rsid w:val="007C4A97"/>
    <w:rsid w:val="007F10F7"/>
    <w:rsid w:val="00840D40"/>
    <w:rsid w:val="00840E1D"/>
    <w:rsid w:val="00855A0A"/>
    <w:rsid w:val="0087005B"/>
    <w:rsid w:val="0087530C"/>
    <w:rsid w:val="008B0B69"/>
    <w:rsid w:val="008C30B6"/>
    <w:rsid w:val="009A4533"/>
    <w:rsid w:val="00A045E7"/>
    <w:rsid w:val="00A76241"/>
    <w:rsid w:val="00A7747D"/>
    <w:rsid w:val="00A9449B"/>
    <w:rsid w:val="00AE30AB"/>
    <w:rsid w:val="00AF1737"/>
    <w:rsid w:val="00AF5D77"/>
    <w:rsid w:val="00B06584"/>
    <w:rsid w:val="00B10E68"/>
    <w:rsid w:val="00B937BA"/>
    <w:rsid w:val="00BB1571"/>
    <w:rsid w:val="00BD0563"/>
    <w:rsid w:val="00C131DC"/>
    <w:rsid w:val="00C14A8F"/>
    <w:rsid w:val="00C15596"/>
    <w:rsid w:val="00C32907"/>
    <w:rsid w:val="00C32DC0"/>
    <w:rsid w:val="00C80912"/>
    <w:rsid w:val="00CA413A"/>
    <w:rsid w:val="00CA4671"/>
    <w:rsid w:val="00CA4F5D"/>
    <w:rsid w:val="00CB01AA"/>
    <w:rsid w:val="00CB3895"/>
    <w:rsid w:val="00CE38B4"/>
    <w:rsid w:val="00D10379"/>
    <w:rsid w:val="00D10B8D"/>
    <w:rsid w:val="00D3047A"/>
    <w:rsid w:val="00D4174A"/>
    <w:rsid w:val="00D515CA"/>
    <w:rsid w:val="00DD3997"/>
    <w:rsid w:val="00DE0A4A"/>
    <w:rsid w:val="00E362FF"/>
    <w:rsid w:val="00E62DE0"/>
    <w:rsid w:val="00EA2A62"/>
    <w:rsid w:val="00EC73B0"/>
    <w:rsid w:val="00F00839"/>
    <w:rsid w:val="00F4397A"/>
    <w:rsid w:val="00FE1938"/>
    <w:rsid w:val="00FE4B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5F190"/>
  <w15:docId w15:val="{6F4BAB5E-5709-45E4-B1E1-FAAEFCCCD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3B0BF9"/>
    <w:pPr>
      <w:keepNext/>
      <w:keepLines/>
      <w:spacing w:before="40" w:after="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14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737D1A"/>
    <w:pPr>
      <w:spacing w:after="0" w:line="240" w:lineRule="auto"/>
      <w:contextualSpacing/>
    </w:pPr>
    <w:rPr>
      <w:rFonts w:asciiTheme="majorHAnsi" w:eastAsiaTheme="majorEastAsia" w:hAnsiTheme="majorHAnsi" w:cstheme="majorBidi"/>
      <w:spacing w:val="-10"/>
      <w:kern w:val="28"/>
      <w:sz w:val="52"/>
      <w:szCs w:val="56"/>
    </w:rPr>
  </w:style>
  <w:style w:type="character" w:customStyle="1" w:styleId="TitleChar">
    <w:name w:val="Title Char"/>
    <w:basedOn w:val="DefaultParagraphFont"/>
    <w:link w:val="Title"/>
    <w:uiPriority w:val="10"/>
    <w:rsid w:val="00737D1A"/>
    <w:rPr>
      <w:rFonts w:asciiTheme="majorHAnsi" w:eastAsiaTheme="majorEastAsia" w:hAnsiTheme="majorHAnsi" w:cstheme="majorBidi"/>
      <w:spacing w:val="-10"/>
      <w:kern w:val="28"/>
      <w:sz w:val="52"/>
      <w:szCs w:val="56"/>
    </w:rPr>
  </w:style>
  <w:style w:type="character" w:customStyle="1" w:styleId="Heading2Char">
    <w:name w:val="Heading 2 Char"/>
    <w:basedOn w:val="DefaultParagraphFont"/>
    <w:link w:val="Heading2"/>
    <w:uiPriority w:val="9"/>
    <w:rsid w:val="003B0BF9"/>
    <w:rPr>
      <w:rFonts w:asciiTheme="majorHAnsi" w:eastAsiaTheme="majorEastAsia" w:hAnsiTheme="majorHAnsi" w:cstheme="majorBidi"/>
      <w:sz w:val="26"/>
      <w:szCs w:val="26"/>
    </w:rPr>
  </w:style>
  <w:style w:type="paragraph" w:styleId="Caption">
    <w:name w:val="caption"/>
    <w:basedOn w:val="Normal"/>
    <w:next w:val="Normal"/>
    <w:uiPriority w:val="35"/>
    <w:unhideWhenUsed/>
    <w:qFormat/>
    <w:rsid w:val="00CA413A"/>
    <w:pPr>
      <w:spacing w:line="240" w:lineRule="auto"/>
    </w:pPr>
    <w:rPr>
      <w:i/>
      <w:iCs/>
      <w:color w:val="1F497D" w:themeColor="text2"/>
      <w:sz w:val="18"/>
      <w:szCs w:val="18"/>
    </w:rPr>
  </w:style>
  <w:style w:type="character" w:styleId="PlaceholderText">
    <w:name w:val="Placeholder Text"/>
    <w:basedOn w:val="DefaultParagraphFont"/>
    <w:uiPriority w:val="99"/>
    <w:semiHidden/>
    <w:rsid w:val="00777BA0"/>
    <w:rPr>
      <w:color w:val="808080"/>
    </w:rPr>
  </w:style>
  <w:style w:type="character" w:styleId="Hyperlink">
    <w:name w:val="Hyperlink"/>
    <w:basedOn w:val="DefaultParagraphFont"/>
    <w:uiPriority w:val="99"/>
    <w:unhideWhenUsed/>
    <w:rsid w:val="0017714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9846310">
      <w:bodyDiv w:val="1"/>
      <w:marLeft w:val="0"/>
      <w:marRight w:val="0"/>
      <w:marTop w:val="0"/>
      <w:marBottom w:val="0"/>
      <w:divBdr>
        <w:top w:val="none" w:sz="0" w:space="0" w:color="auto"/>
        <w:left w:val="none" w:sz="0" w:space="0" w:color="auto"/>
        <w:bottom w:val="none" w:sz="0" w:space="0" w:color="auto"/>
        <w:right w:val="none" w:sz="0" w:space="0" w:color="auto"/>
      </w:divBdr>
    </w:div>
    <w:div w:id="243147691">
      <w:bodyDiv w:val="1"/>
      <w:marLeft w:val="0"/>
      <w:marRight w:val="0"/>
      <w:marTop w:val="0"/>
      <w:marBottom w:val="0"/>
      <w:divBdr>
        <w:top w:val="none" w:sz="0" w:space="0" w:color="auto"/>
        <w:left w:val="none" w:sz="0" w:space="0" w:color="auto"/>
        <w:bottom w:val="none" w:sz="0" w:space="0" w:color="auto"/>
        <w:right w:val="none" w:sz="0" w:space="0" w:color="auto"/>
      </w:divBdr>
    </w:div>
    <w:div w:id="337344523">
      <w:bodyDiv w:val="1"/>
      <w:marLeft w:val="0"/>
      <w:marRight w:val="0"/>
      <w:marTop w:val="0"/>
      <w:marBottom w:val="0"/>
      <w:divBdr>
        <w:top w:val="none" w:sz="0" w:space="0" w:color="auto"/>
        <w:left w:val="none" w:sz="0" w:space="0" w:color="auto"/>
        <w:bottom w:val="none" w:sz="0" w:space="0" w:color="auto"/>
        <w:right w:val="none" w:sz="0" w:space="0" w:color="auto"/>
      </w:divBdr>
    </w:div>
    <w:div w:id="358819960">
      <w:bodyDiv w:val="1"/>
      <w:marLeft w:val="0"/>
      <w:marRight w:val="0"/>
      <w:marTop w:val="0"/>
      <w:marBottom w:val="0"/>
      <w:divBdr>
        <w:top w:val="none" w:sz="0" w:space="0" w:color="auto"/>
        <w:left w:val="none" w:sz="0" w:space="0" w:color="auto"/>
        <w:bottom w:val="none" w:sz="0" w:space="0" w:color="auto"/>
        <w:right w:val="none" w:sz="0" w:space="0" w:color="auto"/>
      </w:divBdr>
    </w:div>
    <w:div w:id="435710454">
      <w:bodyDiv w:val="1"/>
      <w:marLeft w:val="0"/>
      <w:marRight w:val="0"/>
      <w:marTop w:val="0"/>
      <w:marBottom w:val="0"/>
      <w:divBdr>
        <w:top w:val="none" w:sz="0" w:space="0" w:color="auto"/>
        <w:left w:val="none" w:sz="0" w:space="0" w:color="auto"/>
        <w:bottom w:val="none" w:sz="0" w:space="0" w:color="auto"/>
        <w:right w:val="none" w:sz="0" w:space="0" w:color="auto"/>
      </w:divBdr>
    </w:div>
    <w:div w:id="666328510">
      <w:bodyDiv w:val="1"/>
      <w:marLeft w:val="0"/>
      <w:marRight w:val="0"/>
      <w:marTop w:val="0"/>
      <w:marBottom w:val="0"/>
      <w:divBdr>
        <w:top w:val="none" w:sz="0" w:space="0" w:color="auto"/>
        <w:left w:val="none" w:sz="0" w:space="0" w:color="auto"/>
        <w:bottom w:val="none" w:sz="0" w:space="0" w:color="auto"/>
        <w:right w:val="none" w:sz="0" w:space="0" w:color="auto"/>
      </w:divBdr>
    </w:div>
    <w:div w:id="752043333">
      <w:bodyDiv w:val="1"/>
      <w:marLeft w:val="0"/>
      <w:marRight w:val="0"/>
      <w:marTop w:val="0"/>
      <w:marBottom w:val="0"/>
      <w:divBdr>
        <w:top w:val="none" w:sz="0" w:space="0" w:color="auto"/>
        <w:left w:val="none" w:sz="0" w:space="0" w:color="auto"/>
        <w:bottom w:val="none" w:sz="0" w:space="0" w:color="auto"/>
        <w:right w:val="none" w:sz="0" w:space="0" w:color="auto"/>
      </w:divBdr>
    </w:div>
    <w:div w:id="945506821">
      <w:bodyDiv w:val="1"/>
      <w:marLeft w:val="0"/>
      <w:marRight w:val="0"/>
      <w:marTop w:val="0"/>
      <w:marBottom w:val="0"/>
      <w:divBdr>
        <w:top w:val="none" w:sz="0" w:space="0" w:color="auto"/>
        <w:left w:val="none" w:sz="0" w:space="0" w:color="auto"/>
        <w:bottom w:val="none" w:sz="0" w:space="0" w:color="auto"/>
        <w:right w:val="none" w:sz="0" w:space="0" w:color="auto"/>
      </w:divBdr>
    </w:div>
    <w:div w:id="1024671334">
      <w:bodyDiv w:val="1"/>
      <w:marLeft w:val="0"/>
      <w:marRight w:val="0"/>
      <w:marTop w:val="0"/>
      <w:marBottom w:val="0"/>
      <w:divBdr>
        <w:top w:val="none" w:sz="0" w:space="0" w:color="auto"/>
        <w:left w:val="none" w:sz="0" w:space="0" w:color="auto"/>
        <w:bottom w:val="none" w:sz="0" w:space="0" w:color="auto"/>
        <w:right w:val="none" w:sz="0" w:space="0" w:color="auto"/>
      </w:divBdr>
    </w:div>
    <w:div w:id="1137532666">
      <w:bodyDiv w:val="1"/>
      <w:marLeft w:val="0"/>
      <w:marRight w:val="0"/>
      <w:marTop w:val="0"/>
      <w:marBottom w:val="0"/>
      <w:divBdr>
        <w:top w:val="none" w:sz="0" w:space="0" w:color="auto"/>
        <w:left w:val="none" w:sz="0" w:space="0" w:color="auto"/>
        <w:bottom w:val="none" w:sz="0" w:space="0" w:color="auto"/>
        <w:right w:val="none" w:sz="0" w:space="0" w:color="auto"/>
      </w:divBdr>
    </w:div>
    <w:div w:id="1688675931">
      <w:bodyDiv w:val="1"/>
      <w:marLeft w:val="0"/>
      <w:marRight w:val="0"/>
      <w:marTop w:val="0"/>
      <w:marBottom w:val="0"/>
      <w:divBdr>
        <w:top w:val="none" w:sz="0" w:space="0" w:color="auto"/>
        <w:left w:val="none" w:sz="0" w:space="0" w:color="auto"/>
        <w:bottom w:val="none" w:sz="0" w:space="0" w:color="auto"/>
        <w:right w:val="none" w:sz="0" w:space="0" w:color="auto"/>
      </w:divBdr>
    </w:div>
    <w:div w:id="194006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1" Type="http://schemas.openxmlformats.org/officeDocument/2006/relationships/oleObject" Target="file:///\\ifw1mcfo-fs7\common\Kuba\Projects\IcicleInSeasonForecast\Icicle%20In%20Season%20Forecast_2018.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Comparison of PIT Expansion</a:t>
            </a:r>
          </a:p>
          <a:p>
            <a:pPr>
              <a:defRPr>
                <a:latin typeface="Times New Roman" panose="02020603050405020304" pitchFamily="18" charset="0"/>
                <a:cs typeface="Times New Roman" panose="02020603050405020304" pitchFamily="18" charset="0"/>
              </a:defRPr>
            </a:pPr>
            <a:r>
              <a:rPr lang="en-US" sz="1400">
                <a:latin typeface="Times New Roman" panose="02020603050405020304" pitchFamily="18" charset="0"/>
                <a:cs typeface="Times New Roman" panose="02020603050405020304" pitchFamily="18" charset="0"/>
              </a:rPr>
              <a:t> to Actual Returns</a:t>
            </a:r>
          </a:p>
        </c:rich>
      </c:tx>
      <c:layout/>
      <c:overlay val="0"/>
    </c:title>
    <c:autoTitleDeleted val="0"/>
    <c:plotArea>
      <c:layout>
        <c:manualLayout>
          <c:layoutTarget val="inner"/>
          <c:xMode val="edge"/>
          <c:yMode val="edge"/>
          <c:x val="0.15228118224352391"/>
          <c:y val="9.8070427352738188E-2"/>
          <c:w val="0.81285781621342701"/>
          <c:h val="0.72418102034120746"/>
        </c:manualLayout>
      </c:layout>
      <c:lineChart>
        <c:grouping val="standard"/>
        <c:varyColors val="0"/>
        <c:ser>
          <c:idx val="0"/>
          <c:order val="0"/>
          <c:tx>
            <c:v>RunReconstruction</c:v>
          </c:tx>
          <c:spPr>
            <a:ln w="22225">
              <a:solidFill>
                <a:schemeClr val="tx1"/>
              </a:solidFill>
            </a:ln>
          </c:spPr>
          <c:marker>
            <c:symbol val="none"/>
          </c:marker>
          <c:cat>
            <c:numRef>
              <c:f>Results!$A$12:$A$23</c:f>
              <c:numCache>
                <c:formatCode>General</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Results!$L$12:$L$23</c:f>
              <c:numCache>
                <c:formatCode>#,##0</c:formatCode>
                <c:ptCount val="12"/>
                <c:pt idx="0">
                  <c:v>3147</c:v>
                </c:pt>
                <c:pt idx="1">
                  <c:v>2622</c:v>
                </c:pt>
                <c:pt idx="2">
                  <c:v>4692</c:v>
                </c:pt>
                <c:pt idx="3">
                  <c:v>4977</c:v>
                </c:pt>
                <c:pt idx="4">
                  <c:v>13862</c:v>
                </c:pt>
                <c:pt idx="5">
                  <c:v>6990</c:v>
                </c:pt>
                <c:pt idx="6">
                  <c:v>7074</c:v>
                </c:pt>
                <c:pt idx="7">
                  <c:v>3309</c:v>
                </c:pt>
                <c:pt idx="8">
                  <c:v>6005</c:v>
                </c:pt>
                <c:pt idx="9">
                  <c:v>8149</c:v>
                </c:pt>
                <c:pt idx="10">
                  <c:v>5224</c:v>
                </c:pt>
                <c:pt idx="11">
                  <c:v>1417</c:v>
                </c:pt>
              </c:numCache>
            </c:numRef>
          </c:val>
          <c:smooth val="0"/>
          <c:extLst>
            <c:ext xmlns:c16="http://schemas.microsoft.com/office/drawing/2014/chart" uri="{C3380CC4-5D6E-409C-BE32-E72D297353CC}">
              <c16:uniqueId val="{00000000-0DEF-4529-AB71-FC64DCE65842}"/>
            </c:ext>
          </c:extLst>
        </c:ser>
        <c:ser>
          <c:idx val="1"/>
          <c:order val="1"/>
          <c:tx>
            <c:v>PIT Expansion</c:v>
          </c:tx>
          <c:spPr>
            <a:ln>
              <a:solidFill>
                <a:schemeClr val="tx1"/>
              </a:solidFill>
              <a:prstDash val="dash"/>
            </a:ln>
          </c:spPr>
          <c:marker>
            <c:symbol val="none"/>
          </c:marker>
          <c:cat>
            <c:numRef>
              <c:f>Results!$A$12:$A$23</c:f>
              <c:numCache>
                <c:formatCode>General</c:formatCode>
                <c:ptCount val="12"/>
                <c:pt idx="0">
                  <c:v>2006</c:v>
                </c:pt>
                <c:pt idx="1">
                  <c:v>2007</c:v>
                </c:pt>
                <c:pt idx="2">
                  <c:v>2008</c:v>
                </c:pt>
                <c:pt idx="3">
                  <c:v>2009</c:v>
                </c:pt>
                <c:pt idx="4">
                  <c:v>2010</c:v>
                </c:pt>
                <c:pt idx="5">
                  <c:v>2011</c:v>
                </c:pt>
                <c:pt idx="6">
                  <c:v>2012</c:v>
                </c:pt>
                <c:pt idx="7">
                  <c:v>2013</c:v>
                </c:pt>
                <c:pt idx="8">
                  <c:v>2014</c:v>
                </c:pt>
                <c:pt idx="9">
                  <c:v>2015</c:v>
                </c:pt>
                <c:pt idx="10">
                  <c:v>2016</c:v>
                </c:pt>
                <c:pt idx="11">
                  <c:v>2017</c:v>
                </c:pt>
              </c:numCache>
            </c:numRef>
          </c:cat>
          <c:val>
            <c:numRef>
              <c:f>Results!$M$12:$M$23</c:f>
              <c:numCache>
                <c:formatCode>0</c:formatCode>
                <c:ptCount val="12"/>
                <c:pt idx="0">
                  <c:v>1578.68</c:v>
                </c:pt>
                <c:pt idx="1">
                  <c:v>907.74099999999999</c:v>
                </c:pt>
                <c:pt idx="2">
                  <c:v>3559.7939999999999</c:v>
                </c:pt>
                <c:pt idx="3">
                  <c:v>4197.7359999999999</c:v>
                </c:pt>
                <c:pt idx="4">
                  <c:v>11947.502</c:v>
                </c:pt>
                <c:pt idx="5">
                  <c:v>6633.6910000000007</c:v>
                </c:pt>
                <c:pt idx="6">
                  <c:v>5594.6089999999995</c:v>
                </c:pt>
                <c:pt idx="7">
                  <c:v>2097.5740000000001</c:v>
                </c:pt>
                <c:pt idx="8">
                  <c:v>6294.0160000000005</c:v>
                </c:pt>
                <c:pt idx="9">
                  <c:v>4508.2960000000003</c:v>
                </c:pt>
                <c:pt idx="10">
                  <c:v>3995.8720000000003</c:v>
                </c:pt>
                <c:pt idx="11">
                  <c:v>790.63400000000001</c:v>
                </c:pt>
              </c:numCache>
            </c:numRef>
          </c:val>
          <c:smooth val="0"/>
          <c:extLst>
            <c:ext xmlns:c16="http://schemas.microsoft.com/office/drawing/2014/chart" uri="{C3380CC4-5D6E-409C-BE32-E72D297353CC}">
              <c16:uniqueId val="{00000001-0DEF-4529-AB71-FC64DCE65842}"/>
            </c:ext>
          </c:extLst>
        </c:ser>
        <c:dLbls>
          <c:showLegendKey val="0"/>
          <c:showVal val="0"/>
          <c:showCatName val="0"/>
          <c:showSerName val="0"/>
          <c:showPercent val="0"/>
          <c:showBubbleSize val="0"/>
        </c:dLbls>
        <c:smooth val="0"/>
        <c:axId val="110114688"/>
        <c:axId val="110119552"/>
      </c:lineChart>
      <c:dateAx>
        <c:axId val="110114688"/>
        <c:scaling>
          <c:orientation val="minMax"/>
        </c:scaling>
        <c:delete val="0"/>
        <c:axPos val="b"/>
        <c:title>
          <c:tx>
            <c:rich>
              <a:bodyPr/>
              <a:lstStyle/>
              <a:p>
                <a:pPr>
                  <a:defRPr/>
                </a:pPr>
                <a:r>
                  <a:rPr lang="en-US" sz="1100">
                    <a:latin typeface="Times New Roman" panose="02020603050405020304" pitchFamily="18" charset="0"/>
                    <a:cs typeface="Times New Roman" panose="02020603050405020304" pitchFamily="18" charset="0"/>
                  </a:rPr>
                  <a:t>Year</a:t>
                </a:r>
                <a:endParaRPr lang="en-US">
                  <a:latin typeface="Times New Roman" panose="02020603050405020304" pitchFamily="18" charset="0"/>
                  <a:cs typeface="Times New Roman" panose="02020603050405020304" pitchFamily="18" charset="0"/>
                </a:endParaRPr>
              </a:p>
            </c:rich>
          </c:tx>
          <c:layout/>
          <c:overlay val="0"/>
        </c:title>
        <c:numFmt formatCode="General" sourceLinked="1"/>
        <c:majorTickMark val="out"/>
        <c:minorTickMark val="none"/>
        <c:tickLblPos val="nextTo"/>
        <c:spPr>
          <a:ln>
            <a:solidFill>
              <a:schemeClr val="tx1"/>
            </a:solidFill>
          </a:ln>
        </c:spPr>
        <c:txPr>
          <a:bodyPr/>
          <a:lstStyle/>
          <a:p>
            <a:pPr>
              <a:defRPr>
                <a:latin typeface="Times New Roman" panose="02020603050405020304" pitchFamily="18" charset="0"/>
                <a:cs typeface="Times New Roman" panose="02020603050405020304" pitchFamily="18" charset="0"/>
              </a:defRPr>
            </a:pPr>
            <a:endParaRPr lang="en-US"/>
          </a:p>
        </c:txPr>
        <c:crossAx val="110119552"/>
        <c:crosses val="autoZero"/>
        <c:auto val="0"/>
        <c:lblOffset val="100"/>
        <c:baseTimeUnit val="days"/>
        <c:majorUnit val="1"/>
      </c:dateAx>
      <c:valAx>
        <c:axId val="110119552"/>
        <c:scaling>
          <c:orientation val="minMax"/>
        </c:scaling>
        <c:delete val="0"/>
        <c:axPos val="l"/>
        <c:title>
          <c:tx>
            <c:rich>
              <a:bodyPr rot="-5400000" vert="horz"/>
              <a:lstStyle/>
              <a:p>
                <a:pPr>
                  <a:defRPr>
                    <a:latin typeface="Times New Roman" panose="02020603050405020304" pitchFamily="18" charset="0"/>
                    <a:cs typeface="Times New Roman" panose="02020603050405020304" pitchFamily="18" charset="0"/>
                  </a:defRPr>
                </a:pPr>
                <a:r>
                  <a:rPr lang="en-US" sz="1100">
                    <a:latin typeface="Times New Roman" panose="02020603050405020304" pitchFamily="18" charset="0"/>
                    <a:cs typeface="Times New Roman" panose="02020603050405020304" pitchFamily="18" charset="0"/>
                  </a:rPr>
                  <a:t>Number of Fish</a:t>
                </a:r>
              </a:p>
            </c:rich>
          </c:tx>
          <c:layout/>
          <c:overlay val="0"/>
        </c:title>
        <c:numFmt formatCode="#,##0" sourceLinked="1"/>
        <c:majorTickMark val="out"/>
        <c:minorTickMark val="none"/>
        <c:tickLblPos val="nextTo"/>
        <c:spPr>
          <a:ln>
            <a:solidFill>
              <a:schemeClr val="tx1"/>
            </a:solidFill>
          </a:ln>
        </c:spPr>
        <c:txPr>
          <a:bodyPr/>
          <a:lstStyle/>
          <a:p>
            <a:pPr>
              <a:defRPr>
                <a:latin typeface="Times New Roman" panose="02020603050405020304" pitchFamily="18" charset="0"/>
                <a:cs typeface="Times New Roman" panose="02020603050405020304" pitchFamily="18" charset="0"/>
              </a:defRPr>
            </a:pPr>
            <a:endParaRPr lang="en-US"/>
          </a:p>
        </c:txPr>
        <c:crossAx val="110114688"/>
        <c:crosses val="autoZero"/>
        <c:crossBetween val="between"/>
      </c:valAx>
    </c:plotArea>
    <c:legend>
      <c:legendPos val="r"/>
      <c:layout>
        <c:manualLayout>
          <c:xMode val="edge"/>
          <c:yMode val="edge"/>
          <c:x val="0.69006742777190666"/>
          <c:y val="0.16628280839895013"/>
          <c:w val="0.30616872323851768"/>
          <c:h val="0.33281906167979003"/>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BD310A-99C9-407E-A0F3-1C6A88D312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3</Pages>
  <Words>752</Words>
  <Characters>4291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Bednarek, Jakub</dc:creator>
  <cp:lastModifiedBy>Bednarek, Jakub</cp:lastModifiedBy>
  <cp:revision>30</cp:revision>
  <dcterms:created xsi:type="dcterms:W3CDTF">2018-03-01T18:22:00Z</dcterms:created>
  <dcterms:modified xsi:type="dcterms:W3CDTF">2018-03-02T21:02:00Z</dcterms:modified>
</cp:coreProperties>
</file>